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For the fiscal year ended December 31, 2013</w:t>
      </w:r>
    </w:p>
    <w:p>
      <w:pPr>
        <w:jc w:val="center"/>
        <w:ind w:right="-59"/>
        <w:spacing w:after="0" w:line="230" w:lineRule="auto"/>
        <w:rPr>
          <w:sz w:val="20"/>
          <w:szCs w:val="20"/>
          <w:color w:val="auto"/>
        </w:rPr>
      </w:pPr>
      <w:r>
        <w:rPr>
          <w:rFonts w:ascii="Arial" w:cs="Arial" w:eastAsia="Arial" w:hAnsi="Arial"/>
          <w:sz w:val="22"/>
          <w:szCs w:val="22"/>
          <w:b w:val="1"/>
          <w:bCs w:val="1"/>
          <w:color w:val="auto"/>
        </w:rPr>
        <w:t>or</w:t>
      </w:r>
    </w:p>
    <w:p>
      <w:pPr>
        <w:ind w:left="460" w:hanging="452"/>
        <w:spacing w:after="0" w:line="23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46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Commission file number 1-9861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65"/>
          <w:szCs w:val="65"/>
          <w:b w:val="1"/>
          <w:bCs w:val="1"/>
          <w:color w:val="auto"/>
        </w:rPr>
        <w:t>M&amp;T BANK CORPORATION</w:t>
      </w:r>
    </w:p>
    <w:p>
      <w:pPr>
        <w:spacing w:after="0" w:line="3"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900" w:type="dxa"/>
            <w:vAlign w:val="bottom"/>
          </w:tcPr>
          <w:p>
            <w:pPr>
              <w:spacing w:after="0"/>
              <w:rPr>
                <w:sz w:val="24"/>
                <w:szCs w:val="24"/>
                <w:color w:val="auto"/>
              </w:rPr>
            </w:pPr>
          </w:p>
        </w:tc>
        <w:tc>
          <w:tcPr>
            <w:tcW w:w="4960" w:type="dxa"/>
            <w:vAlign w:val="bottom"/>
            <w:gridSpan w:val="2"/>
          </w:tcPr>
          <w:p>
            <w:pPr>
              <w:jc w:val="center"/>
              <w:ind w:right="3812"/>
              <w:spacing w:after="0"/>
              <w:rPr>
                <w:sz w:val="20"/>
                <w:szCs w:val="20"/>
                <w:color w:val="auto"/>
              </w:rPr>
            </w:pPr>
            <w:r>
              <w:rPr>
                <w:rFonts w:ascii="Arial" w:cs="Arial" w:eastAsia="Arial" w:hAnsi="Arial"/>
                <w:sz w:val="18"/>
                <w:szCs w:val="18"/>
                <w:b w:val="1"/>
                <w:bCs w:val="1"/>
                <w:color w:val="auto"/>
                <w:w w:val="90"/>
              </w:rPr>
              <w:t>New York</w:t>
            </w:r>
          </w:p>
        </w:tc>
        <w:tc>
          <w:tcPr>
            <w:tcW w:w="234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16-0968385</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90"/>
              </w:rPr>
              <w:t>(State of incorporation)</w:t>
            </w:r>
          </w:p>
        </w:tc>
        <w:tc>
          <w:tcPr>
            <w:tcW w:w="3020" w:type="dxa"/>
            <w:vAlign w:val="bottom"/>
            <w:gridSpan w:val="4"/>
          </w:tcPr>
          <w:p>
            <w:pPr>
              <w:jc w:val="center"/>
              <w:ind w:right="360"/>
              <w:spacing w:after="0"/>
              <w:rPr>
                <w:sz w:val="20"/>
                <w:szCs w:val="20"/>
                <w:color w:val="auto"/>
              </w:rPr>
            </w:pPr>
            <w:r>
              <w:rPr>
                <w:rFonts w:ascii="Arial" w:cs="Arial" w:eastAsia="Arial" w:hAnsi="Arial"/>
                <w:sz w:val="18"/>
                <w:szCs w:val="18"/>
                <w:i w:val="1"/>
                <w:iCs w:val="1"/>
                <w:color w:val="auto"/>
                <w:w w:val="90"/>
              </w:rPr>
              <w:t>(I.R.S. Employer Identification No.)</w:t>
            </w:r>
          </w:p>
        </w:tc>
        <w:tc>
          <w:tcPr>
            <w:tcW w:w="0" w:type="dxa"/>
            <w:vAlign w:val="bottom"/>
          </w:tcPr>
          <w:p>
            <w:pPr>
              <w:spacing w:after="0"/>
              <w:rPr>
                <w:sz w:val="1"/>
                <w:szCs w:val="1"/>
                <w:color w:val="auto"/>
              </w:rPr>
            </w:pPr>
          </w:p>
        </w:tc>
      </w:tr>
      <w:tr>
        <w:trPr>
          <w:trHeight w:val="318"/>
        </w:trPr>
        <w:tc>
          <w:tcPr>
            <w:tcW w:w="686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91"/>
              </w:rPr>
              <w:t>One M&amp;T Plaza, Buffalo, New York</w:t>
            </w:r>
          </w:p>
        </w:tc>
        <w:tc>
          <w:tcPr>
            <w:tcW w:w="234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14203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i w:val="1"/>
                <w:iCs w:val="1"/>
                <w:color w:val="auto"/>
                <w:w w:val="91"/>
              </w:rPr>
              <w:t>(Zip Code)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left="3572"/>
              <w:spacing w:after="0"/>
              <w:rPr>
                <w:sz w:val="20"/>
                <w:szCs w:val="20"/>
                <w:color w:val="auto"/>
              </w:rPr>
            </w:pPr>
            <w:r>
              <w:rPr>
                <w:rFonts w:ascii="Arial" w:cs="Arial" w:eastAsia="Arial" w:hAnsi="Arial"/>
                <w:sz w:val="18"/>
                <w:szCs w:val="18"/>
                <w:b w:val="1"/>
                <w:bCs w:val="1"/>
                <w:color w:val="auto"/>
                <w:w w:val="89"/>
              </w:rPr>
              <w:t>716-842-5445</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tcPr>
          <w:p>
            <w:pPr>
              <w:spacing w:after="0"/>
              <w:rPr>
                <w:sz w:val="24"/>
                <w:szCs w:val="24"/>
                <w:color w:val="auto"/>
              </w:rPr>
            </w:pPr>
          </w:p>
        </w:tc>
        <w:tc>
          <w:tcPr>
            <w:tcW w:w="4960" w:type="dxa"/>
            <w:vAlign w:val="bottom"/>
            <w:gridSpan w:val="2"/>
          </w:tcPr>
          <w:p>
            <w:pPr>
              <w:jc w:val="center"/>
              <w:ind w:right="3792"/>
              <w:spacing w:after="0"/>
              <w:rPr>
                <w:sz w:val="20"/>
                <w:szCs w:val="20"/>
                <w:color w:val="auto"/>
              </w:rPr>
            </w:pPr>
            <w:r>
              <w:rPr>
                <w:rFonts w:ascii="Arial" w:cs="Arial" w:eastAsia="Arial" w:hAnsi="Arial"/>
                <w:sz w:val="14"/>
                <w:szCs w:val="14"/>
                <w:b w:val="1"/>
                <w:bCs w:val="1"/>
                <w:color w:val="auto"/>
                <w:w w:val="86"/>
              </w:rPr>
              <w:t>Title of Each Class</w:t>
            </w:r>
          </w:p>
        </w:tc>
        <w:tc>
          <w:tcPr>
            <w:tcW w:w="30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1340"/>
              <w:spacing w:after="0"/>
              <w:rPr>
                <w:sz w:val="20"/>
                <w:szCs w:val="20"/>
                <w:color w:val="auto"/>
              </w:rPr>
            </w:pPr>
            <w:r>
              <w:rPr>
                <w:rFonts w:ascii="Arial" w:cs="Arial" w:eastAsia="Arial" w:hAnsi="Arial"/>
                <w:sz w:val="18"/>
                <w:szCs w:val="18"/>
                <w:color w:val="auto"/>
                <w:w w:val="73"/>
              </w:rPr>
              <w:t>Common</w:t>
            </w:r>
          </w:p>
        </w:tc>
        <w:tc>
          <w:tcPr>
            <w:tcW w:w="10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vMerge w:val="continue"/>
          </w:tcPr>
          <w:p>
            <w:pPr>
              <w:spacing w:after="0"/>
              <w:rPr>
                <w:sz w:val="17"/>
                <w:szCs w:val="17"/>
                <w:color w:val="auto"/>
              </w:rPr>
            </w:pPr>
          </w:p>
        </w:tc>
        <w:tc>
          <w:tcPr>
            <w:tcW w:w="49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Stock, $.50 par value</w:t>
            </w:r>
          </w:p>
        </w:tc>
        <w:tc>
          <w:tcPr>
            <w:tcW w:w="2340" w:type="dxa"/>
            <w:vAlign w:val="bottom"/>
            <w:gridSpan w:val="2"/>
          </w:tcPr>
          <w:p>
            <w:pPr>
              <w:jc w:val="center"/>
              <w:ind w:left="234"/>
              <w:spacing w:after="0" w:line="201" w:lineRule="exact"/>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892"/>
              <w:spacing w:after="0"/>
              <w:rPr>
                <w:sz w:val="20"/>
                <w:szCs w:val="20"/>
                <w:color w:val="auto"/>
              </w:rPr>
            </w:pPr>
            <w:r>
              <w:rPr>
                <w:rFonts w:ascii="Arial" w:cs="Arial" w:eastAsia="Arial" w:hAnsi="Arial"/>
                <w:sz w:val="18"/>
                <w:szCs w:val="18"/>
                <w:color w:val="auto"/>
                <w:w w:val="87"/>
              </w:rPr>
              <w:t>Series A,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Series C,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Warrants to purchase shares of Common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9"/>
              </w:rPr>
              <w:t>(expiring December 23, 2018)</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color w:val="auto"/>
                <w:w w:val="91"/>
              </w:rPr>
              <w:t>8.234% Capital Securities of M&amp;T Capital Trust I</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500" w:type="dxa"/>
            <w:vAlign w:val="bottom"/>
            <w:gridSpan w:val="3"/>
          </w:tcPr>
          <w:p>
            <w:pPr>
              <w:jc w:val="center"/>
              <w:ind w:left="137"/>
              <w:spacing w:after="0"/>
              <w:rPr>
                <w:sz w:val="20"/>
                <w:szCs w:val="20"/>
                <w:color w:val="auto"/>
              </w:rPr>
            </w:pPr>
            <w:r>
              <w:rPr>
                <w:rFonts w:ascii="Arial" w:cs="Arial" w:eastAsia="Arial" w:hAnsi="Arial"/>
                <w:sz w:val="18"/>
                <w:szCs w:val="18"/>
                <w:color w:val="auto"/>
                <w:w w:val="89"/>
              </w:rPr>
              <w:t>(and the Guarantee of M&amp;T Bank Corporation with respect thereto)</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color w:val="auto"/>
                <w:w w:val="88"/>
              </w:rPr>
              <w:t>8.234% Junior Subordinated Debentures of</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72"/>
              <w:spacing w:after="0"/>
              <w:rPr>
                <w:sz w:val="20"/>
                <w:szCs w:val="20"/>
                <w:color w:val="auto"/>
              </w:rPr>
            </w:pPr>
            <w:r>
              <w:rPr>
                <w:rFonts w:ascii="Arial" w:cs="Arial" w:eastAsia="Arial" w:hAnsi="Arial"/>
                <w:sz w:val="18"/>
                <w:szCs w:val="18"/>
                <w:color w:val="auto"/>
                <w:w w:val="92"/>
              </w:rPr>
              <w:t>M&amp;T Bank Corporation</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8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8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2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ind w:right="240" w:firstLine="456"/>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45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45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040" w:space="400"/>
            <w:col w:w="4880" w:space="720"/>
            <w:col w:w="1160" w:space="180"/>
            <w:col w:w="2000"/>
          </w:cols>
          <w:pgMar w:left="240" w:top="230" w:right="279" w:bottom="1440" w:gutter="0" w:footer="0" w:header="0"/>
          <w:type w:val="continuous"/>
        </w:sectPr>
      </w:pPr>
    </w:p>
    <w:p>
      <w:pPr>
        <w:spacing w:after="0" w:line="32" w:lineRule="exact"/>
        <w:rPr>
          <w:sz w:val="24"/>
          <w:szCs w:val="24"/>
          <w:color w:val="auto"/>
        </w:rPr>
      </w:pPr>
    </w:p>
    <w:p>
      <w:pPr>
        <w:jc w:val="center"/>
        <w:ind w:left="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4">
            <w:col w:w="1960" w:space="480"/>
            <w:col w:w="4880" w:space="720"/>
            <w:col w:w="1920" w:space="160"/>
            <w:col w:w="12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(Do not check if a smaller reporting company)</w:t>
      </w:r>
    </w:p>
    <w:p>
      <w:pPr>
        <w:spacing w:after="0" w:line="58" w:lineRule="exact"/>
        <w:rPr>
          <w:sz w:val="24"/>
          <w:szCs w:val="24"/>
          <w:color w:val="auto"/>
        </w:rPr>
      </w:pPr>
    </w:p>
    <w:p>
      <w:pPr>
        <w:ind w:left="460"/>
        <w:spacing w:after="0" w:line="207" w:lineRule="exact"/>
        <w:tabs>
          <w:tab w:leader="none" w:pos="78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380"/>
          </w:cols>
          <w:pgMar w:left="240" w:top="230" w:right="279" w:bottom="1440" w:gutter="0" w:footer="0" w:header="0"/>
          <w:type w:val="continuous"/>
        </w:sectPr>
      </w:pPr>
    </w:p>
    <w:p>
      <w:pPr>
        <w:spacing w:after="0" w:line="68" w:lineRule="exact"/>
        <w:rPr>
          <w:sz w:val="24"/>
          <w:szCs w:val="24"/>
          <w:color w:val="auto"/>
        </w:rPr>
      </w:pPr>
    </w:p>
    <w:p>
      <w:pPr>
        <w:ind w:firstLine="456"/>
        <w:spacing w:after="0" w:line="238" w:lineRule="auto"/>
        <w:rPr>
          <w:sz w:val="20"/>
          <w:szCs w:val="20"/>
          <w:color w:val="auto"/>
        </w:rPr>
      </w:pPr>
      <w:r>
        <w:rPr>
          <w:rFonts w:ascii="Arial" w:cs="Arial" w:eastAsia="Arial" w:hAnsi="Arial"/>
          <w:sz w:val="18"/>
          <w:szCs w:val="18"/>
          <w:color w:val="auto"/>
        </w:rPr>
        <w:t>Aggregate market value of the Common Stock, $0.50 par value, held by non-affiliates of the registrant, computed by reference to the closing price as of the close of business on June 30, 2013: $12,619,414,344.</w:t>
      </w:r>
    </w:p>
    <w:p>
      <w:pPr>
        <w:spacing w:after="0" w:line="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Number of shares of the Common Stock, $0.50 par value, outstanding as of the close of business on February 14, 2014: 131,031,744 shares.</w:t>
      </w:r>
    </w:p>
    <w:p>
      <w:pPr>
        <w:spacing w:after="0" w:line="10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 Portions of the Proxy Statement for the 2014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8000" w:type="dxa"/>
            <w:vAlign w:val="bottom"/>
            <w:gridSpan w:val="2"/>
          </w:tcPr>
          <w:p>
            <w:pPr>
              <w:jc w:val="center"/>
              <w:ind w:right="3352"/>
              <w:spacing w:after="0"/>
              <w:rPr>
                <w:sz w:val="20"/>
                <w:szCs w:val="20"/>
                <w:color w:val="auto"/>
              </w:rPr>
            </w:pPr>
            <w:r>
              <w:rPr>
                <w:rFonts w:ascii="Arial" w:cs="Arial" w:eastAsia="Arial" w:hAnsi="Arial"/>
                <w:sz w:val="18"/>
                <w:szCs w:val="18"/>
                <w:b w:val="1"/>
                <w:bCs w:val="1"/>
                <w:color w:val="auto"/>
                <w:w w:val="99"/>
              </w:rPr>
              <w:t>M&amp;T BANK CORPORATION</w:t>
            </w:r>
          </w:p>
        </w:tc>
        <w:tc>
          <w:tcPr>
            <w:tcW w:w="0" w:type="dxa"/>
            <w:vAlign w:val="bottom"/>
          </w:tcPr>
          <w:p>
            <w:pPr>
              <w:spacing w:after="0"/>
              <w:rPr>
                <w:sz w:val="1"/>
                <w:szCs w:val="1"/>
                <w:color w:val="auto"/>
              </w:rPr>
            </w:pPr>
          </w:p>
        </w:tc>
      </w:tr>
      <w:tr>
        <w:trPr>
          <w:trHeight w:val="291"/>
        </w:trPr>
        <w:tc>
          <w:tcPr>
            <w:tcW w:w="3420" w:type="dxa"/>
            <w:vAlign w:val="bottom"/>
          </w:tcPr>
          <w:p>
            <w:pPr>
              <w:spacing w:after="0"/>
              <w:rPr>
                <w:sz w:val="24"/>
                <w:szCs w:val="24"/>
                <w:color w:val="auto"/>
              </w:rPr>
            </w:pPr>
          </w:p>
        </w:tc>
        <w:tc>
          <w:tcPr>
            <w:tcW w:w="8000" w:type="dxa"/>
            <w:vAlign w:val="bottom"/>
            <w:gridSpan w:val="2"/>
          </w:tcPr>
          <w:p>
            <w:pPr>
              <w:jc w:val="center"/>
              <w:ind w:right="3332"/>
              <w:spacing w:after="0"/>
              <w:rPr>
                <w:sz w:val="20"/>
                <w:szCs w:val="20"/>
                <w:color w:val="auto"/>
              </w:rPr>
            </w:pPr>
            <w:r>
              <w:rPr>
                <w:rFonts w:ascii="Arial" w:cs="Arial" w:eastAsia="Arial" w:hAnsi="Arial"/>
                <w:sz w:val="18"/>
                <w:szCs w:val="18"/>
                <w:color w:val="auto"/>
                <w:w w:val="88"/>
              </w:rPr>
              <w:t>Form 10-K for the year ended December 31, 2013</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8000" w:type="dxa"/>
            <w:vAlign w:val="bottom"/>
            <w:gridSpan w:val="2"/>
          </w:tcPr>
          <w:p>
            <w:pPr>
              <w:jc w:val="center"/>
              <w:ind w:right="3352"/>
              <w:spacing w:after="0"/>
              <w:rPr>
                <w:sz w:val="20"/>
                <w:szCs w:val="20"/>
                <w:color w:val="auto"/>
              </w:rPr>
            </w:pPr>
            <w:r>
              <w:rPr>
                <w:rFonts w:ascii="Arial" w:cs="Arial" w:eastAsia="Arial" w:hAnsi="Arial"/>
                <w:sz w:val="18"/>
                <w:szCs w:val="18"/>
                <w:color w:val="auto"/>
                <w:w w:val="90"/>
              </w:rPr>
              <w:t>CROSS-REFERENCE SHEET</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6480" w:type="dxa"/>
            <w:vAlign w:val="bottom"/>
            <w:vMerge w:val="restart"/>
          </w:tcPr>
          <w:p>
            <w:pPr>
              <w:jc w:val="center"/>
              <w:ind w:right="1792"/>
              <w:spacing w:after="0"/>
              <w:rPr>
                <w:sz w:val="20"/>
                <w:szCs w:val="20"/>
                <w:color w:val="auto"/>
              </w:rPr>
            </w:pPr>
            <w:r>
              <w:rPr>
                <w:rFonts w:ascii="Arial" w:cs="Arial" w:eastAsia="Arial" w:hAnsi="Arial"/>
                <w:sz w:val="18"/>
                <w:szCs w:val="18"/>
                <w:b w:val="1"/>
                <w:bCs w:val="1"/>
                <w:color w:val="auto"/>
                <w:w w:val="94"/>
              </w:rPr>
              <w:t>PART I</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648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Item 1. Business</w:t>
            </w:r>
          </w:p>
        </w:tc>
        <w:tc>
          <w:tcPr>
            <w:tcW w:w="8000" w:type="dxa"/>
            <w:vAlign w:val="bottom"/>
            <w:gridSpan w:val="2"/>
          </w:tcPr>
          <w:p>
            <w:pPr>
              <w:jc w:val="center"/>
              <w:ind w:left="639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Statistical disclosure pursuant to Guide 3</w:t>
            </w:r>
          </w:p>
        </w:tc>
        <w:tc>
          <w:tcPr>
            <w:tcW w:w="6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320" w:hanging="98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assets, liabilities, and shareholders’ equity; interest rates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 interest differential</w:t>
      </w:r>
    </w:p>
    <w:p>
      <w:pPr>
        <w:spacing w:after="0" w:line="9" w:lineRule="exact"/>
        <w:rPr>
          <w:sz w:val="20"/>
          <w:szCs w:val="20"/>
          <w:color w:val="auto"/>
        </w:rPr>
      </w:pPr>
    </w:p>
    <w:p>
      <w:pPr>
        <w:ind w:left="1340"/>
        <w:spacing w:after="0"/>
        <w:tabs>
          <w:tab w:leader="none" w:pos="1800" w:val="left"/>
          <w:tab w:leader="none" w:pos="10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Average balance sheets</w:t>
      </w:r>
      <w:r>
        <w:rPr>
          <w:sz w:val="20"/>
          <w:szCs w:val="20"/>
          <w:color w:val="auto"/>
        </w:rPr>
        <w:tab/>
      </w:r>
      <w:r>
        <w:rPr>
          <w:rFonts w:ascii="Arial" w:cs="Arial" w:eastAsia="Arial" w:hAnsi="Arial"/>
          <w:sz w:val="16"/>
          <w:szCs w:val="16"/>
          <w:color w:val="auto"/>
        </w:rPr>
        <w:t>48</w:t>
      </w:r>
    </w:p>
    <w:p>
      <w:pPr>
        <w:spacing w:after="0" w:line="9" w:lineRule="exact"/>
        <w:rPr>
          <w:sz w:val="20"/>
          <w:szCs w:val="20"/>
          <w:color w:val="auto"/>
        </w:rPr>
      </w:pPr>
    </w:p>
    <w:p>
      <w:pPr>
        <w:ind w:left="1820" w:hanging="474"/>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income/expense and resulting yield or rate on average interest-earning assets (including non-accrual</w:t>
      </w:r>
    </w:p>
    <w:p>
      <w:pPr>
        <w:spacing w:after="0" w:line="9"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loans) and interest-bearing liabilities</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5820" w:type="dxa"/>
            <w:vAlign w:val="bottom"/>
          </w:tcPr>
          <w:p>
            <w:pPr>
              <w:ind w:left="160"/>
              <w:spacing w:after="0"/>
              <w:rPr>
                <w:sz w:val="20"/>
                <w:szCs w:val="20"/>
                <w:color w:val="auto"/>
              </w:rPr>
            </w:pPr>
            <w:r>
              <w:rPr>
                <w:rFonts w:ascii="Arial" w:cs="Arial" w:eastAsia="Arial" w:hAnsi="Arial"/>
                <w:sz w:val="18"/>
                <w:szCs w:val="18"/>
                <w:color w:val="auto"/>
              </w:rPr>
              <w:t>Rate/volume variances</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r>
    </w:tbl>
    <w:p>
      <w:pPr>
        <w:ind w:left="1320" w:hanging="98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portfolio</w:t>
      </w:r>
    </w:p>
    <w:p>
      <w:pPr>
        <w:spacing w:after="0" w:line="9"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7380" w:type="dxa"/>
            <w:vAlign w:val="bottom"/>
          </w:tcPr>
          <w:p>
            <w:pPr>
              <w:ind w:left="160"/>
              <w:spacing w:after="0"/>
              <w:rPr>
                <w:sz w:val="20"/>
                <w:szCs w:val="20"/>
                <w:color w:val="auto"/>
              </w:rPr>
            </w:pPr>
            <w:r>
              <w:rPr>
                <w:rFonts w:ascii="Arial" w:cs="Arial" w:eastAsia="Arial" w:hAnsi="Arial"/>
                <w:sz w:val="18"/>
                <w:szCs w:val="18"/>
                <w:color w:val="auto"/>
              </w:rPr>
              <w:t>Year-end balances</w:t>
            </w:r>
          </w:p>
        </w:tc>
        <w:tc>
          <w:tcPr>
            <w:tcW w:w="2020" w:type="dxa"/>
            <w:vAlign w:val="bottom"/>
          </w:tcPr>
          <w:p>
            <w:pPr>
              <w:jc w:val="center"/>
              <w:ind w:left="1152"/>
              <w:spacing w:after="0"/>
              <w:rPr>
                <w:sz w:val="20"/>
                <w:szCs w:val="20"/>
                <w:color w:val="auto"/>
              </w:rPr>
            </w:pPr>
            <w:r>
              <w:rPr>
                <w:rFonts w:ascii="Arial" w:cs="Arial" w:eastAsia="Arial" w:hAnsi="Arial"/>
                <w:sz w:val="18"/>
                <w:szCs w:val="18"/>
                <w:color w:val="auto"/>
                <w:w w:val="85"/>
              </w:rPr>
              <w:t>22,110-111</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7380" w:type="dxa"/>
            <w:vAlign w:val="bottom"/>
          </w:tcPr>
          <w:p>
            <w:pPr>
              <w:ind w:left="160"/>
              <w:spacing w:after="0"/>
              <w:rPr>
                <w:sz w:val="20"/>
                <w:szCs w:val="20"/>
                <w:color w:val="auto"/>
              </w:rPr>
            </w:pPr>
            <w:r>
              <w:rPr>
                <w:rFonts w:ascii="Arial" w:cs="Arial" w:eastAsia="Arial" w:hAnsi="Arial"/>
                <w:sz w:val="18"/>
                <w:szCs w:val="18"/>
                <w:color w:val="auto"/>
              </w:rPr>
              <w:t>Maturity schedule and weighted average yield</w:t>
            </w:r>
          </w:p>
        </w:tc>
        <w:tc>
          <w:tcPr>
            <w:tcW w:w="2020" w:type="dxa"/>
            <w:vAlign w:val="bottom"/>
          </w:tcPr>
          <w:p>
            <w:pPr>
              <w:jc w:val="center"/>
              <w:ind w:left="1152"/>
              <w:spacing w:after="0"/>
              <w:rPr>
                <w:sz w:val="20"/>
                <w:szCs w:val="20"/>
                <w:color w:val="auto"/>
              </w:rPr>
            </w:pPr>
            <w:r>
              <w:rPr>
                <w:rFonts w:ascii="Arial" w:cs="Arial" w:eastAsia="Arial" w:hAnsi="Arial"/>
                <w:sz w:val="18"/>
                <w:szCs w:val="18"/>
                <w:color w:val="auto"/>
                <w:w w:val="89"/>
              </w:rPr>
              <w:t>81</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7380" w:type="dxa"/>
            <w:vAlign w:val="bottom"/>
          </w:tcPr>
          <w:p>
            <w:pPr>
              <w:ind w:left="160"/>
              <w:spacing w:after="0"/>
              <w:rPr>
                <w:sz w:val="20"/>
                <w:szCs w:val="20"/>
                <w:color w:val="auto"/>
              </w:rPr>
            </w:pPr>
            <w:r>
              <w:rPr>
                <w:rFonts w:ascii="Arial" w:cs="Arial" w:eastAsia="Arial" w:hAnsi="Arial"/>
                <w:sz w:val="18"/>
                <w:szCs w:val="18"/>
                <w:color w:val="auto"/>
              </w:rPr>
              <w:t>Aggregate carrying value of securities that exceed ten percent of shareholders’ equity</w:t>
            </w:r>
          </w:p>
        </w:tc>
        <w:tc>
          <w:tcPr>
            <w:tcW w:w="2020" w:type="dxa"/>
            <w:vAlign w:val="bottom"/>
          </w:tcPr>
          <w:p>
            <w:pPr>
              <w:jc w:val="center"/>
              <w:ind w:left="1132"/>
              <w:spacing w:after="0"/>
              <w:rPr>
                <w:sz w:val="20"/>
                <w:szCs w:val="20"/>
                <w:color w:val="auto"/>
              </w:rPr>
            </w:pPr>
            <w:r>
              <w:rPr>
                <w:rFonts w:ascii="Arial" w:cs="Arial" w:eastAsia="Arial" w:hAnsi="Arial"/>
                <w:sz w:val="18"/>
                <w:szCs w:val="18"/>
                <w:color w:val="auto"/>
                <w:w w:val="79"/>
              </w:rPr>
              <w:t>111</w:t>
            </w:r>
          </w:p>
        </w:tc>
      </w:tr>
    </w:tbl>
    <w:p>
      <w:pPr>
        <w:ind w:left="1320" w:hanging="98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portfolio</w:t>
      </w:r>
    </w:p>
    <w:p>
      <w:pPr>
        <w:spacing w:after="0" w:line="9"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6360" w:type="dxa"/>
            <w:vAlign w:val="bottom"/>
          </w:tcPr>
          <w:p>
            <w:pPr>
              <w:ind w:left="160"/>
              <w:spacing w:after="0"/>
              <w:rPr>
                <w:sz w:val="20"/>
                <w:szCs w:val="20"/>
                <w:color w:val="auto"/>
              </w:rPr>
            </w:pPr>
            <w:r>
              <w:rPr>
                <w:rFonts w:ascii="Arial" w:cs="Arial" w:eastAsia="Arial" w:hAnsi="Arial"/>
                <w:sz w:val="18"/>
                <w:szCs w:val="18"/>
                <w:color w:val="auto"/>
              </w:rPr>
              <w:t>Year-end balances</w:t>
            </w:r>
          </w:p>
        </w:tc>
        <w:tc>
          <w:tcPr>
            <w:tcW w:w="2880" w:type="dxa"/>
            <w:vAlign w:val="bottom"/>
          </w:tcPr>
          <w:p>
            <w:pPr>
              <w:jc w:val="right"/>
              <w:spacing w:after="0"/>
              <w:rPr>
                <w:sz w:val="20"/>
                <w:szCs w:val="20"/>
                <w:color w:val="auto"/>
              </w:rPr>
            </w:pPr>
            <w:r>
              <w:rPr>
                <w:rFonts w:ascii="Arial" w:cs="Arial" w:eastAsia="Arial" w:hAnsi="Arial"/>
                <w:sz w:val="18"/>
                <w:szCs w:val="18"/>
                <w:color w:val="auto"/>
              </w:rPr>
              <w:t>22,114</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6360" w:type="dxa"/>
            <w:vAlign w:val="bottom"/>
          </w:tcPr>
          <w:p>
            <w:pPr>
              <w:ind w:left="160"/>
              <w:spacing w:after="0"/>
              <w:rPr>
                <w:sz w:val="20"/>
                <w:szCs w:val="20"/>
                <w:color w:val="auto"/>
              </w:rPr>
            </w:pPr>
            <w:r>
              <w:rPr>
                <w:rFonts w:ascii="Arial" w:cs="Arial" w:eastAsia="Arial" w:hAnsi="Arial"/>
                <w:sz w:val="18"/>
                <w:szCs w:val="18"/>
                <w:color w:val="auto"/>
              </w:rPr>
              <w:t>Maturities and sensitivities to changes in interest rates</w:t>
            </w:r>
          </w:p>
        </w:tc>
        <w:tc>
          <w:tcPr>
            <w:tcW w:w="2880" w:type="dxa"/>
            <w:vAlign w:val="bottom"/>
          </w:tcPr>
          <w:p>
            <w:pPr>
              <w:jc w:val="right"/>
              <w:ind w:right="52"/>
              <w:spacing w:after="0"/>
              <w:rPr>
                <w:sz w:val="20"/>
                <w:szCs w:val="20"/>
                <w:color w:val="auto"/>
              </w:rPr>
            </w:pPr>
            <w:r>
              <w:rPr>
                <w:rFonts w:ascii="Arial" w:cs="Arial" w:eastAsia="Arial" w:hAnsi="Arial"/>
                <w:sz w:val="18"/>
                <w:szCs w:val="18"/>
                <w:color w:val="auto"/>
              </w:rPr>
              <w:t>79</w:t>
            </w:r>
          </w:p>
        </w:tc>
      </w:tr>
    </w:tbl>
    <w:p>
      <w:pPr>
        <w:ind w:left="1820" w:hanging="474"/>
        <w:spacing w:after="0"/>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 elements</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Nonaccrual, past due and renegotiated loans</w:t>
            </w:r>
          </w:p>
        </w:tc>
        <w:tc>
          <w:tcPr>
            <w:tcW w:w="1880" w:type="dxa"/>
            <w:vAlign w:val="bottom"/>
          </w:tcPr>
          <w:p>
            <w:pPr>
              <w:jc w:val="center"/>
              <w:ind w:left="432"/>
              <w:spacing w:after="0"/>
              <w:rPr>
                <w:sz w:val="20"/>
                <w:szCs w:val="20"/>
                <w:color w:val="auto"/>
              </w:rPr>
            </w:pPr>
            <w:r>
              <w:rPr>
                <w:rFonts w:ascii="Arial" w:cs="Arial" w:eastAsia="Arial" w:hAnsi="Arial"/>
                <w:sz w:val="18"/>
                <w:szCs w:val="18"/>
                <w:color w:val="auto"/>
                <w:w w:val="87"/>
              </w:rPr>
              <w:t>61,116-120</w:t>
            </w:r>
          </w:p>
        </w:tc>
      </w:tr>
      <w:tr>
        <w:trPr>
          <w:trHeight w:val="216"/>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Actual and pro forma interest on certain loans .</w:t>
            </w:r>
          </w:p>
        </w:tc>
        <w:tc>
          <w:tcPr>
            <w:tcW w:w="1880" w:type="dxa"/>
            <w:vAlign w:val="bottom"/>
          </w:tcPr>
          <w:p>
            <w:pPr>
              <w:jc w:val="center"/>
              <w:ind w:left="432"/>
              <w:spacing w:after="0"/>
              <w:rPr>
                <w:sz w:val="20"/>
                <w:szCs w:val="20"/>
                <w:color w:val="auto"/>
              </w:rPr>
            </w:pPr>
            <w:r>
              <w:rPr>
                <w:rFonts w:ascii="Arial" w:cs="Arial" w:eastAsia="Arial" w:hAnsi="Arial"/>
                <w:sz w:val="18"/>
                <w:szCs w:val="18"/>
                <w:color w:val="auto"/>
                <w:w w:val="86"/>
              </w:rPr>
              <w:t>116,124</w:t>
            </w:r>
          </w:p>
        </w:tc>
      </w:tr>
      <w:tr>
        <w:trPr>
          <w:trHeight w:val="216"/>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Nonaccrual policy</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87"/>
              </w:rPr>
              <w:t>105-106</w:t>
            </w:r>
          </w:p>
        </w:tc>
      </w:tr>
      <w:tr>
        <w:trPr>
          <w:trHeight w:val="216"/>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Loan concentrations</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89"/>
              </w:rPr>
              <w:t>70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IV.</w:t>
            </w:r>
          </w:p>
        </w:tc>
        <w:tc>
          <w:tcPr>
            <w:tcW w:w="8540" w:type="dxa"/>
            <w:vAlign w:val="bottom"/>
            <w:gridSpan w:val="2"/>
          </w:tcPr>
          <w:p>
            <w:pPr>
              <w:ind w:left="400"/>
              <w:spacing w:after="0"/>
              <w:rPr>
                <w:sz w:val="20"/>
                <w:szCs w:val="20"/>
                <w:color w:val="auto"/>
              </w:rPr>
            </w:pPr>
            <w:r>
              <w:rPr>
                <w:rFonts w:ascii="Arial" w:cs="Arial" w:eastAsia="Arial" w:hAnsi="Arial"/>
                <w:sz w:val="18"/>
                <w:szCs w:val="18"/>
                <w:color w:val="auto"/>
              </w:rPr>
              <w:t>Summary of loan loss experience</w:t>
            </w:r>
          </w:p>
        </w:tc>
        <w:tc>
          <w:tcPr>
            <w:tcW w:w="18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A.</w:t>
            </w:r>
          </w:p>
        </w:tc>
        <w:tc>
          <w:tcPr>
            <w:tcW w:w="7800" w:type="dxa"/>
            <w:vAlign w:val="bottom"/>
          </w:tcPr>
          <w:p>
            <w:pPr>
              <w:ind w:left="160"/>
              <w:spacing w:after="0"/>
              <w:rPr>
                <w:sz w:val="20"/>
                <w:szCs w:val="20"/>
                <w:color w:val="auto"/>
              </w:rPr>
            </w:pPr>
            <w:r>
              <w:rPr>
                <w:rFonts w:ascii="Arial" w:cs="Arial" w:eastAsia="Arial" w:hAnsi="Arial"/>
                <w:sz w:val="18"/>
                <w:szCs w:val="18"/>
                <w:color w:val="auto"/>
              </w:rPr>
              <w:t>Analysis of the allowance for loan losses</w:t>
            </w:r>
          </w:p>
        </w:tc>
        <w:tc>
          <w:tcPr>
            <w:tcW w:w="1880" w:type="dxa"/>
            <w:vAlign w:val="bottom"/>
          </w:tcPr>
          <w:p>
            <w:pPr>
              <w:jc w:val="center"/>
              <w:ind w:left="432"/>
              <w:spacing w:after="0"/>
              <w:rPr>
                <w:sz w:val="20"/>
                <w:szCs w:val="20"/>
                <w:color w:val="auto"/>
              </w:rPr>
            </w:pPr>
            <w:r>
              <w:rPr>
                <w:rFonts w:ascii="Arial" w:cs="Arial" w:eastAsia="Arial" w:hAnsi="Arial"/>
                <w:sz w:val="18"/>
                <w:szCs w:val="18"/>
                <w:color w:val="auto"/>
                <w:w w:val="87"/>
              </w:rPr>
              <w:t>59,121-126</w:t>
            </w:r>
          </w:p>
        </w:tc>
      </w:tr>
      <w:tr>
        <w:trPr>
          <w:trHeight w:val="216"/>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w w:val="94"/>
              </w:rPr>
              <w:t>Factors influencing management’s judgment concerning the adequacy of the allowance and provision</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88"/>
              </w:rPr>
              <w:t>58-70,106,121-126</w:t>
            </w:r>
          </w:p>
        </w:tc>
      </w:tr>
      <w:tr>
        <w:trPr>
          <w:trHeight w:val="222"/>
        </w:trPr>
        <w:tc>
          <w:tcPr>
            <w:tcW w:w="5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B.</w:t>
            </w:r>
          </w:p>
        </w:tc>
        <w:tc>
          <w:tcPr>
            <w:tcW w:w="7800" w:type="dxa"/>
            <w:vAlign w:val="bottom"/>
          </w:tcPr>
          <w:p>
            <w:pPr>
              <w:ind w:left="160"/>
              <w:spacing w:after="0"/>
              <w:rPr>
                <w:sz w:val="20"/>
                <w:szCs w:val="20"/>
                <w:color w:val="auto"/>
              </w:rPr>
            </w:pPr>
            <w:r>
              <w:rPr>
                <w:rFonts w:ascii="Arial" w:cs="Arial" w:eastAsia="Arial" w:hAnsi="Arial"/>
                <w:sz w:val="18"/>
                <w:szCs w:val="18"/>
                <w:color w:val="auto"/>
              </w:rPr>
              <w:t>Allocation of the allowance for loan losses</w:t>
            </w:r>
          </w:p>
        </w:tc>
        <w:tc>
          <w:tcPr>
            <w:tcW w:w="1880" w:type="dxa"/>
            <w:vAlign w:val="bottom"/>
          </w:tcPr>
          <w:p>
            <w:pPr>
              <w:jc w:val="center"/>
              <w:ind w:left="432"/>
              <w:spacing w:after="0"/>
              <w:rPr>
                <w:sz w:val="20"/>
                <w:szCs w:val="20"/>
                <w:color w:val="auto"/>
              </w:rPr>
            </w:pPr>
            <w:r>
              <w:rPr>
                <w:rFonts w:ascii="Arial" w:cs="Arial" w:eastAsia="Arial" w:hAnsi="Arial"/>
                <w:sz w:val="18"/>
                <w:szCs w:val="18"/>
                <w:color w:val="auto"/>
                <w:w w:val="88"/>
              </w:rPr>
              <w:t>69,121,126</w:t>
            </w:r>
          </w:p>
        </w:tc>
      </w:tr>
    </w:tbl>
    <w:p>
      <w:pPr>
        <w:ind w:left="1320" w:hanging="98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A.</w:t>
            </w:r>
          </w:p>
        </w:tc>
        <w:tc>
          <w:tcPr>
            <w:tcW w:w="7180" w:type="dxa"/>
            <w:vAlign w:val="bottom"/>
          </w:tcPr>
          <w:p>
            <w:pPr>
              <w:ind w:left="160"/>
              <w:spacing w:after="0"/>
              <w:rPr>
                <w:sz w:val="20"/>
                <w:szCs w:val="20"/>
                <w:color w:val="auto"/>
              </w:rPr>
            </w:pPr>
            <w:r>
              <w:rPr>
                <w:rFonts w:ascii="Arial" w:cs="Arial" w:eastAsia="Arial" w:hAnsi="Arial"/>
                <w:sz w:val="18"/>
                <w:szCs w:val="18"/>
                <w:color w:val="auto"/>
              </w:rPr>
              <w:t>Average balances and rates</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48</w:t>
            </w:r>
          </w:p>
        </w:tc>
      </w:tr>
      <w:tr>
        <w:trPr>
          <w:trHeight w:val="216"/>
        </w:trPr>
        <w:tc>
          <w:tcPr>
            <w:tcW w:w="98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B.</w:t>
            </w:r>
          </w:p>
        </w:tc>
        <w:tc>
          <w:tcPr>
            <w:tcW w:w="7180" w:type="dxa"/>
            <w:vAlign w:val="bottom"/>
          </w:tcPr>
          <w:p>
            <w:pPr>
              <w:ind w:left="160"/>
              <w:spacing w:after="0"/>
              <w:rPr>
                <w:sz w:val="20"/>
                <w:szCs w:val="20"/>
                <w:color w:val="auto"/>
              </w:rPr>
            </w:pPr>
            <w:r>
              <w:rPr>
                <w:rFonts w:ascii="Arial" w:cs="Arial" w:eastAsia="Arial" w:hAnsi="Arial"/>
                <w:sz w:val="18"/>
                <w:szCs w:val="18"/>
                <w:color w:val="auto"/>
              </w:rPr>
              <w:t>Maturity schedule of domestic time deposits with balances of $100,000 or more</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82</w:t>
            </w:r>
          </w:p>
        </w:tc>
      </w:tr>
      <w:tr>
        <w:trPr>
          <w:trHeight w:val="216"/>
        </w:trPr>
        <w:tc>
          <w:tcPr>
            <w:tcW w:w="980" w:type="dxa"/>
            <w:vAlign w:val="bottom"/>
          </w:tcPr>
          <w:p>
            <w:pPr>
              <w:ind w:left="340"/>
              <w:spacing w:after="0"/>
              <w:rPr>
                <w:sz w:val="20"/>
                <w:szCs w:val="20"/>
                <w:color w:val="auto"/>
              </w:rPr>
            </w:pPr>
            <w:r>
              <w:rPr>
                <w:rFonts w:ascii="Arial" w:cs="Arial" w:eastAsia="Arial" w:hAnsi="Arial"/>
                <w:sz w:val="18"/>
                <w:szCs w:val="18"/>
                <w:color w:val="auto"/>
              </w:rPr>
              <w:t>VI.</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Return on equity and assets</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8"/>
              </w:rPr>
              <w:t>24,42,85,87</w:t>
            </w:r>
          </w:p>
        </w:tc>
      </w:tr>
      <w:tr>
        <w:trPr>
          <w:trHeight w:val="216"/>
        </w:trPr>
        <w:tc>
          <w:tcPr>
            <w:tcW w:w="980" w:type="dxa"/>
            <w:vAlign w:val="bottom"/>
          </w:tcPr>
          <w:p>
            <w:pPr>
              <w:ind w:left="340"/>
              <w:spacing w:after="0"/>
              <w:rPr>
                <w:sz w:val="20"/>
                <w:szCs w:val="20"/>
                <w:color w:val="auto"/>
              </w:rPr>
            </w:pPr>
            <w:r>
              <w:rPr>
                <w:rFonts w:ascii="Arial" w:cs="Arial" w:eastAsia="Arial" w:hAnsi="Arial"/>
                <w:sz w:val="18"/>
                <w:szCs w:val="18"/>
                <w:color w:val="auto"/>
              </w:rPr>
              <w:t>VII.</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Short-term borrowings</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6"/>
              </w:rPr>
              <w:t>130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Risk Factors</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6"/>
              </w:rPr>
              <w:t>24-32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Unresolved Staff Comments .</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32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Properties</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6"/>
              </w:rPr>
              <w:t>32-33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Legal Proceedings</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6"/>
              </w:rPr>
              <w:t>33-34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Mine Safety Disclosures</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34</w:t>
            </w:r>
          </w:p>
        </w:tc>
      </w:tr>
      <w:tr>
        <w:trPr>
          <w:trHeight w:val="210"/>
        </w:trPr>
        <w:tc>
          <w:tcPr>
            <w:tcW w:w="98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Executive Officers of the Registrant</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6"/>
              </w:rPr>
              <w:t>34-36</w:t>
            </w:r>
          </w:p>
        </w:tc>
      </w:tr>
      <w:tr>
        <w:trPr>
          <w:trHeight w:val="222"/>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180" w:type="dxa"/>
            <w:vAlign w:val="bottom"/>
          </w:tcPr>
          <w:p>
            <w:pPr>
              <w:ind w:left="3740"/>
              <w:spacing w:after="0"/>
              <w:rPr>
                <w:sz w:val="20"/>
                <w:szCs w:val="20"/>
                <w:color w:val="auto"/>
              </w:rPr>
            </w:pPr>
            <w:r>
              <w:rPr>
                <w:rFonts w:ascii="Arial" w:cs="Arial" w:eastAsia="Arial" w:hAnsi="Arial"/>
                <w:sz w:val="18"/>
                <w:szCs w:val="18"/>
                <w:b w:val="1"/>
                <w:bCs w:val="1"/>
                <w:color w:val="auto"/>
              </w:rPr>
              <w:t>PART II</w:t>
            </w:r>
          </w:p>
        </w:tc>
        <w:tc>
          <w:tcPr>
            <w:tcW w:w="2240" w:type="dxa"/>
            <w:vAlign w:val="bottom"/>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Market for Registrant’s Common Equity, Related Stockholder Matters and</w:t>
            </w:r>
          </w:p>
        </w:tc>
        <w:tc>
          <w:tcPr>
            <w:tcW w:w="22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Issuer Purchases of Equity Securities</w:t>
            </w:r>
          </w:p>
        </w:tc>
        <w:tc>
          <w:tcPr>
            <w:tcW w:w="2240" w:type="dxa"/>
            <w:vAlign w:val="bottom"/>
          </w:tcPr>
          <w:p>
            <w:pPr>
              <w:jc w:val="center"/>
              <w:ind w:left="1312"/>
              <w:spacing w:after="0"/>
              <w:rPr>
                <w:sz w:val="20"/>
                <w:szCs w:val="20"/>
                <w:color w:val="auto"/>
              </w:rPr>
            </w:pPr>
            <w:r>
              <w:rPr>
                <w:rFonts w:ascii="Arial" w:cs="Arial" w:eastAsia="Arial" w:hAnsi="Arial"/>
                <w:sz w:val="18"/>
                <w:szCs w:val="18"/>
                <w:color w:val="auto"/>
                <w:w w:val="86"/>
              </w:rPr>
              <w:t>36-38</w:t>
            </w:r>
          </w:p>
        </w:tc>
      </w:tr>
      <w:tr>
        <w:trPr>
          <w:trHeight w:val="216"/>
        </w:trPr>
        <w:tc>
          <w:tcPr>
            <w:tcW w:w="9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rPr>
              <w:t>A.</w:t>
            </w:r>
          </w:p>
        </w:tc>
        <w:tc>
          <w:tcPr>
            <w:tcW w:w="7180" w:type="dxa"/>
            <w:vAlign w:val="bottom"/>
          </w:tcPr>
          <w:p>
            <w:pPr>
              <w:ind w:left="160"/>
              <w:spacing w:after="0"/>
              <w:rPr>
                <w:sz w:val="20"/>
                <w:szCs w:val="20"/>
                <w:color w:val="auto"/>
              </w:rPr>
            </w:pPr>
            <w:r>
              <w:rPr>
                <w:rFonts w:ascii="Arial" w:cs="Arial" w:eastAsia="Arial" w:hAnsi="Arial"/>
                <w:sz w:val="18"/>
                <w:szCs w:val="18"/>
                <w:color w:val="auto"/>
              </w:rPr>
              <w:t>Principal market</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36</w:t>
            </w:r>
          </w:p>
        </w:tc>
      </w:tr>
      <w:tr>
        <w:trPr>
          <w:trHeight w:val="216"/>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Market prices</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94</w:t>
            </w:r>
          </w:p>
        </w:tc>
      </w:tr>
      <w:tr>
        <w:trPr>
          <w:trHeight w:val="222"/>
        </w:trPr>
        <w:tc>
          <w:tcPr>
            <w:tcW w:w="98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B.</w:t>
            </w:r>
          </w:p>
        </w:tc>
        <w:tc>
          <w:tcPr>
            <w:tcW w:w="7180" w:type="dxa"/>
            <w:vAlign w:val="bottom"/>
          </w:tcPr>
          <w:p>
            <w:pPr>
              <w:ind w:left="160"/>
              <w:spacing w:after="0"/>
              <w:rPr>
                <w:sz w:val="20"/>
                <w:szCs w:val="20"/>
                <w:color w:val="auto"/>
              </w:rPr>
            </w:pPr>
            <w:r>
              <w:rPr>
                <w:rFonts w:ascii="Arial" w:cs="Arial" w:eastAsia="Arial" w:hAnsi="Arial"/>
                <w:sz w:val="18"/>
                <w:szCs w:val="18"/>
                <w:color w:val="auto"/>
              </w:rPr>
              <w:t>Approximate number of holders at year-end</w:t>
            </w:r>
          </w:p>
        </w:tc>
        <w:tc>
          <w:tcPr>
            <w:tcW w:w="2240" w:type="dxa"/>
            <w:vAlign w:val="bottom"/>
          </w:tcPr>
          <w:p>
            <w:pPr>
              <w:jc w:val="center"/>
              <w:ind w:left="1332"/>
              <w:spacing w:after="0"/>
              <w:rPr>
                <w:sz w:val="20"/>
                <w:szCs w:val="20"/>
                <w:color w:val="auto"/>
              </w:rPr>
            </w:pPr>
            <w:r>
              <w:rPr>
                <w:rFonts w:ascii="Arial" w:cs="Arial" w:eastAsia="Arial" w:hAnsi="Arial"/>
                <w:sz w:val="18"/>
                <w:szCs w:val="18"/>
                <w:color w:val="auto"/>
                <w:w w:val="89"/>
              </w:rPr>
              <w:t>22</w:t>
            </w:r>
          </w:p>
        </w:tc>
      </w:tr>
      <w:tr>
        <w:trPr>
          <w:trHeight w:val="312"/>
        </w:trPr>
        <w:tc>
          <w:tcPr>
            <w:tcW w:w="980" w:type="dxa"/>
            <w:vAlign w:val="bottom"/>
          </w:tcPr>
          <w:p>
            <w:pPr>
              <w:spacing w:after="0"/>
              <w:rPr>
                <w:sz w:val="20"/>
                <w:szCs w:val="20"/>
                <w:color w:val="auto"/>
              </w:rPr>
            </w:pPr>
            <w:r>
              <w:rPr>
                <w:rFonts w:ascii="Arial" w:cs="Arial" w:eastAsia="Arial" w:hAnsi="Arial"/>
                <w:sz w:val="14"/>
                <w:szCs w:val="14"/>
                <w:color w:val="auto"/>
              </w:rPr>
              <w:t>2</w:t>
            </w:r>
          </w:p>
        </w:tc>
        <w:tc>
          <w:tcPr>
            <w:tcW w:w="6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C.</w:t>
            </w:r>
          </w:p>
        </w:tc>
        <w:tc>
          <w:tcPr>
            <w:tcW w:w="8460" w:type="dxa"/>
            <w:vAlign w:val="bottom"/>
            <w:vMerge w:val="restart"/>
          </w:tcPr>
          <w:p>
            <w:pPr>
              <w:ind w:left="260"/>
              <w:spacing w:after="0"/>
              <w:rPr>
                <w:sz w:val="20"/>
                <w:szCs w:val="20"/>
                <w:color w:val="auto"/>
              </w:rPr>
            </w:pPr>
            <w:r>
              <w:rPr>
                <w:rFonts w:ascii="Arial" w:cs="Arial" w:eastAsia="Arial" w:hAnsi="Arial"/>
                <w:sz w:val="18"/>
                <w:szCs w:val="18"/>
                <w:color w:val="auto"/>
              </w:rPr>
              <w:t>Frequency and amount of dividends declared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14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460" w:type="dxa"/>
            <w:vAlign w:val="bottom"/>
            <w:vMerge w:val="continue"/>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8"/>
              </w:rPr>
              <w:t>23-24,94,103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8460" w:type="dxa"/>
            <w:vAlign w:val="bottom"/>
          </w:tcPr>
          <w:p>
            <w:pPr>
              <w:ind w:left="260"/>
              <w:spacing w:after="0"/>
              <w:rPr>
                <w:sz w:val="20"/>
                <w:szCs w:val="20"/>
                <w:color w:val="auto"/>
              </w:rPr>
            </w:pPr>
            <w:r>
              <w:rPr>
                <w:rFonts w:ascii="Arial" w:cs="Arial" w:eastAsia="Arial" w:hAnsi="Arial"/>
                <w:sz w:val="18"/>
                <w:szCs w:val="18"/>
                <w:color w:val="auto"/>
              </w:rPr>
              <w:t>Restrictions on dividends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9-14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8460" w:type="dxa"/>
            <w:vAlign w:val="bottom"/>
          </w:tcPr>
          <w:p>
            <w:pPr>
              <w:ind w:left="26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36-37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F.</w:t>
            </w:r>
          </w:p>
        </w:tc>
        <w:tc>
          <w:tcPr>
            <w:tcW w:w="8460" w:type="dxa"/>
            <w:vAlign w:val="bottom"/>
          </w:tcPr>
          <w:p>
            <w:pPr>
              <w:ind w:left="260"/>
              <w:spacing w:after="0"/>
              <w:rPr>
                <w:sz w:val="20"/>
                <w:szCs w:val="20"/>
                <w:color w:val="auto"/>
              </w:rPr>
            </w:pPr>
            <w:r>
              <w:rPr>
                <w:rFonts w:ascii="Arial" w:cs="Arial" w:eastAsia="Arial" w:hAnsi="Arial"/>
                <w:sz w:val="18"/>
                <w:szCs w:val="18"/>
                <w:color w:val="auto"/>
              </w:rPr>
              <w:t>Performance graph</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G.</w:t>
            </w:r>
          </w:p>
        </w:tc>
        <w:tc>
          <w:tcPr>
            <w:tcW w:w="846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6.</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Selected Financial Data</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8460" w:type="dxa"/>
            <w:vAlign w:val="bottom"/>
          </w:tcPr>
          <w:p>
            <w:pPr>
              <w:ind w:left="260"/>
              <w:spacing w:after="0"/>
              <w:rPr>
                <w:sz w:val="20"/>
                <w:szCs w:val="20"/>
                <w:color w:val="auto"/>
              </w:rPr>
            </w:pPr>
            <w:r>
              <w:rPr>
                <w:rFonts w:ascii="Arial" w:cs="Arial" w:eastAsia="Arial" w:hAnsi="Arial"/>
                <w:sz w:val="18"/>
                <w:szCs w:val="18"/>
                <w:color w:val="auto"/>
              </w:rPr>
              <w:t>Selected consolidated year-end balances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8460" w:type="dxa"/>
            <w:vAlign w:val="bottom"/>
          </w:tcPr>
          <w:p>
            <w:pPr>
              <w:ind w:left="260"/>
              <w:spacing w:after="0"/>
              <w:rPr>
                <w:sz w:val="20"/>
                <w:szCs w:val="20"/>
                <w:color w:val="auto"/>
              </w:rPr>
            </w:pPr>
            <w:r>
              <w:rPr>
                <w:rFonts w:ascii="Arial" w:cs="Arial" w:eastAsia="Arial" w:hAnsi="Arial"/>
                <w:sz w:val="18"/>
                <w:szCs w:val="18"/>
                <w:color w:val="auto"/>
              </w:rPr>
              <w:t>Consolidated earnings, etc.</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7.</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of Operations</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38-95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7A.</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8.</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8460" w:type="dxa"/>
            <w:vAlign w:val="bottom"/>
          </w:tcPr>
          <w:p>
            <w:pPr>
              <w:ind w:left="260"/>
              <w:spacing w:after="0"/>
              <w:rPr>
                <w:sz w:val="20"/>
                <w:szCs w:val="20"/>
                <w:color w:val="auto"/>
              </w:rPr>
            </w:pPr>
            <w:r>
              <w:rPr>
                <w:rFonts w:ascii="Arial" w:cs="Arial" w:eastAsia="Arial" w:hAnsi="Arial"/>
                <w:sz w:val="18"/>
                <w:szCs w:val="18"/>
                <w:color w:val="auto"/>
              </w:rPr>
              <w:t>Report on Internal Control Over Financial Reporting</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8460" w:type="dxa"/>
            <w:vAlign w:val="bottom"/>
          </w:tcPr>
          <w:p>
            <w:pPr>
              <w:ind w:left="260"/>
              <w:spacing w:after="0"/>
              <w:rPr>
                <w:sz w:val="20"/>
                <w:szCs w:val="20"/>
                <w:color w:val="auto"/>
              </w:rPr>
            </w:pPr>
            <w:r>
              <w:rPr>
                <w:rFonts w:ascii="Arial" w:cs="Arial" w:eastAsia="Arial" w:hAnsi="Arial"/>
                <w:sz w:val="18"/>
                <w:szCs w:val="18"/>
                <w:color w:val="auto"/>
              </w:rPr>
              <w:t>Report of Independent Registered Public Accounting Firm</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8460" w:type="dxa"/>
            <w:vAlign w:val="bottom"/>
          </w:tcPr>
          <w:p>
            <w:pPr>
              <w:ind w:left="260"/>
              <w:spacing w:after="0"/>
              <w:rPr>
                <w:sz w:val="20"/>
                <w:szCs w:val="20"/>
                <w:color w:val="auto"/>
              </w:rPr>
            </w:pPr>
            <w:r>
              <w:rPr>
                <w:rFonts w:ascii="Arial" w:cs="Arial" w:eastAsia="Arial" w:hAnsi="Arial"/>
                <w:sz w:val="18"/>
                <w:szCs w:val="18"/>
                <w:color w:val="auto"/>
              </w:rPr>
              <w:t>Consolidated Balance Sheet — December 31, 2013 and 2012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8460" w:type="dxa"/>
            <w:vAlign w:val="bottom"/>
          </w:tcPr>
          <w:p>
            <w:pPr>
              <w:ind w:left="260"/>
              <w:spacing w:after="0"/>
              <w:rPr>
                <w:sz w:val="20"/>
                <w:szCs w:val="20"/>
                <w:color w:val="auto"/>
              </w:rPr>
            </w:pPr>
            <w:r>
              <w:rPr>
                <w:rFonts w:ascii="Arial" w:cs="Arial" w:eastAsia="Arial" w:hAnsi="Arial"/>
                <w:sz w:val="18"/>
                <w:szCs w:val="18"/>
                <w:color w:val="auto"/>
              </w:rPr>
              <w:t>Consolidated Statement of Income — Years ended December 31, 2013, 2012 and 2011</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8460" w:type="dxa"/>
            <w:vAlign w:val="bottom"/>
          </w:tcPr>
          <w:p>
            <w:pPr>
              <w:ind w:left="260"/>
              <w:spacing w:after="0"/>
              <w:rPr>
                <w:sz w:val="20"/>
                <w:szCs w:val="20"/>
                <w:color w:val="auto"/>
              </w:rPr>
            </w:pPr>
            <w:r>
              <w:rPr>
                <w:rFonts w:ascii="Arial" w:cs="Arial" w:eastAsia="Arial" w:hAnsi="Arial"/>
                <w:sz w:val="18"/>
                <w:szCs w:val="18"/>
                <w:color w:val="auto"/>
                <w:w w:val="98"/>
              </w:rPr>
              <w:t>Consolidated Statement of Comprehensive Income — Years ended December 31, 2013, 2012 and 2011</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F.</w:t>
            </w:r>
          </w:p>
        </w:tc>
        <w:tc>
          <w:tcPr>
            <w:tcW w:w="8460" w:type="dxa"/>
            <w:vAlign w:val="bottom"/>
          </w:tcPr>
          <w:p>
            <w:pPr>
              <w:ind w:left="260"/>
              <w:spacing w:after="0"/>
              <w:rPr>
                <w:sz w:val="20"/>
                <w:szCs w:val="20"/>
                <w:color w:val="auto"/>
              </w:rPr>
            </w:pPr>
            <w:r>
              <w:rPr>
                <w:rFonts w:ascii="Arial" w:cs="Arial" w:eastAsia="Arial" w:hAnsi="Arial"/>
                <w:sz w:val="18"/>
                <w:szCs w:val="18"/>
                <w:color w:val="auto"/>
              </w:rPr>
              <w:t>Consolidated Statement of Cash Flows — Years ended December 31, 2013, 2012 and 2011</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G.</w:t>
            </w:r>
          </w:p>
        </w:tc>
        <w:tc>
          <w:tcPr>
            <w:tcW w:w="8460" w:type="dxa"/>
            <w:vAlign w:val="bottom"/>
          </w:tcPr>
          <w:p>
            <w:pPr>
              <w:ind w:left="260"/>
              <w:spacing w:after="0"/>
              <w:rPr>
                <w:sz w:val="20"/>
                <w:szCs w:val="20"/>
                <w:color w:val="auto"/>
              </w:rPr>
            </w:pPr>
            <w:r>
              <w:rPr>
                <w:rFonts w:ascii="Arial" w:cs="Arial" w:eastAsia="Arial" w:hAnsi="Arial"/>
                <w:sz w:val="18"/>
                <w:szCs w:val="18"/>
                <w:color w:val="auto"/>
                <w:w w:val="95"/>
              </w:rPr>
              <w:t>Consolidated Statement of Changes in Shareholders’ Equity — Years ended December 31, 2013, 2012 and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2011</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H.</w:t>
            </w:r>
          </w:p>
        </w:tc>
        <w:tc>
          <w:tcPr>
            <w:tcW w:w="8460" w:type="dxa"/>
            <w:vAlign w:val="bottom"/>
          </w:tcPr>
          <w:p>
            <w:pPr>
              <w:ind w:left="260"/>
              <w:spacing w:after="0"/>
              <w:rPr>
                <w:sz w:val="20"/>
                <w:szCs w:val="20"/>
                <w:color w:val="auto"/>
              </w:rPr>
            </w:pPr>
            <w:r>
              <w:rPr>
                <w:rFonts w:ascii="Arial" w:cs="Arial" w:eastAsia="Arial" w:hAnsi="Arial"/>
                <w:sz w:val="18"/>
                <w:szCs w:val="18"/>
                <w:color w:val="auto"/>
              </w:rPr>
              <w:t>Notes to Financial Statements</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104-172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I.</w:t>
            </w:r>
          </w:p>
        </w:tc>
        <w:tc>
          <w:tcPr>
            <w:tcW w:w="8460" w:type="dxa"/>
            <w:vAlign w:val="bottom"/>
          </w:tcPr>
          <w:p>
            <w:pPr>
              <w:ind w:left="260"/>
              <w:spacing w:after="0"/>
              <w:rPr>
                <w:sz w:val="20"/>
                <w:szCs w:val="20"/>
                <w:color w:val="auto"/>
              </w:rPr>
            </w:pPr>
            <w:r>
              <w:rPr>
                <w:rFonts w:ascii="Arial" w:cs="Arial" w:eastAsia="Arial" w:hAnsi="Arial"/>
                <w:sz w:val="18"/>
                <w:szCs w:val="18"/>
                <w:color w:val="auto"/>
              </w:rPr>
              <w:t>Quarterly Trends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9.</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Changes in and Disagreements with Accountants on Accounting and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Financial Disclosure</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9A.</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8460" w:type="dxa"/>
            <w:vAlign w:val="bottom"/>
          </w:tcPr>
          <w:p>
            <w:pPr>
              <w:ind w:left="260"/>
              <w:spacing w:after="0"/>
              <w:rPr>
                <w:sz w:val="20"/>
                <w:szCs w:val="20"/>
                <w:color w:val="auto"/>
              </w:rPr>
            </w:pPr>
            <w:r>
              <w:rPr>
                <w:rFonts w:ascii="Arial" w:cs="Arial" w:eastAsia="Arial" w:hAnsi="Arial"/>
                <w:sz w:val="18"/>
                <w:szCs w:val="18"/>
                <w:color w:val="auto"/>
                <w:w w:val="98"/>
              </w:rPr>
              <w:t>Conclusions of principal executive officer and principal financial officer regarding disclosure controls and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Arial" w:cs="Arial" w:eastAsia="Arial" w:hAnsi="Arial"/>
                <w:sz w:val="18"/>
                <w:szCs w:val="18"/>
                <w:color w:val="auto"/>
              </w:rPr>
              <w:t>procedures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8460" w:type="dxa"/>
            <w:vAlign w:val="bottom"/>
          </w:tcPr>
          <w:p>
            <w:pPr>
              <w:ind w:left="26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8460" w:type="dxa"/>
            <w:vAlign w:val="bottom"/>
          </w:tcPr>
          <w:p>
            <w:pPr>
              <w:ind w:left="260"/>
              <w:spacing w:after="0"/>
              <w:rPr>
                <w:sz w:val="20"/>
                <w:szCs w:val="20"/>
                <w:color w:val="auto"/>
              </w:rPr>
            </w:pPr>
            <w:r>
              <w:rPr>
                <w:rFonts w:ascii="Arial" w:cs="Arial" w:eastAsia="Arial" w:hAnsi="Arial"/>
                <w:sz w:val="18"/>
                <w:szCs w:val="18"/>
                <w:color w:val="auto"/>
              </w:rPr>
              <w:t>Attestation report of the registered public accounting firm</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8460" w:type="dxa"/>
            <w:vAlign w:val="bottom"/>
          </w:tcPr>
          <w:p>
            <w:pPr>
              <w:ind w:left="260"/>
              <w:spacing w:after="0"/>
              <w:rPr>
                <w:sz w:val="20"/>
                <w:szCs w:val="20"/>
                <w:color w:val="auto"/>
              </w:rPr>
            </w:pPr>
            <w:r>
              <w:rPr>
                <w:rFonts w:ascii="Arial" w:cs="Arial" w:eastAsia="Arial" w:hAnsi="Arial"/>
                <w:sz w:val="18"/>
                <w:szCs w:val="18"/>
                <w:color w:val="auto"/>
              </w:rPr>
              <w:t>Changes in internal control over financial reporting</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Item 9B.</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60" w:type="dxa"/>
            <w:vAlign w:val="bottom"/>
          </w:tcPr>
          <w:p>
            <w:pPr>
              <w:ind w:left="266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10.</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11.</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Executive Compensation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12.</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Related Stockholder Matters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13.</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Certain Relationships and Related Transactions, and Director</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Independence</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Item 14.</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60" w:type="dxa"/>
            <w:vAlign w:val="bottom"/>
          </w:tcPr>
          <w:p>
            <w:pPr>
              <w:ind w:left="266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Item 15.</w:t>
            </w: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174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SIGNATURES</w:t>
            </w:r>
          </w:p>
        </w:tc>
        <w:tc>
          <w:tcPr>
            <w:tcW w:w="58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175-176</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EXHIBIT INDEX</w:t>
            </w:r>
          </w:p>
        </w:tc>
        <w:tc>
          <w:tcPr>
            <w:tcW w:w="58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177-179</w:t>
            </w: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2013 the Company had consolidated total assets of $85.2 billion, deposits of $67.1 billion and shareholders’ equity of $11.3 billion. The Company had 14,629 full-time and 1,264 part-time employees as of December 31, 2013.</w:t>
      </w:r>
    </w:p>
    <w:p>
      <w:pPr>
        <w:spacing w:after="0" w:line="4"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At December 31, 2013, the Registrant had two wholly owned bank subsidiaries: M&amp;T Bank and Wilmington Trust, National Association (“Wilmington Trust, N.A.”). The banks collectively offer a wide range of retail and commercial banking, trust and wealth management, and investment services to their customers. At December 31, 2013, M&amp;T Bank represented 99% of consolidated assets of the Company.</w:t>
      </w:r>
    </w:p>
    <w:p>
      <w:pPr>
        <w:spacing w:after="0" w:line="2" w:lineRule="exact"/>
        <w:rPr>
          <w:sz w:val="20"/>
          <w:szCs w:val="20"/>
          <w:color w:val="auto"/>
        </w:rPr>
      </w:pPr>
    </w:p>
    <w:p>
      <w:pPr>
        <w:ind w:right="180" w:firstLine="685"/>
        <w:spacing w:after="0" w:line="254" w:lineRule="auto"/>
        <w:rPr>
          <w:sz w:val="20"/>
          <w:szCs w:val="20"/>
          <w:color w:val="auto"/>
        </w:rPr>
      </w:pPr>
      <w:r>
        <w:rPr>
          <w:rFonts w:ascii="Arial" w:cs="Arial" w:eastAsia="Arial" w:hAnsi="Arial"/>
          <w:sz w:val="18"/>
          <w:szCs w:val="18"/>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2013, M&amp;T Bank had 720 domestic banking offices located in New York State, Pennsylvania, Maryland, Delaware, Virginia, West Virginia, and the District of Columbia, a full-service commercial banking office in Ontario, Canada, and an office in George Town, Cayman Islands. As of December 31, 2013, M&amp;T Bank had consolidated total assets of $84.4 billion, deposits of $68.2 billion and shareholder’s equity of $11.0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Virginia, Delaware and Washington, D.C., and on small and medium-size businesses based in those areas, although loans are originated through lending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Wilmington Trust, N.A., a national banking association and a member of the Federal Reserve System and the FDIC, commenced operations on</w:t>
      </w:r>
    </w:p>
    <w:p>
      <w:pPr>
        <w:spacing w:after="0" w:line="3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October 2, 1995. The deposit liabilities of Wilmington Trust, N.A. are insured by the FDIC through the DIF. The main office of Wilmington Trust, N.A. is located at 1100 North Market Street, Wilmington, Delaware, 19890. A second office is located in Oakfield, New York. Wilmington Trust, N.A. offers various trust and wealth management services. Historically, Wilmington Trust, N.A. offered selected deposit and loan products on a nationwide basis, through direct mail, telephone marketing techniques and the Internet. As of December 31, 2013, Wilmington Trust, N.A. had total assets of $1.7 billion, deposits of $1.1 billion and shareholder’s equity of $422 million.</w:t>
      </w:r>
    </w:p>
    <w:p>
      <w:pPr>
        <w:spacing w:after="0" w:line="2"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2013, Wilmington Trust Company had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total assets of $1.1 billion and shareholder’s equity of $544 million. Revenues of Wilmington Trust Company were $119 million in 2013. The headquarters of Wilmington Trust Company are located at 1100 North Market Street, Wilmington, Delaware 19890.</w:t>
      </w:r>
    </w:p>
    <w:p>
      <w:pPr>
        <w:ind w:right="100" w:firstLine="685"/>
        <w:spacing w:after="0" w:line="281" w:lineRule="auto"/>
        <w:rPr>
          <w:sz w:val="20"/>
          <w:szCs w:val="20"/>
          <w:color w:val="auto"/>
        </w:rPr>
      </w:pPr>
      <w:r>
        <w:rPr>
          <w:rFonts w:ascii="Arial" w:cs="Arial" w:eastAsia="Arial" w:hAnsi="Arial"/>
          <w:sz w:val="16"/>
          <w:szCs w:val="16"/>
          <w:color w:val="auto"/>
        </w:rPr>
        <w:t>M&amp;T Life Insurance Company (“M&amp;T Life Insurance”), a wholly owned subsidiary of M&amp;T, was incorporated as an Arizona business corporation in January 1984. M&amp;T Life Insurance is a credit reinsurer which reinsures credit life and accident and health insurance purchased by the Company’s consumer loan customers. As of December 31, 2013, M&amp;T Life Insurance had assets of $17 million and shareholder’s equity of $16 million. M&amp;T Life Insurance recorded revenues of $456 thousand during 2013. Headquarters of M&amp;T Life Insurance are located at 101 North First Avenue, Phoenix, Arizona 85003.</w:t>
      </w:r>
    </w:p>
    <w:p>
      <w:pPr>
        <w:spacing w:after="0" w:line="3"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2013, M&amp;T Insurance Agency had assets of $52 million and shareholder’s equity of $38 million. M&amp;T Insurance Agency recorded revenues of $25 million during 2013. The headquarters of M&amp;T Insurance Agency are located at 285 Delaware Avenue, Buffalo, New York 14202.</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2013, M&amp;T Reinsurance had assets of $20 million and shareholder’s equity of $14 million. M&amp;T Reinsurance recorded approximately $2 million of revenue during 2013. M&amp;T Reinsurance’s principal and registered office is at 148 College Street, Burlington, Vermont 05401.</w:t>
      </w:r>
    </w:p>
    <w:p>
      <w:pPr>
        <w:spacing w:after="0" w:line="3"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2013, M&amp;T Real Estate had assets of $17.8 billion, common shareholder’s equity of $15.9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$767 million of revenue in 2013. The headquarters of M&amp;T Real Estate are located at M&amp;T Center, One Fountain Plaza, Buffalo, New York 14203.</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2013, M&amp;T Realty Capital serviced $11.4 billion of commercial mortgage loans for non-affiliates and had assets of $492 million and shareholder’s equity of $85 million. M&amp;T Realty Capital recorded revenues of $97 million in 2013. The headquarters of M&amp;T Realty Capital are located at 25 South Charles Street, Baltimore, Maryland 21202.</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2013, M&amp;T Securities had assets of $65 million and shareholder’s equity of $44 million. M&amp;T Securities recorded $103 million of revenue during 2013. The headquarters of M&amp;T Securities are located at One M&amp;T Plaza, Buffalo, New York 14203.</w:t>
      </w:r>
    </w:p>
    <w:p>
      <w:pPr>
        <w:spacing w:after="0" w:line="4" w:lineRule="exact"/>
        <w:rPr>
          <w:sz w:val="20"/>
          <w:szCs w:val="20"/>
          <w:color w:val="auto"/>
        </w:rPr>
      </w:pPr>
    </w:p>
    <w:p>
      <w:pPr>
        <w:ind w:right="220" w:firstLine="685"/>
        <w:spacing w:after="0" w:line="252" w:lineRule="auto"/>
        <w:rPr>
          <w:sz w:val="20"/>
          <w:szCs w:val="20"/>
          <w:color w:val="auto"/>
        </w:rPr>
      </w:pPr>
      <w:r>
        <w:rPr>
          <w:rFonts w:ascii="Arial" w:cs="Arial" w:eastAsia="Arial" w:hAnsi="Arial"/>
          <w:sz w:val="18"/>
          <w:szCs w:val="18"/>
          <w:color w:val="auto"/>
        </w:rPr>
        <w:t>Wilmington Trust Investment Advisors, Inc. (“WT Investment Advisors”), a wholly owned subsidiary of M&amp;T Bank and formerly known as MTB Investment Advisors prior to its name change on January 10, 2012, was incorporated as a Maryland corporation on June 30, 1995. WT Investment Advisors, a registered investment advisor under the Investment Advisors Act, serves as investment advisor to the Wilmington Funds, a family of proprietary mutual funds, and institutional clients. As of December 31, 2013, WT Investment Advisors had assets of $34 million and shareholder’s equity of $27 million. WT Investment Advisors recorded revenues of $45 million in 2013. The headquarters of WT Investment Advisors are located at 100 East Pratt Street, Baltimore, Maryland 21202.</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Wilmington Funds Management Corporation (“Wilmington Funds Management”), formerly known as Rodney Square Management Corporation, is a wholly owned subsidiary of M&amp;T that was incorporated in September 1981 as a Delaware corporation. Wilmington Funds Management is registered as an investment advisor under the Investment Advisors Act and serves as the investment advisor to the Wilmington Funds. Wilmington Funds Management had assets of $11 million and shareholder’s equity of $10 million as of December 31, 2013. Wilmington Funds Management recorded revenues of $19 million in 2013. The headquarters of Wilmington Funds Management are located at 1100 North Market Street, Wilmington, Delaware 19890.</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2013, WTIM has assets of $23 million and shareholder’s equity of $23 million. WTIM recorded revenues of $7 million in 2013. WTIM’s headquarters is located at Terminus 27</w:t>
      </w:r>
      <w:r>
        <w:rPr>
          <w:rFonts w:ascii="Arial" w:cs="Arial" w:eastAsia="Arial" w:hAnsi="Arial"/>
          <w:sz w:val="10"/>
          <w:szCs w:val="10"/>
          <w:color w:val="auto"/>
        </w:rPr>
        <w:t>th</w:t>
      </w:r>
      <w:r>
        <w:rPr>
          <w:rFonts w:ascii="Arial" w:cs="Arial" w:eastAsia="Arial" w:hAnsi="Arial"/>
          <w:sz w:val="16"/>
          <w:szCs w:val="16"/>
          <w:color w:val="auto"/>
        </w:rPr>
        <w:t xml:space="preserve"> Floor, 3280 Peachtree Road N.E., Atlanta, Georgia 30305.</w:t>
      </w:r>
    </w:p>
    <w:p>
      <w:pPr>
        <w:spacing w:after="0" w:line="3" w:lineRule="exact"/>
        <w:rPr>
          <w:sz w:val="20"/>
          <w:szCs w:val="20"/>
          <w:color w:val="auto"/>
        </w:rPr>
      </w:pPr>
    </w:p>
    <w:p>
      <w:pPr>
        <w:ind w:right="140" w:firstLine="685"/>
        <w:spacing w:after="0" w:line="323" w:lineRule="auto"/>
        <w:rPr>
          <w:sz w:val="20"/>
          <w:szCs w:val="20"/>
          <w:color w:val="auto"/>
        </w:rPr>
      </w:pPr>
      <w:r>
        <w:rPr>
          <w:rFonts w:ascii="Arial" w:cs="Arial" w:eastAsia="Arial" w:hAnsi="Arial"/>
          <w:sz w:val="16"/>
          <w:szCs w:val="16"/>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Principal Products/Services and Foreign Operations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5" w:lineRule="exact"/>
        <w:rPr>
          <w:sz w:val="20"/>
          <w:szCs w:val="20"/>
          <w:color w:val="auto"/>
        </w:rPr>
      </w:pPr>
    </w:p>
    <w:p>
      <w:pPr>
        <w:jc w:val="both"/>
        <w:ind w:right="180" w:firstLine="685"/>
        <w:spacing w:after="0" w:line="302" w:lineRule="auto"/>
        <w:rPr>
          <w:sz w:val="20"/>
          <w:szCs w:val="20"/>
          <w:color w:val="auto"/>
        </w:rPr>
      </w:pPr>
      <w:r>
        <w:rPr>
          <w:rFonts w:ascii="Arial" w:cs="Arial" w:eastAsia="Arial" w:hAnsi="Arial"/>
          <w:sz w:val="16"/>
          <w:szCs w:val="16"/>
          <w:color w:val="auto"/>
        </w:rPr>
        <w:t>The only activities that, as a class, contributed 10% or more of the sum of consolidated interest income and other income in any of the last three years were interest on loans, trust income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the Company</w:t>
      </w:r>
    </w:p>
    <w:p>
      <w:pPr>
        <w:spacing w:after="0" w:line="2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Deposit Insurance Fund and the banking and financial system as a whole, and generally is not intended for the protection of shareholders, investors or creditors other than insured depositors. Described below are material elements of selected laws and regulations applicable to M&amp;T and its subsidiaries. The descriptions are not intended to be complete and are qualified in their entirety by reference to the full text of the statutes and regulations described.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M&amp;T is registered with the Board of Governors of the Federal Reserve Board System (the “Federal Reserve Board”) as a BHC under the BHCA. As such, M&amp;T and its subsidiaries are subject to the supervision, examination and reporting requirements of the BHCA and the regulations of the Federal Reserve Board.</w:t>
      </w:r>
    </w:p>
    <w:p>
      <w:pPr>
        <w:spacing w:after="0" w:line="1"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In general, the BHCA limits the business of a BHC to banking, managing or controlling banks and other activities that the Federal Reserve Board has determined to be so closely related to banking as to be a proper incident thereto. In addition, 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Board, by regulation or order, in consultation with the Secretary of the Treasury) or (ii) complementary to 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financial activity and does not pose a substantial risk to the safety and soundness of depository institutions or the financial system generally (as solely determined by the Federal Reserve Board). Activities that are financial in nature include securities underwriting and dealing, insurance underwriting and making merchant banking investments.</w:t>
      </w:r>
    </w:p>
    <w:p>
      <w:pPr>
        <w:ind w:right="40" w:firstLine="685"/>
        <w:spacing w:after="0" w:line="281" w:lineRule="auto"/>
        <w:rPr>
          <w:sz w:val="20"/>
          <w:szCs w:val="20"/>
          <w:color w:val="auto"/>
        </w:rPr>
      </w:pPr>
      <w:r>
        <w:rPr>
          <w:rFonts w:ascii="Arial" w:cs="Arial" w:eastAsia="Arial" w:hAnsi="Arial"/>
          <w:sz w:val="16"/>
          <w:szCs w:val="16"/>
          <w:color w:val="auto"/>
        </w:rPr>
        <w:t>To maintain financial holding company status, a financial holding company and all of its depository institution subsidiaries must be “well capitalized” and “well managed.” M&amp;T became a financial holding company on March 1, 2011. If a financial holding company fails to continue to meet any of the prerequisites for financial holding company status, the company must enter into an agreement with the Federal Reserve Board to comply with all applicable capital and management requirements. Under such agreement, the noncompliant financial holding company generally may not commence any additional activity or acquire shares of any company pursuant to the financial holding company provisions of the BHCA, without prior approval of the Federal Reserve Board. If the company does not return to compliance within 180 days, the Federal Reserve Board may order the company to divest its subsidiary banks or the company may discontinue or divest investments in companies engaged in activities permissible only for a BHC electing to be treated as a financial holding company. In order for a financial holding company to commence any new activity or to acquire a company engaged in any activity pursuant to the financial holding company provisions of the BHCA, each insured depository institution subsidiary of the financial holding company also must have at least a “satisfactory” rating under the Community Reinvestment Act of 1977 (the “CRA”). See the section captioned “Community Reinvestment Act” included elsewhere in this item.</w:t>
      </w:r>
    </w:p>
    <w:p>
      <w:pPr>
        <w:spacing w:after="0" w:line="7" w:lineRule="exact"/>
        <w:rPr>
          <w:sz w:val="20"/>
          <w:szCs w:val="20"/>
          <w:color w:val="auto"/>
        </w:rPr>
      </w:pPr>
    </w:p>
    <w:p>
      <w:pPr>
        <w:ind w:right="40" w:firstLine="685"/>
        <w:spacing w:after="0" w:line="295" w:lineRule="auto"/>
        <w:rPr>
          <w:sz w:val="20"/>
          <w:szCs w:val="20"/>
          <w:color w:val="auto"/>
        </w:rPr>
      </w:pPr>
      <w:r>
        <w:rPr>
          <w:rFonts w:ascii="Arial" w:cs="Arial" w:eastAsia="Arial" w:hAnsi="Arial"/>
          <w:sz w:val="16"/>
          <w:szCs w:val="16"/>
          <w:color w:val="auto"/>
        </w:rPr>
        <w:t>Current federal law also establishes a system of functional regulation under which, in addition to the broad supervisory authority that the Federal Reserve Board has over both the banking and non-banking activities of bank holding companies, the federal banking agencies regulate the banking activities of bank holding companies, banks and savings associations and subsidiaries of the foregoing, the U.S. Securities and Exchange Commission (“SEC”) regulates their securities activities, and state insurance regulators regulate their insurance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The events of the past few years have led to numerous new laws in the United States and internationally for financial institutions. The Dodd-Frank Wall Street Reform and Consumer Protection Act (the “Dodd-Frank Act” or “Dodd-Frank”), which was enacted in July 2010, significantly restructures the financial regulatory regime in the United States and provides for enhanced supervision and prudential standards for, among other things, bank holding companies, like M&amp;T, that have total consolidated assets of $50 billion or more. The implications of the Dodd-Frank Act for the Company’s businesses will depend to a large extent on the manner in which rules adopted pursuant to the Dodd-Frank Act are implemented by the primary U.S. financial regulatory agencies as well as potential changes in market practices and structures in response to the requirements of the Dodd-Frank Act and financial reforms in other jurisdictions.</w:t>
      </w:r>
    </w:p>
    <w:p>
      <w:pPr>
        <w:spacing w:after="0" w:line="4" w:lineRule="exact"/>
        <w:rPr>
          <w:sz w:val="20"/>
          <w:szCs w:val="20"/>
          <w:color w:val="auto"/>
        </w:rPr>
      </w:pPr>
    </w:p>
    <w:p>
      <w:pPr>
        <w:jc w:val="both"/>
        <w:ind w:right="200" w:firstLine="685"/>
        <w:spacing w:after="0" w:line="300" w:lineRule="auto"/>
        <w:rPr>
          <w:sz w:val="20"/>
          <w:szCs w:val="20"/>
          <w:color w:val="auto"/>
        </w:rPr>
      </w:pPr>
      <w:r>
        <w:rPr>
          <w:rFonts w:ascii="Arial" w:cs="Arial" w:eastAsia="Arial" w:hAnsi="Arial"/>
          <w:sz w:val="15"/>
          <w:szCs w:val="15"/>
          <w:color w:val="auto"/>
        </w:rPr>
        <w:t>The Dodd-Frank Act broadened the base for FDIC insurance assessments. Beginning in the second quarter of 2011, assessments are based on average consolidated total assets less average Tier 1 capital and certain allowable deductions of a financial institution. The Dodd-Frank Act also permanently increased the maximum amount of deposit insurance for banks, savings institutions and credit unions to $250,000 per depositor, retroactive to January 1, 2009.</w:t>
      </w:r>
    </w:p>
    <w:p>
      <w:pPr>
        <w:spacing w:after="0" w:line="1"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3" w:lineRule="exact"/>
        <w:rPr>
          <w:sz w:val="20"/>
          <w:szCs w:val="20"/>
          <w:color w:val="auto"/>
        </w:rPr>
      </w:pPr>
    </w:p>
    <w:p>
      <w:pPr>
        <w:ind w:right="360" w:firstLine="685"/>
        <w:spacing w:after="0" w:line="250" w:lineRule="auto"/>
        <w:rPr>
          <w:sz w:val="20"/>
          <w:szCs w:val="20"/>
          <w:color w:val="auto"/>
        </w:rPr>
      </w:pPr>
      <w:r>
        <w:rPr>
          <w:rFonts w:ascii="Arial" w:cs="Arial" w:eastAsia="Arial" w:hAnsi="Arial"/>
          <w:sz w:val="18"/>
          <w:szCs w:val="18"/>
          <w:color w:val="auto"/>
        </w:rPr>
        <w:t>The Dodd-Frank Act established a new Bureau of Consumer Financial Protection (“CFPB”) with broad powers to supervise and enforce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the Dodd-Frank Act, among other things:</w:t>
      </w:r>
    </w:p>
    <w:p>
      <w:pPr>
        <w:spacing w:after="0" w:line="9" w:lineRule="exact"/>
        <w:rPr>
          <w:sz w:val="20"/>
          <w:szCs w:val="20"/>
          <w:color w:val="auto"/>
        </w:rPr>
      </w:pPr>
    </w:p>
    <w:p>
      <w:pPr>
        <w:ind w:left="700" w:right="5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weakened the federal preemption rules that have been applicable for national banks and gives state attorneys general the ability to enforce federal consumer protection laws;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100" w:hanging="243"/>
        <w:spacing w:after="0" w:line="20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amended the Electronic Fund Transfer Act (“EFTA”) which resulted in, among other things, the Federal Reserve Board issuing rules aimed at limiting debit-card interchange fees;</w:t>
      </w:r>
    </w:p>
    <w:p>
      <w:pPr>
        <w:spacing w:after="0" w:line="1" w:lineRule="exact"/>
        <w:rPr>
          <w:sz w:val="20"/>
          <w:szCs w:val="20"/>
          <w:color w:val="auto"/>
        </w:rPr>
      </w:pP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applied the same leverage and risk-based capital requirements that apply to insured depository institutions to most bank holding companies;</w:t>
      </w:r>
    </w:p>
    <w:p>
      <w:pPr>
        <w:ind w:left="700" w:right="6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for an increase in the FDIC assessment for depository institutions with assets of $10 billion or more and increased the minimum reserve ratio for the deposit insurance fund from 1.15% to 1.35%;</w:t>
      </w:r>
    </w:p>
    <w:p>
      <w:pPr>
        <w:spacing w:after="0" w:line="1" w:lineRule="exact"/>
        <w:rPr>
          <w:sz w:val="20"/>
          <w:szCs w:val="20"/>
          <w:color w:val="auto"/>
        </w:rPr>
      </w:pPr>
    </w:p>
    <w:p>
      <w:pPr>
        <w:ind w:left="700" w:right="1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imposed comprehensive regulation of the over-the-counter derivatives market, which would include certain provisions that would effectively prohibit insured depository institutions from conducting certain derivatives businesses in the institution itself;</w:t>
      </w:r>
    </w:p>
    <w:p>
      <w:pPr>
        <w:ind w:left="700" w:right="16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repealed the federal prohibitions on the payment of interest on demand deposits, thereby permitting depository institutions to pay interest on business transaction and other accounts;</w:t>
      </w:r>
    </w:p>
    <w:p>
      <w:pPr>
        <w:ind w:left="700" w:right="14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2" w:lineRule="exact"/>
        <w:rPr>
          <w:sz w:val="20"/>
          <w:szCs w:val="20"/>
          <w:color w:val="auto"/>
        </w:rPr>
      </w:pP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created the Financial Stability Oversight Council, which will recommend to the Federal Reserve Board increasingly strict rules for capital, leverage, liquidity, risk management and other requirements as companies grow in size and complexity.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Supervision and Prudential Standards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Section 165 of the Dodd-Frank Act directed the Federal Reserve Board to enact enhanced prudential standards applicable to foreign banking organizations and bank holding companies with total consolidated assets of $50 billion or more, such as M&amp;T. On February 18, 2014, the Federal Reserve Board adopted amendments to Regulation YY to implement certain of the required enhanced prudential standards. These enhanced prudential standards, which are intended to help increase the resiliency of the operations of these organizations, include liquidity requirements, requirements for overall risk management (including establishing a risk committee), and a 15-to-1 debt-to-equity limit for companies that the Financial Stability Oversight Council has determined pose a grave threat to financial stability. M&amp;T will have to comply with the liquidity requirements and risk management requirements by January 1, 2015. The Federal Reserve Board has not yet adopted final single counterparty credit limits or early remediation requirements.</w:t>
      </w:r>
    </w:p>
    <w:p>
      <w:pPr>
        <w:spacing w:after="0" w:line="5" w:lineRule="exact"/>
        <w:rPr>
          <w:sz w:val="20"/>
          <w:szCs w:val="20"/>
          <w:color w:val="auto"/>
        </w:rPr>
      </w:pPr>
    </w:p>
    <w:p>
      <w:pPr>
        <w:ind w:right="20" w:firstLine="685"/>
        <w:spacing w:after="0" w:line="254" w:lineRule="auto"/>
        <w:rPr>
          <w:sz w:val="20"/>
          <w:szCs w:val="20"/>
          <w:color w:val="auto"/>
        </w:rPr>
      </w:pPr>
      <w:r>
        <w:rPr>
          <w:rFonts w:ascii="Arial" w:cs="Arial" w:eastAsia="Arial" w:hAnsi="Arial"/>
          <w:sz w:val="18"/>
          <w:szCs w:val="18"/>
          <w:color w:val="auto"/>
        </w:rPr>
        <w:t>The rule addresses a diverse array of regulatory areas, each of which is highly complex. In some instances they implement new financial regulatory requirements and in other instances they overlap with regulatory reforms currently in existence (such as the Basel III capital and liquidity reforms discussed later in this section). M&amp;T is analyzing the impact of the final rule on its businesses; however, the full impact will not be known until the rule and other regulatory initiatives that overlap with the final rule can be analyzed.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Volcker Rule</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Dodd-Frank Act requires the federal financial regulatory agencies to adopt rules that prohibit banks and their affiliates from engaging in proprietary trading and investing in and sponsoring certain unregistered investment companies (defined as hedge funds and private equity funds). The statutory provision is commonly called the “Volcker Rule.” On December 10, 2013, the federal banking regulators and the SEC adopted final rules to implement the Volcker Rule. The Company believes that it does not engage in any significant amount of proprietary trading as defined in the Volcker Rule and that, although it may be required by the covered funds provisions to divest certain investments by the end of the compliance period, the Volcker Rule is not expected to have a significant effect on M&amp;T’s financial condition or its results of operations. Although the Volcker Rule became effective on July 21, 2012 and the final rules are effective April 1, 2014, in connection with the adoption of the final rules on December 10, 2013 by the responsible agencies, the Federal Reserve issued an order extending the period during which institutions have to conform their activities and investments to the requirements of the Volcker Rule to July 21, 2015.</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M&amp;T is a legal entity separate and distinct from its banking and other subsidiaries. Historically, the majority of M&amp;T’s revenue has been from dividends paid to M&amp;T by its subsidiary banks. M&amp;T Bank and Wilmington Trust, N.A. are subject, under one or more of the banking laws, to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 w:lineRule="exact"/>
        <w:rPr>
          <w:sz w:val="20"/>
          <w:szCs w:val="20"/>
          <w:color w:val="auto"/>
        </w:rPr>
      </w:pPr>
    </w:p>
    <w:p>
      <w:pPr>
        <w:jc w:val="both"/>
        <w:ind w:right="80" w:firstLine="685"/>
        <w:spacing w:after="0" w:line="255" w:lineRule="auto"/>
        <w:rPr>
          <w:sz w:val="20"/>
          <w:szCs w:val="20"/>
          <w:color w:val="auto"/>
        </w:rPr>
      </w:pPr>
      <w:r>
        <w:rPr>
          <w:rFonts w:ascii="Arial" w:cs="Arial" w:eastAsia="Arial" w:hAnsi="Arial"/>
          <w:sz w:val="18"/>
          <w:szCs w:val="18"/>
          <w:color w:val="auto"/>
        </w:rPr>
        <w:t>Dividend payments by M&amp;T to its shareholders and stock repurchases by M&amp;T are subject to the oversight of the Federal Reserve Board. As described below in this section under “Federal Reserve Board’s Capital Plan Review,” dividends and stock repurchases generally may only be paid or made under a capital plan as to which the Federal Reserve Board has not objected.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M&amp;T Bank’s Subsidiaries</w:t>
      </w:r>
    </w:p>
    <w:p>
      <w:pPr>
        <w:spacing w:after="0" w:line="2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M&amp;T Bank has a number of subsidiaries. These subsidiaries are subject to the laws and regulations of both the federal government and the various states in which they conduct business. For example, M&amp;T Securities is regulated by the SEC, the Financial Industry Regulatory Authority and state securities regulators.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M&amp;T and its subsidiary banks are required to comply with applicable capital adequacy standards established by the federal banking agencies. The current risk-based capital standards applicable to M&amp;T and its subsidiary banks are based on the 1988 Capital Accord, known as Basel I, of the Basel Committee on Banking Supervision (the “Basel Committee”). However, the federal banking agencies have recently adopted rules implementing the Basel III framework that will replace these rules for M&amp;T and its subsidiary banks effective January 1, 2015.</w:t>
      </w:r>
    </w:p>
    <w:p>
      <w:pPr>
        <w:spacing w:after="0" w:line="2"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i w:val="1"/>
          <w:iCs w:val="1"/>
          <w:color w:val="auto"/>
        </w:rPr>
        <w:t xml:space="preserve">Basel I Risk-based Capital Standards. </w:t>
      </w:r>
      <w:r>
        <w:rPr>
          <w:rFonts w:ascii="Arial" w:cs="Arial" w:eastAsia="Arial" w:hAnsi="Arial"/>
          <w:sz w:val="16"/>
          <w:szCs w:val="16"/>
          <w:color w:val="auto"/>
        </w:rPr>
        <w:t>The Basel I risk-based capital standards are designed to make regulatory capital requirements more sensitive to</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in credit and market risk profiles among bank and financial holding companies, to account for off-balance sheet exposure, and to minimize disincentives for holding liquid assets. Assets and off-balance sheet items are assigned to broad risk categories, each with appropriate weights. The resulting capital ratios represent capital as a percentage of total risk-weighted assets and off-balance sheet items.</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minimum guideline for the ratio of total capital (“Total Capital”) to risk-weighted assets (including certain off-balance sheet items, such as standby letters of credit) is 8.0%. At least half of the Total Capital must be “Tier 1 Capital,” which currently consists of qualifying common equity, qualifying perpetual preferred stock (including related surplus), minority interests relating to qualifying common or non-cumulative perpetual preferred stock issued by a consolidated U.S. depository institution or foreign bank subsidiary, and certain “restricted core capital elements,” as discussed below, less goodwill and certain other intangible assets. Currently, “Tier 2 Capital” may consist of, among other things, qualifying subordinated debt, mandatorily convertible debt securities, preferred stock and trust preferred securities not included in the definition of Tier 1 Capital, and a limited amount of the allowance for loan losses. Non-cumulative perpetual preferred stock, trust preferred securities and other so-called “restricted core capital elements” are currently limited to 25% of Tier 1 Capital. Pursuant to the Dodd-Frank Act, trust preferred securities will be phased-out of the definition of Tier 1 Capital of bank holding companies having consolidated assets exceeding $500 million, such that in 2015 25% of trust preferred securities will be includable in Tier 1 Capital and none will be includable beginning in 2016.</w:t>
      </w:r>
    </w:p>
    <w:p>
      <w:pPr>
        <w:spacing w:after="0" w:line="6" w:lineRule="exact"/>
        <w:rPr>
          <w:sz w:val="20"/>
          <w:szCs w:val="20"/>
          <w:color w:val="auto"/>
        </w:rPr>
      </w:pPr>
    </w:p>
    <w:p>
      <w:pPr>
        <w:jc w:val="both"/>
        <w:ind w:right="40" w:firstLine="685"/>
        <w:spacing w:after="0" w:line="302" w:lineRule="auto"/>
        <w:rPr>
          <w:sz w:val="20"/>
          <w:szCs w:val="20"/>
          <w:color w:val="auto"/>
        </w:rPr>
      </w:pPr>
      <w:r>
        <w:rPr>
          <w:rFonts w:ascii="Arial" w:cs="Arial" w:eastAsia="Arial" w:hAnsi="Arial"/>
          <w:sz w:val="16"/>
          <w:szCs w:val="16"/>
          <w:color w:val="auto"/>
        </w:rPr>
        <w:t>The minimum guideline to be considered well-capitalized for Tier 1 Capital and Total Capital is 6.0% and 10.0%, respectively. At December 31, 2013, M&amp;T’s consolidated Tier 1 Capital ratio was 12.00%, and its Total Capital ratio was 15.07%. The elements currently comprising Tier 1 Capital and Tier 2 Capital and the minimum Tier 1 Capital and Total Capital ratios may in the future be subject to change, as discussed in greater detail below.</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Bank holding companies and banks are also currently required to comply with minimum leverage ratio requirements. The leverage ratio is the ratio of a banking organization’s Tier 1 capital to its total adjusted quarterly average assets (as defined for regulatory purposes). The requirements necessitate a minimum leverage ratio of 3.0% for bank holding companies and member banks that either have the highest supervisory rating or have implemented the appropriate federal regulatory authority’s risk adjusted measure for market risk. All other bank holding companies and member banks are required to maintain a minimum leverage ratio of 4.0%, unless a different minimum is specified by an appropriate regulatory authority. In addition, for a depository institution to be considered “well capitalized” under the regulatory framework for prompt corrective action, its leverage ratio must be at least 5.0%. The Federal Reserve Board has not advised M&amp;T or its subsidiary banks of any specific minimum leverage ratio applicable to them.</w:t>
      </w:r>
    </w:p>
    <w:p>
      <w:pPr>
        <w:ind w:right="20" w:firstLine="685"/>
        <w:spacing w:after="0" w:line="281" w:lineRule="auto"/>
        <w:rPr>
          <w:sz w:val="20"/>
          <w:szCs w:val="20"/>
          <w:color w:val="auto"/>
        </w:rPr>
      </w:pPr>
      <w:r>
        <w:rPr>
          <w:rFonts w:ascii="Arial" w:cs="Arial" w:eastAsia="Arial" w:hAnsi="Arial"/>
          <w:sz w:val="16"/>
          <w:szCs w:val="16"/>
          <w:i w:val="1"/>
          <w:iCs w:val="1"/>
          <w:color w:val="auto"/>
        </w:rPr>
        <w:t xml:space="preserve">Basel II Standards. </w:t>
      </w:r>
      <w:r>
        <w:rPr>
          <w:rFonts w:ascii="Arial" w:cs="Arial" w:eastAsia="Arial" w:hAnsi="Arial"/>
          <w:sz w:val="16"/>
          <w:szCs w:val="16"/>
          <w:color w:val="auto"/>
        </w:rPr>
        <w:t>In 2004, the Basel Committee published a new set of risk-based capital standards (“Basel II”) in order to update Basel I. Basel II</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two approaches for setting capital standards for credit risk — an internal ratings-based approach tailored to individual institutions’ circumstances and a standardized approach that bases risk-weighting on external credit assessments to a much greater extent than permitted in the existing risk-based capital guidelines. Basel II also would set capital requirements for operational risk and refine the existing capital requirements for market risk exposures. A definitive final rule for implementing the advanced approaches of Basel II in the United States, which applies only to internationally active banking organizations, or “core banks” (defined as those with consolidated total assets of $250 billion or more or consolidated on-balance sheet foreign exposures of $10 billion or more) became effective on April 1, 2008. Other U.S. banking organizations may elect to adopt the requirements of this rule (if they meet applicable qualification requirements), but are not required to comply. The rule also allows a banking organization’s primary federal supervisor to determine that application of the rule would not be appropriate in light of the bank’s asset size, level of complexity, risk profile or scope of operations. Neither M&amp;T Bank nor Wilmington Trust, N.A. is currently required to comply with Basel II.</w:t>
      </w:r>
    </w:p>
    <w:p>
      <w:pPr>
        <w:spacing w:after="0" w:line="7"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i w:val="1"/>
          <w:iCs w:val="1"/>
          <w:color w:val="auto"/>
        </w:rPr>
        <w:t xml:space="preserve">Basel III and the New Capital Rules. </w:t>
      </w:r>
      <w:r>
        <w:rPr>
          <w:rFonts w:ascii="Arial" w:cs="Arial" w:eastAsia="Arial" w:hAnsi="Arial"/>
          <w:sz w:val="16"/>
          <w:szCs w:val="16"/>
          <w:color w:val="auto"/>
        </w:rPr>
        <w:t>In July 2013, the federal banking agencies approved final rules (the “New Capital Rules”) establishing a new</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capital framework for U.S. banking organizations. The New Capital Rules generally implement the Basel Committee’s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M&amp;T Bank and Wilmington Trust, N.A., as compared to the current U.S. general risk-based capital rules.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and replace the existing general risk-weighting approach, which was derived from the Basel I capital accords, with a more risk-sensitive approach based, in part, on the “standardized approach” in the Basel II capital accords. In addition, the New Capital Rules implement certain provisions of the Dodd-Frank Act, including the requirements of Section 939A to remove references to credit ratings from the federal agencies’ rules. The New Capital Rules are effective for M&amp;T on January 1, 2015, subject to phase-in periods for certain of their components and other provisions.</w:t>
      </w:r>
    </w:p>
    <w:p>
      <w:pPr>
        <w:spacing w:after="0" w:line="7"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w:t>
      </w:r>
    </w:p>
    <w:p>
      <w:pPr>
        <w:spacing w:after="0" w:line="2" w:lineRule="exact"/>
        <w:rPr>
          <w:sz w:val="20"/>
          <w:szCs w:val="20"/>
          <w:color w:val="auto"/>
        </w:rPr>
      </w:pPr>
    </w:p>
    <w:p>
      <w:pPr>
        <w:ind w:right="220" w:firstLine="8"/>
        <w:spacing w:after="0" w:line="250"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the scope of the deductions from and adjustments to capital as compared to existing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Pursuant to the New Capital Rules, the minimum capital ratios as of January 1, 2015 will be as follows:</w:t>
      </w:r>
    </w:p>
    <w:p>
      <w:pPr>
        <w:spacing w:after="0" w:line="9" w:lineRule="exact"/>
        <w:rPr>
          <w:rFonts w:ascii="Arial" w:cs="Arial" w:eastAsia="Arial" w:hAnsi="Arial"/>
          <w:sz w:val="18"/>
          <w:szCs w:val="18"/>
          <w:color w:val="auto"/>
        </w:rPr>
      </w:pPr>
    </w:p>
    <w:p>
      <w:pPr>
        <w:ind w:left="460"/>
        <w:spacing w:after="0" w:line="186"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4.5% CET1 to risk-weighted assets;</w:t>
      </w:r>
    </w:p>
    <w:p>
      <w:pPr>
        <w:ind w:left="460"/>
        <w:spacing w:after="0" w:line="180"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6.0% Tier 1 capital (that is, CET1 plus Additional Tier 1 capital) to risk-weighted assets;</w:t>
      </w:r>
    </w:p>
    <w:p>
      <w:pPr>
        <w:ind w:left="460"/>
        <w:spacing w:after="0" w:line="180" w:lineRule="auto"/>
        <w:rPr>
          <w:rFonts w:ascii="Arial" w:cs="Arial" w:eastAsia="Arial" w:hAnsi="Arial"/>
          <w:sz w:val="18"/>
          <w:szCs w:val="18"/>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8.0% Total capital (that is, Tier 1 capital plus Tier 2 capital) to risk-weighted assets; and</w:t>
      </w:r>
    </w:p>
    <w:p>
      <w:pPr>
        <w:ind w:left="460"/>
        <w:spacing w:after="0"/>
        <w:rPr>
          <w:rFonts w:ascii="Arial" w:cs="Arial" w:eastAsia="Arial" w:hAnsi="Arial"/>
          <w:sz w:val="18"/>
          <w:szCs w:val="18"/>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4.0% Tier 1 capital to average consolidated assets as reported on consolidated financial statements (known as the “leverage ratio”).</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2" w:lineRule="auto"/>
        <w:rPr>
          <w:sz w:val="20"/>
          <w:szCs w:val="20"/>
          <w:color w:val="auto"/>
        </w:rPr>
      </w:pPr>
      <w:r>
        <w:rPr>
          <w:rFonts w:ascii="Arial" w:cs="Arial" w:eastAsia="Arial" w:hAnsi="Arial"/>
          <w:sz w:val="16"/>
          <w:szCs w:val="16"/>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M&amp;T will include an additional capital conservation buffer of 2.5% of CET1, effectively resulting in minimum ratios inclusive of the capital conservation buffer of (i) CET1 to risk-weighted assets of at least 7%, (ii) Tier 1 capital to risk-weighted assets of at least 8.5%; (iii) Total capital to risk-weighted assets of at least 10.5% and (iv) a minimum leverage ratio of 4%, calculated as the ratio of Tier 1 capital to average assets (as compared to a current minimum leverage ratio of 3% for banking organizations that either have the highest supervisory rating or have implemented the appropriate federal regulatory authority’s risk-adjusted measure for market risk). In addition, M&amp;T is also subject to the Federal Reserve Board’s capital plan rule and supervisory Capital Analysis and Review (“CCAR”) process, pursuant to which its ability to make capital distributions and repurchase or redeem capital securities may be limited unless M&amp;T is able to demonstrate its ability to meet applicable minimum capital ratios and currently a 5% minimum Tier 1 common equity ratio, as well as other requirements, over a nine quarter planning horizon under a “severely adverse” macroeconomic scenario generated yearly by the federal bank regulators. See “Stress Testing and Capital Plan Review”, below.</w:t>
      </w:r>
    </w:p>
    <w:p>
      <w:pPr>
        <w:spacing w:after="0" w:line="5"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 addition, under the current general risk-based capital rules, the effects of accumulated other comprehensive income or loss (“AOCI”) items included in shareholders’ equity (for example, marks-to-market of securities held in the available-for-sale portfolio) under U.S. GAAP are reversed for the purposes of determining regulatory capital ratios. Pursuant to the New Capital Rules, the effects of certain AOCI items are not excluded; however, non-advanced approaches banking organizations, including M&amp;T, may make a one-time permanent election to continue to exclude these items. 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February 2014, M&amp;T will redeem all of the 8.50% junior subordinated debentures associated with the trust preferred capital securities of M&amp;T Capital Trust IV. Additionally, M&amp;T issued $350 million of preferred stock during the first quarter of 2014 that qualifies as regulatory capital.</w:t>
      </w:r>
    </w:p>
    <w:p>
      <w:pPr>
        <w:spacing w:after="0" w:line="7" w:lineRule="exact"/>
        <w:rPr>
          <w:sz w:val="20"/>
          <w:szCs w:val="20"/>
          <w:color w:val="auto"/>
        </w:rPr>
      </w:pPr>
    </w:p>
    <w:p>
      <w:pPr>
        <w:ind w:right="220" w:firstLine="685"/>
        <w:spacing w:after="0" w:line="250" w:lineRule="auto"/>
        <w:rPr>
          <w:sz w:val="20"/>
          <w:szCs w:val="20"/>
          <w:color w:val="auto"/>
        </w:rPr>
      </w:pPr>
      <w:r>
        <w:rPr>
          <w:rFonts w:ascii="Arial" w:cs="Arial" w:eastAsia="Arial" w:hAnsi="Arial"/>
          <w:sz w:val="18"/>
          <w:szCs w:val="18"/>
          <w:color w:val="auto"/>
        </w:rPr>
        <w:t>Management believes that M&amp;T will be able to comply with the targeted capital ratios upon implementation of the revised requirements, as finalized. More specifically, management estimates that M&amp;T’s ratio of CET1 to risk-weighted assets under the New Capital Rules on a fully phased-in basis was approximately 8.98% as of December 31, 2013, reflecting a good faith estimate of the computation of CET1 and M&amp;T’s risk-weighted assets under the methodologies set forth in the New Capital Rules.</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M&amp;T’s regulatory capital ratios under risk-based capital rules currently in effect are presented in note 23 of Notes to Financial Statements filed herewith in Part II, Item 8, “Financial Statements and Supplementary Data.”</w:t>
      </w:r>
    </w:p>
    <w:p>
      <w:pPr>
        <w:spacing w:after="0" w:line="1" w:lineRule="exact"/>
        <w:rPr>
          <w:sz w:val="20"/>
          <w:szCs w:val="20"/>
          <w:color w:val="auto"/>
        </w:rPr>
      </w:pPr>
    </w:p>
    <w:p>
      <w:pPr>
        <w:ind w:right="120" w:firstLine="685"/>
        <w:spacing w:after="0" w:line="292" w:lineRule="auto"/>
        <w:rPr>
          <w:sz w:val="20"/>
          <w:szCs w:val="20"/>
          <w:color w:val="auto"/>
        </w:rPr>
      </w:pPr>
      <w:r>
        <w:rPr>
          <w:rFonts w:ascii="Arial" w:cs="Arial" w:eastAsia="Arial" w:hAnsi="Arial"/>
          <w:sz w:val="16"/>
          <w:szCs w:val="16"/>
          <w:i w:val="1"/>
          <w:iCs w:val="1"/>
          <w:color w:val="auto"/>
        </w:rPr>
        <w:t xml:space="preserve">Liquidity Ratios under Basel III. </w:t>
      </w:r>
      <w:r>
        <w:rPr>
          <w:rFonts w:ascii="Arial" w:cs="Arial" w:eastAsia="Arial" w:hAnsi="Arial"/>
          <w:sz w:val="16"/>
          <w:szCs w:val="16"/>
          <w:color w:val="auto"/>
        </w:rPr>
        <w:t>Historically, regulation and monitoring of bank and BHC liquidity has been addressed as a supervisory matter, both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and internationally, without required formulaic measures. The Basel III final framework requires banks and bank holding companies to measure their liquidity against specific liquidity tests. One test, referred to as the liquidity coverage ratio (“LCR”), is designed to ensure that the banking entity maintains an adequate level of unencumbered high-quality liquid assets equal to the entity’s expected net cash outflow for a 30-day time horizon (or, if greater, 25% of its expected total cash outflow) under an acute liquidity stress scenario. The other, referred to as the net stable</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funding ratio (“NSFR”), is designed to promote more medium- and long-term funding of the assets and activities of banking entities over a one-year time horizon. These requirements will incent banking entities to increase their holdings of U.S. Treasury securities and other sovereign debt as a component of assets and increase the use of long-term debt as a funding source.</w:t>
      </w:r>
    </w:p>
    <w:p>
      <w:pPr>
        <w:ind w:firstLine="685"/>
        <w:spacing w:after="0" w:line="250" w:lineRule="auto"/>
        <w:rPr>
          <w:sz w:val="20"/>
          <w:szCs w:val="20"/>
          <w:color w:val="auto"/>
        </w:rPr>
      </w:pPr>
      <w:r>
        <w:rPr>
          <w:rFonts w:ascii="Arial" w:cs="Arial" w:eastAsia="Arial" w:hAnsi="Arial"/>
          <w:sz w:val="18"/>
          <w:szCs w:val="18"/>
          <w:color w:val="auto"/>
        </w:rPr>
        <w:t>In October 2013, the federal banking agencies proposed rules implementing the LCR for advanced approaches institutions and a modified version of the LCR for bank holding companies with at least $50 billion in total consolidated assets that are not advanced approaches institutions. M&amp;T is not an advanced approaches institution and would only be required to comply with the modified LCR, which as currently written, among other differences from the LCR, only uses a 21-day time horizon for calculating the level of required high-quality liquid assets under a stress scenario. The proposed rule would be phased in over a two-year period beginning January 1, 2015, with 80% compliance required on January 1, 2015, 90% compliance on January 1, 2016 and 100% compliance on January 1, 2017. Additionally, while the proposed rules do not implement the NSFR, the Federal Reserve Board has stated its intent to adopt a version of the NSFR as well.</w:t>
      </w:r>
    </w:p>
    <w:p>
      <w:pPr>
        <w:spacing w:after="0" w:line="3"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color w:val="auto"/>
        </w:rPr>
        <w:t>The Federal Reserve Board’s proposed heightened prudential requirements for bank holding companies with $50 billion or more of consolidated total assets also include enhanced liquidity standards, as noted above under the caption “Enhanced Supervision and Prudential Standards.”</w:t>
      </w:r>
    </w:p>
    <w:p>
      <w:pPr>
        <w:spacing w:after="0" w:line="1" w:lineRule="exact"/>
        <w:rPr>
          <w:sz w:val="20"/>
          <w:szCs w:val="20"/>
          <w:color w:val="auto"/>
        </w:rPr>
      </w:pPr>
    </w:p>
    <w:p>
      <w:pPr>
        <w:ind w:right="60" w:firstLine="685"/>
        <w:spacing w:after="0" w:line="252" w:lineRule="auto"/>
        <w:rPr>
          <w:sz w:val="20"/>
          <w:szCs w:val="20"/>
          <w:color w:val="auto"/>
        </w:rPr>
      </w:pPr>
      <w:r>
        <w:rPr>
          <w:rFonts w:ascii="Arial" w:cs="Arial" w:eastAsia="Arial" w:hAnsi="Arial"/>
          <w:sz w:val="18"/>
          <w:szCs w:val="18"/>
          <w:i w:val="1"/>
          <w:iCs w:val="1"/>
          <w:color w:val="auto"/>
        </w:rPr>
        <w:t xml:space="preserve">Capital Requirements of Subsidiary Depository Institutions. </w:t>
      </w:r>
      <w:r>
        <w:rPr>
          <w:rFonts w:ascii="Arial" w:cs="Arial" w:eastAsia="Arial" w:hAnsi="Arial"/>
          <w:sz w:val="18"/>
          <w:szCs w:val="18"/>
          <w:color w:val="auto"/>
        </w:rPr>
        <w:t>M&amp;T Bank and Wilmington Trust, N.A. are subject to substantially similar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as those applicable to M&amp;T. As of December 31, 2013, both M&amp;T Bank and Wilmington Trust, N.A. were in compliance with applicable minimum capital requirements. None of M&amp;T, M&amp;T Bank or Wilmington Trust, N.A. has been advised by any federal banking agency of a failure to meet any specific minimum capital ratio requirement applicable to it as of December 31, 2013. Failure to meet capital guidelines could subject a bank to a variety of enforcement remedies, including the termination of deposit insurance by the FDIC, and to certain restrictions on its business. See “Regulatory Remedies under the FDIA”,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Stress Testing and Capital Plan Review</w:t>
      </w:r>
    </w:p>
    <w:p>
      <w:pPr>
        <w:spacing w:after="0" w:line="21"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As part of the enhanced prudential requirements applicable to systemically important financial institutions, the Federal Reserve Board conducts annual analyses of bank holding companies with at least $50 billion in assets, such as M&amp;T, to determine whether the companies have sufficient capital on a consolidated basis necessary to absorb losses in three economic and financial scenarios generated by the Federal Reserve Board: baseline, adverse and severely adverse scenarios. The Federal Reserve Board makes its methodologies and data for upcoming analyses available no later than November 15 of each year. M&amp;T is also required to conduct its own semi-annual stress analysis (together with the Federal Reserve Board’s stress analysis, the “stress tests”) to assess the potential impact on M&amp;T of the economic and financial conditions used as part of the Federal Reserve Board’s annual stress analysis. The Federal Reserve Board may also use, and require companies to use, additional components in the adverse and severely adverse scenarios or additional or more complex scenarios designed to capture salient risks to specific business groups. M&amp;T Bank is also required to conduct annual stress testing using the same economic and financial scenarios as M&amp;T and report the results to the Federal Reserve Board. A summary of results of the Federal Reserve Board’s analysis under the adverse and severely adverse stress scenarios will be publicly disclosed, and the bank holding companies subject to the rules, including M&amp;T, must disclose a summary of the company-run severely adverse stress test results. M&amp;T is required to include in its disclosure a summary of the severely adverse scenario stress test conducted by M&amp;T Bank.</w:t>
      </w:r>
    </w:p>
    <w:p>
      <w:pPr>
        <w:spacing w:after="0" w:line="5" w:lineRule="exact"/>
        <w:rPr>
          <w:sz w:val="20"/>
          <w:szCs w:val="20"/>
          <w:color w:val="auto"/>
        </w:rPr>
      </w:pPr>
    </w:p>
    <w:p>
      <w:pPr>
        <w:ind w:right="20" w:firstLine="685"/>
        <w:spacing w:after="0" w:line="287" w:lineRule="auto"/>
        <w:rPr>
          <w:sz w:val="20"/>
          <w:szCs w:val="20"/>
          <w:color w:val="auto"/>
        </w:rPr>
      </w:pPr>
      <w:r>
        <w:rPr>
          <w:rFonts w:ascii="Arial" w:cs="Arial" w:eastAsia="Arial" w:hAnsi="Arial"/>
          <w:sz w:val="16"/>
          <w:szCs w:val="16"/>
          <w:color w:val="auto"/>
        </w:rPr>
        <w:t>In addition, bank holding companies with total consolidated assets of $50 billion or more, such as M&amp;T, must submit annual capital plans for approval as part of the Federal Reserve Board’s CCAR process. Covered bank holding companies may execute capital actions, such as paying dividends and repurchasing stock, only in accordance with a capital plan that has been reviewed and approved by the Federal Reserve Board (or any approved amendments to such plan). The comprehensive capital plans, which are currently prepared using Basel I capital guidelines, include a view of capital adequacy under four scenarios — a BHC-defined baseline scenario, a baseline scenario provided by the Federal Reserve Board, at least one BHC-defined stress scenario, and a stress scenario provided by the Federal Reserve Board.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Board on a quarterly basis to allow the Federal Reserve Board to monitor progress against the approved capital plans. Each capital plan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must include a view of capital adequacy under the stress test scenarios described above. The Federal Reserve Board may object to a capital plan if the plan does not show that the covered bank holding company will maintain a Tier 1 common equity ratio (as defined under the Basel I framework) of at least 5% on a pro forma basis under expected and stressful conditions throughout the nine-quarter planning horizon covered by the capital plan. Even if such quantitative thresholds are met, the Federal Reserve Board could object to a capital plan for qualitative reasons, including inadequate assumptions in the plan, other unresolved supervisory issues or an insufficiently robust capital adequacy process, or if the capital plan would otherwise constitute an unsafe or unsound practice or violate law. The rules also provide that a covered BHC may not make a capital distribution unless after giving effect to the distribution it will meet all minimum regulatory capital ratios and have a ratio of Tier 1 common equity to risk-weighted assets of at least 5%. The CCAR rules, consistent with prior Federal Reserve Board guidance, also provide that capital plans contemplating dividend payout ratios exceeding 30% of after-tax net income will receive particularly close scrutiny.</w:t>
      </w:r>
    </w:p>
    <w:p>
      <w:pPr>
        <w:spacing w:after="0" w:line="5" w:lineRule="exact"/>
        <w:rPr>
          <w:sz w:val="20"/>
          <w:szCs w:val="20"/>
          <w:color w:val="auto"/>
        </w:rPr>
      </w:pPr>
    </w:p>
    <w:p>
      <w:pPr>
        <w:ind w:right="200" w:firstLine="685"/>
        <w:spacing w:after="0" w:line="288" w:lineRule="auto"/>
        <w:rPr>
          <w:sz w:val="20"/>
          <w:szCs w:val="20"/>
          <w:color w:val="auto"/>
        </w:rPr>
      </w:pPr>
      <w:r>
        <w:rPr>
          <w:rFonts w:ascii="Arial" w:cs="Arial" w:eastAsia="Arial" w:hAnsi="Arial"/>
          <w:sz w:val="16"/>
          <w:szCs w:val="16"/>
          <w:color w:val="auto"/>
        </w:rPr>
        <w:t>In September 2013, the Federal Reserve Board issued an interim final rule amending its stress test and capital plan rules to clarify how bank holding companies with over $50 billion in total consolidated assets should incorporate the recently adopted New Capital Rules for the 2014 CCAR process and the supervisory and company run stress tests. Under the Federal Reserve Board’s interim final rule, such bank holding companies must both (i) project their regulatory capital ratios and meet the required minimums under the New Capital Rules for each quarter of the nine-quarter planning horizon in accordance with the minimum capital requirements that are in effect during that quarter and subject to appropriate phase-ins/phase-outs under the new rules and (ii) continue to meet the minimum 5% Tier 1 common equity ratio as calculated under the previously generally applicable risk-based capital rules. M&amp;T’s most recent CCAR capital plan was filed with the Federal Reserve Board on January 6,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Guidelines adopted by the federal bank regulatory agencies pursuant to the Federal Deposit Insurance Act, as amended (the “FDIA”),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the FDIA. See “Regulatory Remedies under the FDIA” below. If an institution fails to comply with such an order, the agency may seek to enforce such order in judicial proceedings and to impose civil money penalties.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Remedies under the FDIA</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Generally, subject to a narrow exception, the FDIA requires the banking regulator to appoint a receiver or conservator for an institution that is critically undercapitalized. The federal bank regulatory agencies have specified by regulation the relevant capital levels for each category: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“Well-Capitalized”</w:t>
            </w:r>
          </w:p>
        </w:tc>
        <w:tc>
          <w:tcPr>
            <w:tcW w:w="2140" w:type="dxa"/>
            <w:vAlign w:val="bottom"/>
            <w:gridSpan w:val="3"/>
          </w:tcPr>
          <w:p>
            <w:pPr>
              <w:spacing w:after="0"/>
              <w:rPr>
                <w:sz w:val="20"/>
                <w:szCs w:val="20"/>
                <w:color w:val="auto"/>
              </w:rPr>
            </w:pPr>
            <w:r>
              <w:rPr>
                <w:rFonts w:ascii="Arial" w:cs="Arial" w:eastAsia="Arial" w:hAnsi="Arial"/>
                <w:sz w:val="18"/>
                <w:szCs w:val="18"/>
                <w:b w:val="1"/>
                <w:bCs w:val="1"/>
                <w:color w:val="auto"/>
                <w:w w:val="98"/>
              </w:rPr>
              <w:t>“Adequately Capitalized”</w:t>
            </w:r>
          </w:p>
        </w:tc>
      </w:tr>
      <w:tr>
        <w:trPr>
          <w:trHeight w:val="21"/>
        </w:trPr>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6060" w:type="dxa"/>
            <w:vAlign w:val="bottom"/>
            <w:gridSpan w:val="3"/>
          </w:tcPr>
          <w:p>
            <w:pPr>
              <w:spacing w:after="0" w:line="201" w:lineRule="exact"/>
              <w:rPr>
                <w:sz w:val="20"/>
                <w:szCs w:val="20"/>
                <w:color w:val="auto"/>
              </w:rPr>
            </w:pPr>
            <w:r>
              <w:rPr>
                <w:rFonts w:ascii="Arial" w:cs="Arial" w:eastAsia="Arial" w:hAnsi="Arial"/>
                <w:sz w:val="18"/>
                <w:szCs w:val="18"/>
                <w:color w:val="auto"/>
              </w:rPr>
              <w:t>Leverage Ratio of 5%,</w:t>
            </w: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Leverage Ratio of 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Tier 1 Capital ratio of 6%,</w:t>
            </w:r>
          </w:p>
        </w:tc>
        <w:tc>
          <w:tcPr>
            <w:tcW w:w="2140" w:type="dxa"/>
            <w:vAlign w:val="bottom"/>
            <w:gridSpan w:val="3"/>
          </w:tcPr>
          <w:p>
            <w:pPr>
              <w:spacing w:after="0"/>
              <w:rPr>
                <w:sz w:val="20"/>
                <w:szCs w:val="20"/>
                <w:color w:val="auto"/>
              </w:rPr>
            </w:pPr>
            <w:r>
              <w:rPr>
                <w:rFonts w:ascii="Arial" w:cs="Arial" w:eastAsia="Arial" w:hAnsi="Arial"/>
                <w:sz w:val="18"/>
                <w:szCs w:val="18"/>
                <w:color w:val="auto"/>
                <w:w w:val="89"/>
              </w:rPr>
              <w:t>Tier 1 Capital ratio of 4%, and</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Total Capital ratio of 10%, and</w:t>
            </w:r>
          </w:p>
        </w:tc>
        <w:tc>
          <w:tcPr>
            <w:tcW w:w="2140" w:type="dxa"/>
            <w:vAlign w:val="bottom"/>
            <w:gridSpan w:val="3"/>
          </w:tcPr>
          <w:p>
            <w:pPr>
              <w:spacing w:after="0"/>
              <w:rPr>
                <w:sz w:val="20"/>
                <w:szCs w:val="20"/>
                <w:color w:val="auto"/>
              </w:rPr>
            </w:pPr>
            <w:r>
              <w:rPr>
                <w:rFonts w:ascii="Arial" w:cs="Arial" w:eastAsia="Arial" w:hAnsi="Arial"/>
                <w:sz w:val="18"/>
                <w:szCs w:val="18"/>
                <w:color w:val="auto"/>
              </w:rPr>
              <w:t>Total Capital ratio of 8%.</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w w:val="95"/>
              </w:rPr>
              <w:t>Not subject to a written agreement, order, capital directive or regulatory remedy</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directive requiring a specific capital level.</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“Undercapitalized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7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710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less than 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4%,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“Significantly Undercapitalized</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-715645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3810</wp:posOffset>
            </wp:positionV>
            <wp:extent cx="1555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575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less than 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3%,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6%.</w:t>
      </w:r>
    </w:p>
    <w:p>
      <w:pPr>
        <w:spacing w:after="0" w:line="141" w:lineRule="exact"/>
        <w:rPr>
          <w:sz w:val="20"/>
          <w:szCs w:val="20"/>
          <w:color w:val="auto"/>
        </w:rPr>
      </w:pPr>
    </w:p>
    <w:p>
      <w:pPr>
        <w:sectPr>
          <w:pgSz w:w="11900" w:h="16838" w:orient="portrait"/>
          <w:cols w:equalWidth="0" w:num="2">
            <w:col w:w="5340" w:space="720"/>
            <w:col w:w="5300"/>
          </w:cols>
          <w:pgMar w:left="240" w:top="459" w:right="29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“Critically undercapitalized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881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811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Tangible equity to total assets less than 2%.</w:t>
      </w:r>
    </w:p>
    <w:p>
      <w:pPr>
        <w:spacing w:after="0" w:line="171" w:lineRule="exact"/>
        <w:rPr>
          <w:sz w:val="20"/>
          <w:szCs w:val="20"/>
          <w:color w:val="auto"/>
        </w:rPr>
      </w:pPr>
    </w:p>
    <w:p>
      <w:pPr>
        <w:ind w:right="340" w:firstLine="685"/>
        <w:spacing w:after="0" w:line="253" w:lineRule="auto"/>
        <w:rPr>
          <w:sz w:val="20"/>
          <w:szCs w:val="20"/>
          <w:color w:val="auto"/>
        </w:rPr>
      </w:pPr>
      <w:r>
        <w:rPr>
          <w:rFonts w:ascii="Arial" w:cs="Arial" w:eastAsia="Arial" w:hAnsi="Arial"/>
          <w:sz w:val="18"/>
          <w:szCs w:val="18"/>
          <w:color w:val="auto"/>
        </w:rPr>
        <w:t>For purposes of these regulations, the term “tangible equity” includes core capital elements counted as Tier 1 Capital for purposes of the risk-based capital standards plus the amount of outstanding cumulative perpetual preferred stock (including related surplus), minus all intangible assets with certain exceptions.</w:t>
      </w:r>
    </w:p>
    <w:p>
      <w:pPr>
        <w:ind w:right="180" w:firstLine="685"/>
        <w:spacing w:after="0" w:line="250" w:lineRule="auto"/>
        <w:rPr>
          <w:sz w:val="20"/>
          <w:szCs w:val="20"/>
          <w:color w:val="auto"/>
        </w:rPr>
      </w:pPr>
      <w:r>
        <w:rPr>
          <w:rFonts w:ascii="Arial" w:cs="Arial" w:eastAsia="Arial" w:hAnsi="Arial"/>
          <w:sz w:val="18"/>
          <w:szCs w:val="18"/>
          <w:color w:val="auto"/>
        </w:rPr>
        <w:t>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The obligation of a controlling BHC under the FDIA to fund a capital restoration plan is limited to the lesser of 5.0% of an 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7" w:lineRule="exact"/>
        <w:rPr>
          <w:sz w:val="20"/>
          <w:szCs w:val="20"/>
          <w:color w:val="auto"/>
        </w:rPr>
      </w:pPr>
    </w:p>
    <w:p>
      <w:pPr>
        <w:ind w:right="80" w:firstLine="685"/>
        <w:spacing w:after="0" w:line="252" w:lineRule="auto"/>
        <w:rPr>
          <w:sz w:val="20"/>
          <w:szCs w:val="20"/>
          <w:color w:val="auto"/>
        </w:rPr>
      </w:pPr>
      <w:r>
        <w:rPr>
          <w:rFonts w:ascii="Arial" w:cs="Arial" w:eastAsia="Arial" w:hAnsi="Arial"/>
          <w:sz w:val="18"/>
          <w:szCs w:val="18"/>
          <w:color w:val="auto"/>
        </w:rPr>
        <w:t>The New Capital Rules revise the current prompt corrective action requirements effective January 1, 2015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 (as compared to the current 6%); and (iii) eliminating the current provision that provides that a bank with a composite supervisory rating of 1 may have a 3% leverage ratio and still be adequately capitalized. The New Capital Rules do not change the total risk-based capital requirement for any prompt corrective action category.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of Subsidiary Banks</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Under longstanding Federal Reserve Board policy which has been codified by the Dodd-Frank Act, M&amp;T is expected to act as a source of financial strength to, and to commit resources to support, its subsidiary banks. This support may be required at times when M&amp;T may not be inclined or able to provide it. In addition, any capital loans by a BHC to a subsidiary bank are subordinate in right of payment to deposits and to certain other indebtedness of such subsidiary bank. In the event of a bank holding company’s bankruptcy, any commitment by the BHC to a federal bank regulatory agency to maintain the capital of a subsidiary bank will be assumed by the bankruptcy trustee and entitled to a priority of payment.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Provisions</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insured depository institution “controlled” (as defined in the BHCA) by the same BHC can be held liable to the FDIC for any loss incurred, or reasonably expected to be incurred, by the FDIC due to the default of any other insured depository institution controlled by that holding company and for any assistance provided by the FDIC to any of those banks that is in danger of default. The FDIC’s claim under the cross-guarantee provisions is superior to claims of shareholders of the insured depository institution or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60"/>
          </w:cols>
          <w:pgMar w:left="240" w:top="45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are various legal restrictions on the extent to which M&amp;T and its non-bank subsidiaries may borrow or otherwise obtain funding from M&amp;T Bank and Wilmington Trust, N.A. In general, Sections 23A and 23B of the Federal Reserve Board Act and Federal Reserve Board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Board)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FDIC Insurance Assessments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 xml:space="preserve">Deposit Insurance Assessments. </w:t>
      </w:r>
      <w:r>
        <w:rPr>
          <w:rFonts w:ascii="Arial" w:cs="Arial" w:eastAsia="Arial" w:hAnsi="Arial"/>
          <w:sz w:val="18"/>
          <w:szCs w:val="18"/>
          <w:color w:val="auto"/>
        </w:rPr>
        <w:t>M&amp;T Bank and Wilmington Trust, N.A. pay deposit insurance premiums to the FDIC based on an assessment rate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FDIC. Deposit insurance assessments are based on average total assets minus average tangible equity. For larger institutions, such as M&amp;T Bank, the FDIC uses a performance score and a loss-severity score that are used to calculate an initial assessment rate. In calculating these scores, the FDIC uses a bank’s capital level and supervisory ratings (its “CAMELS ratings”) and certain financial measures to assess an institution’s ability to withstand asset-related stress and funding-related stress. The FDIC has the ability to make discretionary adjustments to the total score based upon significant risk factors that are not adequately captured in the calculations.</w:t>
      </w:r>
    </w:p>
    <w:p>
      <w:pPr>
        <w:spacing w:after="0" w:line="3"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initial base assessment rate ranges from 5 to 35 basis points on an annualized basis. After the effect of potential base-rate adjustments, the total base assessment rate could range from 2.5 to 45 basis points on an annualized basis. As the DIF reserve ratio grows, the rate schedule will be adjusted downward. Additionally, an institution must pay an additional premium equal to 50 basis points on every dollar (above 3% of an institution’s Tier 1 capital) of long-term, unsecured debt held that was issued by another insured depository institution (excluding debt guaranteed under the Temporary Liquidity Guarantee Program).</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October 2010, the FDIC adopted a new DIF restoration plan to ensure the designated reserve ratio reaches 1.35% by September 2020. The FDIC will, at least semi-annually, update its income and loss projections for the DIF and, if necessary, propose rules to further increase assessment rates.</w:t>
      </w:r>
    </w:p>
    <w:p>
      <w:pPr>
        <w:spacing w:after="0" w:line="1" w:lineRule="exact"/>
        <w:rPr>
          <w:sz w:val="20"/>
          <w:szCs w:val="20"/>
          <w:color w:val="auto"/>
        </w:rPr>
      </w:pPr>
    </w:p>
    <w:p>
      <w:pPr>
        <w:ind w:right="100" w:firstLine="685"/>
        <w:spacing w:after="0" w:line="300" w:lineRule="auto"/>
        <w:rPr>
          <w:sz w:val="20"/>
          <w:szCs w:val="20"/>
          <w:color w:val="auto"/>
        </w:rPr>
      </w:pPr>
      <w:r>
        <w:rPr>
          <w:rFonts w:ascii="Arial" w:cs="Arial" w:eastAsia="Arial" w:hAnsi="Arial"/>
          <w:sz w:val="15"/>
          <w:szCs w:val="15"/>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1" w:lineRule="exact"/>
        <w:rPr>
          <w:sz w:val="20"/>
          <w:szCs w:val="20"/>
          <w:color w:val="auto"/>
        </w:rPr>
      </w:pPr>
    </w:p>
    <w:p>
      <w:pPr>
        <w:ind w:right="20" w:firstLine="685"/>
        <w:spacing w:after="0" w:line="292" w:lineRule="auto"/>
        <w:rPr>
          <w:sz w:val="20"/>
          <w:szCs w:val="20"/>
          <w:color w:val="auto"/>
        </w:rPr>
      </w:pPr>
      <w:r>
        <w:rPr>
          <w:rFonts w:ascii="Arial" w:cs="Arial" w:eastAsia="Arial" w:hAnsi="Arial"/>
          <w:sz w:val="16"/>
          <w:szCs w:val="16"/>
          <w:i w:val="1"/>
          <w:iCs w:val="1"/>
          <w:color w:val="auto"/>
        </w:rPr>
        <w:t xml:space="preserve">FICO Assessments. </w:t>
      </w:r>
      <w:r>
        <w:rPr>
          <w:rFonts w:ascii="Arial" w:cs="Arial" w:eastAsia="Arial" w:hAnsi="Arial"/>
          <w:sz w:val="16"/>
          <w:szCs w:val="16"/>
          <w:color w:val="auto"/>
        </w:rPr>
        <w:t>In addition, the Deposit Insurance Funds Act of 1996 authorized the Financing Corporation (“FICO”) to impose assessments on DIF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$5 million of expense related to its FICO assessments and Wilmington Trust, N.A. recognized $58 thousand of such expense in 2013.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BHCA requires every BHC to obtain the prior approval of the Federal Reserve Board before: (1) it may acquire direct or indirect ownership or control of any voting shares of any bank or savings and loan association, if after such acquisition, the BHC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BHC. Since July 2011, financial holding companies and bank holding companies with consolidated assets exceeding $50 billion, such as M&amp;T, have been required to (i) obtain prior approval from the Federal Reserve Board before acquiring certain nonbank financial companies with assets exceeding $10 billion and (ii) provide prior written notice to the Federal Reserve Board before acquiring direct or indirect ownership or control of any voting shares of any company having consolidated assets of $10 billion or more. Since July 2011, bank holding companies seeking approval to complete an acquisition have been required to be well-capitalized and well-managed.</w:t>
      </w:r>
    </w:p>
    <w:p>
      <w:pPr>
        <w:spacing w:after="0" w:line="5"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BHCA further provides that the Federal Reserve Board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Board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Board must take into account the institutions’ effectiveness in combating money laundering. In addition, pursuant to the Dodd-Frank Act, the BHCA was amended to require the Federal Reserve Board, when evaluating a proposed transaction, to consider the extent to which the transaction would result in greater or more concentrated risks to the stability of the United States banking or financial system.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Incentive Compensation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Reserve Board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9" w:lineRule="exact"/>
        <w:rPr>
          <w:sz w:val="20"/>
          <w:szCs w:val="20"/>
          <w:color w:val="auto"/>
        </w:rPr>
      </w:pPr>
    </w:p>
    <w:p>
      <w:pPr>
        <w:ind w:right="60" w:firstLine="685"/>
        <w:spacing w:after="0" w:line="295" w:lineRule="auto"/>
        <w:rPr>
          <w:sz w:val="20"/>
          <w:szCs w:val="20"/>
          <w:color w:val="auto"/>
        </w:rPr>
      </w:pPr>
      <w:r>
        <w:rPr>
          <w:rFonts w:ascii="Arial" w:cs="Arial" w:eastAsia="Arial" w:hAnsi="Arial"/>
          <w:sz w:val="16"/>
          <w:szCs w:val="16"/>
          <w:color w:val="auto"/>
        </w:rPr>
        <w:t>The Dodd-Frank Act requires the federal bank regulatory agencies and the SEC to establish joint regulations or guidelines prohibiting incentive-based payment arrangements at specified regulated entities, such as M&amp;T and M&amp;T Bank, having at least $1 billion in total assets that encourage inappropriate risks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compensation arrangements. The agencies proposed such regulations in April 2011, and if the final regulations are adopted in the form initially proposed, they will impose limitations on the manner in which M&amp;T may structure compensation for its executives.</w:t>
      </w:r>
    </w:p>
    <w:p>
      <w:pPr>
        <w:ind w:right="100" w:firstLine="685"/>
        <w:spacing w:after="0" w:line="255" w:lineRule="auto"/>
        <w:rPr>
          <w:sz w:val="20"/>
          <w:szCs w:val="20"/>
          <w:color w:val="auto"/>
        </w:rPr>
      </w:pPr>
      <w:r>
        <w:rPr>
          <w:rFonts w:ascii="Arial" w:cs="Arial" w:eastAsia="Arial" w:hAnsi="Arial"/>
          <w:sz w:val="18"/>
          <w:szCs w:val="18"/>
          <w:color w:val="auto"/>
        </w:rPr>
        <w:t>The scope and content of the U.S.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Planning</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interconnections and interdependencies, and management information systems, among other elements. In addition, insured depository institutions with $50 billion or more in total assets, such as M&amp;T Bank, are required to submit to the FDIC periodic plans for resolution in the event of the institution’s failure. M&amp;T and M&amp;T Bank submitted their resolution plans on December 13, 2013.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of an Insured Depository Institution or a Bank Holding Company</w:t>
      </w:r>
    </w:p>
    <w:p>
      <w:pPr>
        <w:spacing w:after="0" w:line="2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If the FDIC is appointed as conservator or receiver for an insured depository institution such as M&amp;T Bank or Wilmington Trust, N.A., upon its insolvency or in certain other events, the FDIC has the power:</w:t>
      </w:r>
    </w:p>
    <w:p>
      <w:pPr>
        <w:spacing w:after="0" w:line="1" w:lineRule="exact"/>
        <w:rPr>
          <w:sz w:val="20"/>
          <w:szCs w:val="20"/>
          <w:color w:val="auto"/>
        </w:rPr>
      </w:pPr>
    </w:p>
    <w:p>
      <w:pPr>
        <w:ind w:left="700" w:right="1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transfer any of the depository institution’s assets and liabilities to a new obligor, including a newly formed “bridge” bank without the approval of the depository institution’s creditors;</w:t>
      </w:r>
    </w:p>
    <w:p>
      <w:pPr>
        <w:ind w:left="700" w:right="6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enforce the terms of the depository institution’s contracts pursuant to their terms without regard to any provisions triggered by the appointment of the FDIC in that capacity; or</w:t>
      </w:r>
    </w:p>
    <w:p>
      <w:pPr>
        <w:ind w:left="700" w:right="20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58"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non-bank financial companies, including bank holding companies and their affiliates. Under the orderly liquidation authority, the FDIC may be appointed as receiver for the systemically important institution, and its failed non-bank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6"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1" w:lineRule="exact"/>
        <w:rPr>
          <w:sz w:val="20"/>
          <w:szCs w:val="20"/>
          <w:color w:val="auto"/>
        </w:rPr>
      </w:pPr>
    </w:p>
    <w:p>
      <w:pPr>
        <w:ind w:right="60" w:firstLine="685"/>
        <w:spacing w:after="0" w:line="287" w:lineRule="auto"/>
        <w:rPr>
          <w:sz w:val="20"/>
          <w:szCs w:val="20"/>
          <w:color w:val="auto"/>
        </w:rPr>
      </w:pPr>
      <w:r>
        <w:rPr>
          <w:rFonts w:ascii="Arial" w:cs="Arial" w:eastAsia="Arial" w:hAnsi="Arial"/>
          <w:sz w:val="16"/>
          <w:szCs w:val="16"/>
          <w:color w:val="auto"/>
        </w:rPr>
        <w:t>The FDIC has developed a strategy under the orderly liquidation authority referred to as the “single point of entry” strategy, under which the FDIC would resolve a failed financial holding 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 The FDIC issued a notice in December 2013 describing some elements of this single point of entry strategy and seeking public comment to further develop the strategy. The orderly liquidation authority provisions of the Dodd-Frank Act became effective upon enactment. However, a number of rulemakings are required under the terms of Dodd-Frank, and a number of provisions of the new authority require clarification.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 Preference</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2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Protection Laws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2"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Since July 1, 2010, a federal banking rule under 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Protection Bureau Supervision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M&amp;T Bank and Wilmington Trust, N.A. are supervised by the CFPB for certain consumer protection purposes. The CFPB has focused on:</w:t>
      </w:r>
    </w:p>
    <w:p>
      <w:pPr>
        <w:ind w:left="460"/>
        <w:spacing w:after="0" w:line="194"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risks to consumers and compliance with the federal consumer financial laws, when it evaluates the policies and practices of a financial institution;</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markets in which firms operate and risks to consumers posed by activities in those markets;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that offer a wide variety of consumer financial products and services;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with a more specialized focus;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non-depository companies that offer one or more consumer financial products or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M&amp;T Bank and Wilmington Trust, N.A. are subject to the provisions of the CRA. 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Currently, M&amp;T Bank has a CRA rating of “Outstanding” and Wilmington Trust, N.A. has a CRA rating of “Satisfactory.” In the case of a BHC applying for approval to acquire a bank or BHC, the Federal Reserve Board will assess the record of each subsidiary bank of the applicant BHC in considering the application, and such records may be the basis for denying the application. The Banking Law contains provisions similar to the CRA which are applicable to New York-chartered banks. Currently, M&amp;T Bank has a CRA rating of “Outstanding” as determined by the New York State Department of Financial Services.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Patriot Act</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Uniting and Strengthening America by Providing Appropriate Tools Required to Intercept and Obstruct Terrorism Act of 2001 (the “USA Patriot Act”) imposes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provisions of the USA Patriot Act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 As a result of an inspection by the Federal Reserve Bank of New York (“Federal Reserve Bank”), M&amp;T and M&amp;T Bank entered into a written agreement with the Federal Reserve Bank related to M&amp;T Bank’s Bank Secrecy Act/Anti-Money Laundering Program. Additional information is included in Part II, Item 7 under the caption “Corporate Profile and Significant Developments.”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Foreign Assets Control Regulation</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w:t>
      </w:r>
    </w:p>
    <w:p>
      <w:pPr>
        <w:spacing w:after="0" w:line="1"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Insurers and Insurance Brokers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Legislative and Regulatory Initiatives</w:t>
      </w:r>
    </w:p>
    <w:p>
      <w:pPr>
        <w:spacing w:after="0" w:line="2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Proposals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8th Floor, Buffalo, NY 14203-2399 (Telephone: (716) 842-5138).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8th Floor, Buffalo, NY 14203-2399 (Telephone: (716) 842-5138).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Pursuant to Guide 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cross-reference sheet for disclosures incorporated elsewhere in this Annual Report on Form 10-K. Additional information is included in the following tables.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1</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40" w:type="dxa"/>
            <w:vAlign w:val="bottom"/>
            <w:gridSpan w:val="13"/>
          </w:tcPr>
          <w:p>
            <w:pPr>
              <w:jc w:val="center"/>
              <w:ind w:right="940"/>
              <w:spacing w:after="0"/>
              <w:rPr>
                <w:sz w:val="20"/>
                <w:szCs w:val="20"/>
                <w:color w:val="auto"/>
              </w:rPr>
            </w:pPr>
            <w:r>
              <w:rPr>
                <w:rFonts w:ascii="Arial" w:cs="Arial" w:eastAsia="Arial" w:hAnsi="Arial"/>
                <w:sz w:val="18"/>
                <w:szCs w:val="18"/>
                <w:b w:val="1"/>
                <w:bCs w:val="1"/>
                <w:color w:val="auto"/>
                <w:w w:val="97"/>
              </w:rPr>
              <w:t>SELECTED CONSOLIDATED YEAR-END BALANCES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4"/>
                <w:szCs w:val="24"/>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$ 1,651,138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154,960</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101,222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133,335</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Federal funds sold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99,573</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20,119</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561,834</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523,834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386,984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7,770,767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4,007,725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5,200,489</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4,177,783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4,006,968</w:t>
            </w: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w w:val="89"/>
              </w:rPr>
              <w:t>Obligations of states and political subdivisions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180,495</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203,004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228,949</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251,544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266,748</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1,863,632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2,243,716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2,721,213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3,506,893</w:t>
            </w:r>
          </w:p>
        </w:tc>
        <w:tc>
          <w:tcPr>
            <w:tcW w:w="100" w:type="dxa"/>
            <w:vAlign w:val="bottom"/>
            <w:shd w:val="clear" w:color="auto" w:fill="CCEEFF"/>
          </w:tcPr>
          <w:p>
            <w:pPr>
              <w:spacing w:after="0"/>
              <w:rPr>
                <w:sz w:val="18"/>
                <w:szCs w:val="18"/>
                <w:color w:val="auto"/>
              </w:rPr>
            </w:pPr>
          </w:p>
        </w:tc>
      </w:tr>
      <w:tr>
        <w:trPr>
          <w:trHeight w:val="221"/>
        </w:trPr>
        <w:tc>
          <w:tcPr>
            <w:tcW w:w="3520" w:type="dxa"/>
            <w:vAlign w:val="bottom"/>
            <w:gridSpan w:val="2"/>
          </w:tcPr>
          <w:p>
            <w:pPr>
              <w:ind w:left="440"/>
              <w:spacing w:after="0"/>
              <w:rPr>
                <w:sz w:val="20"/>
                <w:szCs w:val="20"/>
                <w:color w:val="auto"/>
              </w:rPr>
            </w:pPr>
            <w:r>
              <w:rPr>
                <w:rFonts w:ascii="Arial" w:cs="Arial" w:eastAsia="Arial" w:hAnsi="Arial"/>
                <w:sz w:val="18"/>
                <w:szCs w:val="18"/>
                <w:color w:val="auto"/>
              </w:rPr>
              <w:t>Total investment securities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8,796,497</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6,074,361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7,673,154</w:t>
            </w: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7,150,540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7,780,609</w:t>
            </w:r>
          </w:p>
        </w:tc>
      </w:tr>
      <w:tr>
        <w:trPr>
          <w:trHeight w:val="218"/>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Commercial, financial, leasing, etc.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18,876,166</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17,973,140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15,952,105</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13,645,600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13,790,737</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 construction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4,457,650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3,772,413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4,203,324</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4,332,618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4,726,570</w:t>
            </w:r>
          </w:p>
        </w:tc>
      </w:tr>
      <w:tr>
        <w:trPr>
          <w:trHeight w:val="216"/>
        </w:trPr>
        <w:tc>
          <w:tcPr>
            <w:tcW w:w="3520" w:type="dxa"/>
            <w:vAlign w:val="bottom"/>
            <w:gridSpan w:val="2"/>
          </w:tcPr>
          <w:p>
            <w:pPr>
              <w:ind w:left="220"/>
              <w:spacing w:after="0"/>
              <w:rPr>
                <w:sz w:val="20"/>
                <w:szCs w:val="20"/>
                <w:color w:val="auto"/>
              </w:rPr>
            </w:pPr>
            <w:r>
              <w:rPr>
                <w:rFonts w:ascii="Arial" w:cs="Arial" w:eastAsia="Arial" w:hAnsi="Arial"/>
                <w:sz w:val="18"/>
                <w:szCs w:val="18"/>
                <w:color w:val="auto"/>
              </w:rPr>
              <w:t>Real estate — mortgage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30,711,440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33,494,359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28,202,217</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22,854,160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21,747,533</w:t>
            </w:r>
          </w:p>
        </w:tc>
      </w:tr>
      <w:tr>
        <w:trPr>
          <w:trHeight w:val="216"/>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10,280,527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11,550,274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12,020,229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11,483,564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12,041,617</w:t>
            </w:r>
          </w:p>
        </w:tc>
        <w:tc>
          <w:tcPr>
            <w:tcW w:w="100" w:type="dxa"/>
            <w:vAlign w:val="bottom"/>
            <w:shd w:val="clear" w:color="auto" w:fill="CCEEFF"/>
          </w:tcPr>
          <w:p>
            <w:pPr>
              <w:spacing w:after="0"/>
              <w:rPr>
                <w:sz w:val="18"/>
                <w:szCs w:val="18"/>
                <w:color w:val="auto"/>
              </w:rPr>
            </w:pPr>
          </w:p>
        </w:tc>
      </w:tr>
      <w:tr>
        <w:trPr>
          <w:trHeight w:val="222"/>
        </w:trPr>
        <w:tc>
          <w:tcPr>
            <w:tcW w:w="3520" w:type="dxa"/>
            <w:vAlign w:val="bottom"/>
            <w:gridSpan w:val="2"/>
          </w:tcPr>
          <w:p>
            <w:pPr>
              <w:ind w:left="440"/>
              <w:spacing w:after="0"/>
              <w:rPr>
                <w:sz w:val="20"/>
                <w:szCs w:val="20"/>
                <w:color w:val="auto"/>
              </w:rPr>
            </w:pPr>
            <w:r>
              <w:rPr>
                <w:rFonts w:ascii="Arial" w:cs="Arial" w:eastAsia="Arial" w:hAnsi="Arial"/>
                <w:sz w:val="18"/>
                <w:szCs w:val="18"/>
                <w:color w:val="auto"/>
              </w:rPr>
              <w:t>Total loans and leases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64,325,783</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66,790,186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60,377,875</w:t>
            </w: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52,315,942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52,306,457</w:t>
            </w:r>
          </w:p>
        </w:tc>
      </w:tr>
      <w:tr>
        <w:trPr>
          <w:trHeight w:val="217"/>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0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(252,624)</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(219,229)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(281,870)</w:t>
            </w: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57"/>
              <w:spacing w:after="0"/>
              <w:rPr>
                <w:sz w:val="20"/>
                <w:szCs w:val="20"/>
                <w:color w:val="auto"/>
              </w:rPr>
            </w:pPr>
            <w:r>
              <w:rPr>
                <w:rFonts w:ascii="Arial" w:cs="Arial" w:eastAsia="Arial" w:hAnsi="Arial"/>
                <w:sz w:val="18"/>
                <w:szCs w:val="18"/>
                <w:color w:val="auto"/>
              </w:rPr>
              <w:t>(325,560)</w:t>
            </w: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(369,771)</w:t>
            </w:r>
          </w:p>
        </w:tc>
      </w:tr>
      <w:tr>
        <w:trPr>
          <w:trHeight w:val="222"/>
        </w:trPr>
        <w:tc>
          <w:tcPr>
            <w:tcW w:w="3520" w:type="dxa"/>
            <w:vAlign w:val="bottom"/>
            <w:gridSpan w:val="2"/>
          </w:tcPr>
          <w:p>
            <w:pPr>
              <w:ind w:left="440"/>
              <w:spacing w:after="0"/>
              <w:rPr>
                <w:sz w:val="20"/>
                <w:szCs w:val="20"/>
                <w:color w:val="auto"/>
              </w:rPr>
            </w:pPr>
            <w:r>
              <w:rPr>
                <w:rFonts w:ascii="Arial" w:cs="Arial" w:eastAsia="Arial" w:hAnsi="Arial"/>
                <w:sz w:val="18"/>
                <w:szCs w:val="18"/>
                <w:color w:val="auto"/>
                <w:w w:val="87"/>
              </w:rPr>
              <w:t>Loans and leases, net of unearned discount</w:t>
            </w:r>
          </w:p>
        </w:tc>
        <w:tc>
          <w:tcPr>
            <w:tcW w:w="10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64,073,159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66,570,957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7"/>
              </w:rPr>
              <w:t>60,096,005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51,990,382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51,936,686</w:t>
            </w:r>
          </w:p>
        </w:tc>
        <w:tc>
          <w:tcPr>
            <w:tcW w:w="100" w:type="dxa"/>
            <w:vAlign w:val="bottom"/>
          </w:tcPr>
          <w:p>
            <w:pPr>
              <w:spacing w:after="0"/>
              <w:rPr>
                <w:sz w:val="19"/>
                <w:szCs w:val="19"/>
                <w:color w:val="auto"/>
              </w:rPr>
            </w:pPr>
          </w:p>
        </w:tc>
      </w:tr>
      <w:tr>
        <w:trPr>
          <w:trHeight w:val="217"/>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 for credit losses</w:t>
            </w:r>
          </w:p>
        </w:tc>
        <w:tc>
          <w:tcPr>
            <w:tcW w:w="10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(916,676)</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(925,860)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(908,290)</w:t>
            </w: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57"/>
              <w:spacing w:after="0"/>
              <w:rPr>
                <w:sz w:val="20"/>
                <w:szCs w:val="20"/>
                <w:color w:val="auto"/>
              </w:rPr>
            </w:pPr>
            <w:r>
              <w:rPr>
                <w:rFonts w:ascii="Arial" w:cs="Arial" w:eastAsia="Arial" w:hAnsi="Arial"/>
                <w:sz w:val="18"/>
                <w:szCs w:val="18"/>
                <w:color w:val="auto"/>
              </w:rPr>
              <w:t>(902,941)</w:t>
            </w: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(878,022)</w:t>
            </w:r>
          </w:p>
        </w:tc>
      </w:tr>
      <w:tr>
        <w:trPr>
          <w:trHeight w:val="221"/>
        </w:trPr>
        <w:tc>
          <w:tcPr>
            <w:tcW w:w="3520" w:type="dxa"/>
            <w:vAlign w:val="bottom"/>
            <w:gridSpan w:val="2"/>
          </w:tcPr>
          <w:p>
            <w:pPr>
              <w:ind w:left="440"/>
              <w:spacing w:after="0"/>
              <w:rPr>
                <w:sz w:val="20"/>
                <w:szCs w:val="20"/>
                <w:color w:val="auto"/>
              </w:rPr>
            </w:pPr>
            <w:r>
              <w:rPr>
                <w:rFonts w:ascii="Arial" w:cs="Arial" w:eastAsia="Arial" w:hAnsi="Arial"/>
                <w:sz w:val="18"/>
                <w:szCs w:val="18"/>
                <w:color w:val="auto"/>
              </w:rPr>
              <w:t>Loans and leases, net</w:t>
            </w:r>
          </w:p>
        </w:tc>
        <w:tc>
          <w:tcPr>
            <w:tcW w:w="10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63,156,483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65,645,097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7"/>
              </w:rPr>
              <w:t>59,187,715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51,087,441</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51,058,664</w:t>
            </w:r>
          </w:p>
        </w:tc>
        <w:tc>
          <w:tcPr>
            <w:tcW w:w="100" w:type="dxa"/>
            <w:vAlign w:val="bottom"/>
          </w:tcPr>
          <w:p>
            <w:pPr>
              <w:spacing w:after="0"/>
              <w:rPr>
                <w:sz w:val="19"/>
                <w:szCs w:val="19"/>
                <w:color w:val="auto"/>
              </w:rPr>
            </w:pPr>
          </w:p>
        </w:tc>
      </w:tr>
      <w:tr>
        <w:trPr>
          <w:trHeight w:val="218"/>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3,524,625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3,524,625</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3,524,625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Core deposit and other intangible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68,851</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115,763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176,394</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125,917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182,418</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and other assets owned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156,592</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220,049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94,604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85,162,391</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83,008,803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77,924,287</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68,021,263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68,880,399</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24,661,007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24,240,802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7"/>
              </w:rPr>
              <w:t>20,017,883</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14,557,568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13,794,636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NOW accounts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1,989,441</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1,979,619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1,912,226</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1,393,349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1,396,471</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36,621,580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33,783,947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7"/>
              </w:rPr>
              <w:t>31,001,083</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26,431,281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23,676,798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3,523,838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4,562,366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6,107,530</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5,817,170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7,531,495</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0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1,044,519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355,927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1,605,916</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1,050,438</w:t>
            </w:r>
          </w:p>
        </w:tc>
        <w:tc>
          <w:tcPr>
            <w:tcW w:w="100" w:type="dxa"/>
            <w:vAlign w:val="bottom"/>
            <w:shd w:val="clear" w:color="auto" w:fill="CCEEFF"/>
          </w:tcPr>
          <w:p>
            <w:pPr>
              <w:spacing w:after="0"/>
              <w:rPr>
                <w:sz w:val="18"/>
                <w:szCs w:val="18"/>
                <w:color w:val="auto"/>
              </w:rPr>
            </w:pPr>
          </w:p>
        </w:tc>
      </w:tr>
      <w:tr>
        <w:trPr>
          <w:trHeight w:val="221"/>
        </w:trPr>
        <w:tc>
          <w:tcPr>
            <w:tcW w:w="3520" w:type="dxa"/>
            <w:vAlign w:val="bottom"/>
            <w:gridSpan w:val="2"/>
          </w:tcPr>
          <w:p>
            <w:pPr>
              <w:ind w:left="440"/>
              <w:spacing w:after="0"/>
              <w:rPr>
                <w:sz w:val="20"/>
                <w:szCs w:val="20"/>
                <w:color w:val="auto"/>
              </w:rPr>
            </w:pPr>
            <w:r>
              <w:rPr>
                <w:rFonts w:ascii="Arial" w:cs="Arial" w:eastAsia="Arial" w:hAnsi="Arial"/>
                <w:sz w:val="18"/>
                <w:szCs w:val="18"/>
                <w:color w:val="auto"/>
              </w:rPr>
              <w:t>Total deposits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67,118,612</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65,611,253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59,394,649</w:t>
            </w: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49,805,284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47,449,838</w:t>
            </w:r>
          </w:p>
        </w:tc>
      </w:tr>
      <w:tr>
        <w:trPr>
          <w:trHeight w:val="218"/>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1,074,482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782,082</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947,432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2,442,582</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5,108,870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4,607,758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6,686,226</w:t>
            </w:r>
          </w:p>
        </w:tc>
        <w:tc>
          <w:tcPr>
            <w:tcW w:w="3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7,840,151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10,240,016</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73,856,859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72,806,210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7"/>
              </w:rPr>
              <w:t>68,653,078</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59,663,568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61,127,492</w:t>
            </w: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11,305,532</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10,202,593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9,271,209</w:t>
            </w:r>
          </w:p>
        </w:tc>
        <w:tc>
          <w:tcPr>
            <w:tcW w:w="3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8,357,695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7,752,907</w:t>
            </w:r>
          </w:p>
        </w:tc>
      </w:tr>
      <w:tr>
        <w:trPr>
          <w:trHeight w:val="37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Table 2</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160" w:type="dxa"/>
            <w:vAlign w:val="bottom"/>
            <w:gridSpan w:val="9"/>
          </w:tcPr>
          <w:p>
            <w:pPr>
              <w:jc w:val="center"/>
              <w:ind w:left="152"/>
              <w:spacing w:after="0"/>
              <w:rPr>
                <w:sz w:val="20"/>
                <w:szCs w:val="20"/>
                <w:color w:val="auto"/>
              </w:rPr>
            </w:pPr>
            <w:r>
              <w:rPr>
                <w:rFonts w:ascii="Arial" w:cs="Arial" w:eastAsia="Arial" w:hAnsi="Arial"/>
                <w:sz w:val="18"/>
                <w:szCs w:val="18"/>
                <w:b w:val="1"/>
                <w:bCs w:val="1"/>
                <w:color w:val="auto"/>
                <w:w w:val="96"/>
              </w:rPr>
              <w:t>SHAREHOLDERS, EMPLOYEES AND OFFICES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Number at Year-End</w:t>
            </w: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24"/>
                <w:szCs w:val="24"/>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w:t>
            </w:r>
          </w:p>
        </w:tc>
        <w:tc>
          <w:tcPr>
            <w:tcW w:w="10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gridSpan w:val="3"/>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15,015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15,623</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15,959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12,773</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13,207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6"/>
          </w:tcPr>
          <w:p>
            <w:pPr>
              <w:jc w:val="right"/>
              <w:ind w:right="20"/>
              <w:spacing w:after="0"/>
              <w:rPr>
                <w:sz w:val="20"/>
                <w:szCs w:val="20"/>
                <w:color w:val="auto"/>
              </w:rPr>
            </w:pPr>
            <w:r>
              <w:rPr>
                <w:rFonts w:ascii="Arial" w:cs="Arial" w:eastAsia="Arial" w:hAnsi="Arial"/>
                <w:sz w:val="18"/>
                <w:szCs w:val="18"/>
                <w:color w:val="auto"/>
              </w:rPr>
              <w:t>15,893</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14,943</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13,365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Offices</w:t>
            </w: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11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4"/>
                <w:szCs w:val="14"/>
                <w:color w:val="auto"/>
              </w:rPr>
              <w:t>22</w:t>
            </w: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2,734,708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2,704,156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2,522,567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2,394,082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2,326,748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Fully taxable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209,244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227,116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256,057</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324,695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Exempt from federal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2,957,334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2,941,685</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2,792,087</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2,729,795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2,725,197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26,439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71,014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100,241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243,866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271,578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284,105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343,169</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402,331</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462,269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2,673,229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2,598,516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2,389,756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2,267,526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2,055,748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2,488,229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2,394,516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2,119,756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1,899,526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1,451,748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349,064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166,021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446,941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446,698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455,095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478,133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471,852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332,385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65,647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59,059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49,669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56,457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150,187</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other-than-temporary impairment (“OTTI”) losses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(115,947)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8"/>
              </w:rPr>
              <w:t>Portion of OTTI losses recognized in other comprehensive income (before taxes)</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29,666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(16,126)</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496,796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355,053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1,865,205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1,667,270</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1,582,912</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1,108,100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1,355,178</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1,314,540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1,203,993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999,709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1,001,873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264,327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249,514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39,557</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40,917</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33,847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58,103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FDIC assessments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69,584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101,110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79,324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733,499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821,797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527,790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2,635,885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2,509,260</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2,478,068</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1,914,837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1,980,563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1,717,549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1,552,526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1,224,600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1,092,789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523,028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365,121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356,628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1,138,480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1,029,498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40,225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Table 4</w:t>
            </w: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59"/>
        </w:trPr>
        <w:tc>
          <w:tcPr>
            <w:tcW w:w="4060" w:type="dxa"/>
            <w:vAlign w:val="bottom"/>
          </w:tcPr>
          <w:p>
            <w:pPr>
              <w:spacing w:after="0"/>
              <w:rPr>
                <w:sz w:val="24"/>
                <w:szCs w:val="24"/>
                <w:color w:val="auto"/>
              </w:rPr>
            </w:pPr>
          </w:p>
        </w:tc>
        <w:tc>
          <w:tcPr>
            <w:tcW w:w="42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COMMON SHAREHOLDER DATA</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9"/>
        </w:trPr>
        <w:tc>
          <w:tcPr>
            <w:tcW w:w="4060" w:type="dxa"/>
            <w:vAlign w:val="bottom"/>
          </w:tcPr>
          <w:p>
            <w:pPr>
              <w:spacing w:after="0"/>
              <w:rPr>
                <w:sz w:val="24"/>
                <w:szCs w:val="24"/>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2011</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r>
      <w:tr>
        <w:trPr>
          <w:trHeight w:val="198"/>
        </w:trPr>
        <w:tc>
          <w:tcPr>
            <w:tcW w:w="40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Per share</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$ 8.26</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$ 7.57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$ 6.37</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$ 5.72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$ 2.90</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7.54</w:t>
            </w: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5.69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2.89</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Common shareholders’ equity at year-end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79.81</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72.73</w:t>
            </w:r>
          </w:p>
        </w:tc>
        <w:tc>
          <w:tcPr>
            <w:tcW w:w="500" w:type="dxa"/>
            <w:vAlign w:val="bottom"/>
          </w:tcPr>
          <w:p>
            <w:pPr>
              <w:jc w:val="right"/>
              <w:spacing w:after="0"/>
              <w:rPr>
                <w:sz w:val="20"/>
                <w:szCs w:val="20"/>
                <w:color w:val="auto"/>
              </w:rPr>
            </w:pPr>
            <w:r>
              <w:rPr>
                <w:rFonts w:ascii="Arial" w:cs="Arial" w:eastAsia="Arial" w:hAnsi="Arial"/>
                <w:sz w:val="18"/>
                <w:szCs w:val="18"/>
                <w:color w:val="auto"/>
              </w:rPr>
              <w:t>66.82</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63.54</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59.31</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Tangible common shareholders’ equity at year-end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44.61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33.26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28.27</w:t>
            </w: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Dividend payout ratio</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33.94%</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36.98%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44.15%</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48.98%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97.36%</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Table 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704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CHANGES IN INTEREST INCOME AND EXPENSE(a)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2013 Compared with 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2012 Compared with 2011</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132"/>
              <w:spacing w:after="0" w:line="197" w:lineRule="exact"/>
              <w:rPr>
                <w:sz w:val="20"/>
                <w:szCs w:val="20"/>
                <w:color w:val="auto"/>
              </w:rPr>
            </w:pPr>
            <w:r>
              <w:rPr>
                <w:rFonts w:ascii="Arial" w:cs="Arial" w:eastAsia="Arial" w:hAnsi="Arial"/>
                <w:sz w:val="18"/>
                <w:szCs w:val="18"/>
                <w:b w:val="1"/>
                <w:bCs w:val="1"/>
                <w:color w:val="auto"/>
              </w:rPr>
              <w:t>Resulting from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192"/>
              <w:spacing w:after="0" w:line="197" w:lineRule="exact"/>
              <w:rPr>
                <w:sz w:val="20"/>
                <w:szCs w:val="20"/>
                <w:color w:val="auto"/>
              </w:rPr>
            </w:pPr>
            <w:r>
              <w:rPr>
                <w:rFonts w:ascii="Arial" w:cs="Arial" w:eastAsia="Arial" w:hAnsi="Arial"/>
                <w:sz w:val="18"/>
                <w:szCs w:val="18"/>
                <w:b w:val="1"/>
                <w:bCs w:val="1"/>
                <w:color w:val="auto"/>
              </w:rPr>
              <w:t>Resulting from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Total</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Changes in: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Total</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Changes in:</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Volume</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Rate</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3"/>
              </w:rPr>
              <w:t>Change</w:t>
            </w:r>
          </w:p>
        </w:tc>
        <w:tc>
          <w:tcPr>
            <w:tcW w:w="8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Volume</w:t>
            </w:r>
          </w:p>
        </w:tc>
        <w:tc>
          <w:tcPr>
            <w:tcW w:w="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gridSpan w:val="8"/>
          </w:tcPr>
          <w:p>
            <w:pPr>
              <w:jc w:val="right"/>
              <w:ind w:right="612"/>
              <w:spacing w:after="0"/>
              <w:rPr>
                <w:sz w:val="20"/>
                <w:szCs w:val="20"/>
                <w:color w:val="auto"/>
              </w:rPr>
            </w:pPr>
            <w:r>
              <w:rPr>
                <w:rFonts w:ascii="Arial" w:cs="Arial" w:eastAsia="Arial" w:hAnsi="Arial"/>
                <w:sz w:val="18"/>
                <w:szCs w:val="18"/>
                <w:b w:val="1"/>
                <w:bCs w:val="1"/>
                <w:color w:val="auto"/>
              </w:rPr>
              <w:t>(Increase (decrease) 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29,624</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w w:val="92"/>
              </w:rPr>
              <w:t>100,052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(70,428)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182,621</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286,590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(103,969)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(1,499)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128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19,078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(4,839)</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(17,996)</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(1,639)</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(1,339)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(2,066)</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(33,296)</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(30,940)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(23,705)</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(16,104)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14,229</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150,113</w:t>
            </w: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(13,063)</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5,798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(16,303)</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8,292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(19,663)</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(9,814)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(24,912)</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(223)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(256)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(25,314)</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w w:val="98"/>
              </w:rPr>
              <w:t>(23,672)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(18,569)</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(54,973)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36,404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(59,064)</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(59,162)</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40" w:hanging="452"/>
        <w:spacing w:after="0" w:line="268" w:lineRule="auto"/>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Weakness in the economy has adversely affected the Company and may adversely affect the Company in the future.</w:t>
      </w:r>
    </w:p>
    <w:p>
      <w:pPr>
        <w:spacing w:after="0" w:line="9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From late-2007 through mid-2009, the U.S. economy was in recession. Although there has been gradual improvement in the U.S. economy since then, economic growth has been uneven and unemployment levels are high. A slowing of improvement or a return to deteriorating business and economic conditions could have one or more of the following adverse effects on the Company’s business: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the demand for loans and other products and services offered by the Company.</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net interest income derived from the Company’s lending and deposit gathering activities.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the value of the Company’s investment securities, loans held for sale or other assets secured by residential or commercial real estate.</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Other-than-temporary impairment of investment securities in the Company’s investment securities portfolio.</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fees from the Company’s brokerage and trust businesses associated with declines or lack of growth in stock market prices.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Potential higher FDIC assessments due to the DIF falling below minimum required levels.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An impairment of certain intangible assets, such as goodwill.</w:t>
      </w:r>
    </w:p>
    <w:p>
      <w:pPr>
        <w:ind w:left="700" w:right="180" w:hanging="243"/>
        <w:spacing w:after="0" w:line="222"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M&amp;T has no control and which M&amp;T may not be able to anticipate adequately</w:t>
      </w:r>
      <w:r>
        <w:rPr>
          <w:rFonts w:ascii="Arial" w:cs="Arial" w:eastAsia="Arial" w:hAnsi="Arial"/>
          <w:sz w:val="18"/>
          <w:szCs w:val="18"/>
          <w:b w:val="1"/>
          <w:bCs w:val="1"/>
          <w:i w:val="1"/>
          <w:iCs w:val="1"/>
          <w:color w:val="auto"/>
        </w:rPr>
        <w:t>.</w:t>
      </w:r>
    </w:p>
    <w:p>
      <w:pPr>
        <w:spacing w:after="0" w:line="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w:t>
      </w:r>
    </w:p>
    <w:p>
      <w:pPr>
        <w:ind w:left="700" w:right="12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Changes in interest rates or interest rate spreads can affect the difference between the interest that the Company earns on assets and the interest that the Company pays on liabilities, which impacts the Company’s overall net interest income and profitability.</w:t>
      </w:r>
    </w:p>
    <w:p>
      <w:pPr>
        <w:ind w:left="700" w:right="1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affect the ability of borrowers to meet obligations under variable or adjustable rate loans and other debt instruments, and can, in turn, affect the Company’s loss rates on those assets.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Such changes may decrease the demand for interest rate based products and services, including loans and deposits.</w:t>
      </w:r>
    </w:p>
    <w:p>
      <w:pPr>
        <w:ind w:left="700" w:right="6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also affect the Company’s ability to hedge various forms of market and interest rate risk and may decrease the profitability or protection or increase the risk or cost associated with such hedges.</w:t>
      </w:r>
    </w:p>
    <w:p>
      <w:pPr>
        <w:spacing w:after="0" w:line="1" w:lineRule="exact"/>
        <w:rPr>
          <w:sz w:val="20"/>
          <w:szCs w:val="20"/>
          <w:color w:val="auto"/>
        </w:rPr>
      </w:pPr>
    </w:p>
    <w:p>
      <w:pPr>
        <w:ind w:left="700" w:right="6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Movements in interest rates also 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58" w:lineRule="exact"/>
        <w:rPr>
          <w:sz w:val="20"/>
          <w:szCs w:val="20"/>
          <w:color w:val="auto"/>
        </w:rPr>
      </w:pPr>
    </w:p>
    <w:p>
      <w:pPr>
        <w:ind w:right="180" w:firstLine="685"/>
        <w:spacing w:after="0" w:line="253" w:lineRule="auto"/>
        <w:rPr>
          <w:sz w:val="20"/>
          <w:szCs w:val="20"/>
          <w:color w:val="auto"/>
        </w:rPr>
      </w:pPr>
      <w:r>
        <w:rPr>
          <w:rFonts w:ascii="Arial" w:cs="Arial" w:eastAsia="Arial" w:hAnsi="Arial"/>
          <w:sz w:val="18"/>
          <w:szCs w:val="18"/>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companies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also influence, to a significant extent, the Company’s cost of such funding. In addition, the Company is routinely subject to examinations from</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business and performance is vulnerable to the impact of volatility in debt and equity markets.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most of the Company’s assets and liabilities are financial in nature, the Company’s performance tends to be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also can have some of the following adverse effects on the Company and its business, including adversely affecting the Company’s financial condition and results of operations: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or liquidity of the Company’s on-balance sheet and off-balance sheet financial instruments.</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of capitalized servicing assets.</w:t>
      </w:r>
    </w:p>
    <w:p>
      <w:pPr>
        <w:ind w:left="700" w:right="10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M&amp;T’s ability to access capital markets to raise funds. Inability to access capital markets if needed, at cost effective rates, could adversely affect the Company’s liquidity and results of operations.</w:t>
      </w:r>
    </w:p>
    <w:p>
      <w:pPr>
        <w:spacing w:after="0" w:line="1" w:lineRule="exact"/>
        <w:rPr>
          <w:sz w:val="20"/>
          <w:szCs w:val="20"/>
          <w:color w:val="auto"/>
        </w:rPr>
      </w:pPr>
    </w:p>
    <w:p>
      <w:pPr>
        <w:ind w:left="700" w:right="28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In general, it can impact the nature, profitability or risk profile of the financial transactions in which the Company engages.</w:t>
      </w:r>
    </w:p>
    <w:p>
      <w:pPr>
        <w:spacing w:after="0" w:line="61" w:lineRule="exact"/>
        <w:rPr>
          <w:sz w:val="20"/>
          <w:szCs w:val="20"/>
          <w:color w:val="auto"/>
        </w:rPr>
      </w:pPr>
    </w:p>
    <w:p>
      <w:pPr>
        <w:ind w:right="40" w:firstLine="685"/>
        <w:spacing w:after="0" w:line="268" w:lineRule="auto"/>
        <w:rPr>
          <w:sz w:val="20"/>
          <w:szCs w:val="20"/>
          <w:color w:val="auto"/>
        </w:rPr>
      </w:pPr>
      <w:r>
        <w:rPr>
          <w:rFonts w:ascii="Arial" w:cs="Arial" w:eastAsia="Arial" w:hAnsi="Arial"/>
          <w:sz w:val="18"/>
          <w:szCs w:val="18"/>
          <w:color w:val="auto"/>
        </w:rPr>
        <w:t>Volatility in the markets for real estate and other assets commonly securing financial products has been and may continue to be a significant contributor to overall volatility in financial markets.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regional concentrations expose it to adverse economic conditions in its primary retail banking office footprint.</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Although many of the Company’s businesses are national in scope, its core banking business is concentrated within the Company’s retail banking office network footprint, located principally in New York, Pennsylvania, Maryland, Delaware, Virginia, West Virginia and the District of Columbia. Therefore, the Company is, or in the future may be, particularly vulnerable to adverse changes in economic conditions in the Northeast and Mid-Atlantic regions.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Regulatory Environment</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The Company is subject to extensive government regulation and supervision and this regulatory environment is being significantly impacted by the financial regulatory reform initiatives in the United States, including the Dodd-Frank Act and related regulations.</w:t>
      </w:r>
    </w:p>
    <w:p>
      <w:pPr>
        <w:spacing w:after="0" w:line="5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is subject to extensive federal and state regulation and supervision. Banking regulations are primarily intended to protect depositors’ funds, federal deposit insurance funds and the financial system as a whole, not security holders. These regulations and supervisory guidance affect the Company’s lending practices, capital structure, investment practices, dividend policy and growth,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are pursuing aggressive enforcement actions with respect to compliance and other legal matters involving financial activities, which heightens the risks associated with actual and perceived compliance failures.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The United States government and others have recently undertaken major reforms of the regulatory oversight structure of the financial services industry. M&amp;T expects to face increased regulation of its industry as a result of current and possible future initiatives. M&amp;T also expects more intense scrutiny in the examination process and more aggressive enforcement of regulations on both the federal and state levels. Compliance with these new regulations and supervisory initiatives will likely increase the Company’s costs, reduce its revenue and may limit its ability to pursue certain desirable business opportunities.</w:t>
      </w:r>
    </w:p>
    <w:p>
      <w:pPr>
        <w:spacing w:after="0" w:line="3" w:lineRule="exact"/>
        <w:rPr>
          <w:sz w:val="20"/>
          <w:szCs w:val="20"/>
          <w:color w:val="auto"/>
        </w:rPr>
      </w:pPr>
    </w:p>
    <w:p>
      <w:pPr>
        <w:ind w:right="80" w:firstLine="685"/>
        <w:spacing w:after="0" w:line="309" w:lineRule="auto"/>
        <w:rPr>
          <w:sz w:val="20"/>
          <w:szCs w:val="20"/>
          <w:color w:val="auto"/>
        </w:rPr>
      </w:pPr>
      <w:r>
        <w:rPr>
          <w:rFonts w:ascii="Arial" w:cs="Arial" w:eastAsia="Arial" w:hAnsi="Arial"/>
          <w:sz w:val="15"/>
          <w:szCs w:val="15"/>
          <w:color w:val="auto"/>
        </w:rPr>
        <w:t>Many parts of the Dodd-Frank Act are now in effect, while others depend on rules that have yet to be adopted or implemented. Reforms, both under the Dodd-Frank Act and otherwise, will have a significant effect on the entire financial services industry. Although it is difficult to predict the magnitude and extent of these effects, M&amp;T believes compliance with new regulations and other initiatives will likely negatively impact revenue and increase the cost of doing business, both in terms of transition expenses and on an ongoing basis, and may also limit M&amp;T’s ability to pursue certain desirable business opportunities. Any new regulatory requirements or changes to existing requirements could require changes to the Company’s businesses, result in increased compliance costs and affect the profitability of such businesses. Additionally, reform could affect the behaviors of third parties that the Company deals with in the course of its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w:t>
      </w:r>
    </w:p>
    <w:p>
      <w:pPr>
        <w:spacing w:after="0" w:line="10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New capital and liquidity standards adopted by the U.S. banking regulators will result in banks and bank holding companies needing to maintain more and higher quality capital and greater liquidity than has historically been the case.</w:t>
      </w:r>
    </w:p>
    <w:p>
      <w:pPr>
        <w:spacing w:after="0" w:line="51"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New and evolving capital standards, both as a result of the Dodd-Frank Act and implementation in the U.S. of new capital standards adopted by the Basel Committee, including the so-called “Basel III” capital accord, will have a significant effect on banks and bank holding companies, including M&amp;T. Basel III, when implemented and fully phased-in, will require bank holding companies and their bank subsidiaries to maintain substantially more capital, with a greater emphasis on common equity. For additional information, see “Capital Requirements” under Part I, Item 1 “Business.”</w:t>
      </w:r>
    </w:p>
    <w:p>
      <w:pPr>
        <w:spacing w:after="0" w:line="3" w:lineRule="exact"/>
        <w:rPr>
          <w:sz w:val="20"/>
          <w:szCs w:val="20"/>
          <w:color w:val="auto"/>
        </w:rPr>
      </w:pPr>
    </w:p>
    <w:p>
      <w:pPr>
        <w:ind w:right="60" w:firstLine="685"/>
        <w:spacing w:after="0" w:line="287" w:lineRule="auto"/>
        <w:rPr>
          <w:sz w:val="20"/>
          <w:szCs w:val="20"/>
          <w:color w:val="auto"/>
        </w:rPr>
      </w:pPr>
      <w:r>
        <w:rPr>
          <w:rFonts w:ascii="Arial" w:cs="Arial" w:eastAsia="Arial" w:hAnsi="Arial"/>
          <w:sz w:val="16"/>
          <w:szCs w:val="16"/>
          <w:color w:val="auto"/>
        </w:rPr>
        <w:t>The need to maintain more and higher quality capital, as well as greater liquidity, going forward than historically has been required, and generally increased regulatory scrutiny with respect to capital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 In addition, new liquidity standards will require the Company to increase its holdings of unencumbered highly liquid investments, thereby reducing the Company’s ability to invest in other longer-term assets even if deemed more desirable from a balance sheet management perspective. Moreover, although these new requirements are being phased in over time, U.S. federal banking agencies have been taking into account expectations regarding the ability of banks to meet these new requirements, including under stressed conditions, in approving actions that represent uses of capital, such as dividend increases, share repurchases and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Company’s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credit quality could adversely impact the Company.</w:t>
      </w:r>
    </w:p>
    <w:p>
      <w:pPr>
        <w:spacing w:after="0" w:line="9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right="40" w:firstLine="685"/>
        <w:spacing w:after="0" w:line="292"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metropolitan area and in central Pennsylvania that have historically experienced less economic growth and vitality than many other regions of the country;</w:t>
      </w:r>
    </w:p>
    <w:p>
      <w:pPr>
        <w:spacing w:after="0" w:line="38" w:lineRule="exact"/>
        <w:rPr>
          <w:sz w:val="20"/>
          <w:szCs w:val="20"/>
          <w:color w:val="auto"/>
        </w:rPr>
      </w:pPr>
    </w:p>
    <w:p>
      <w:pPr>
        <w:jc w:val="both"/>
        <w:ind w:right="120" w:firstLine="8"/>
        <w:spacing w:after="0" w:line="300" w:lineRule="auto"/>
        <w:tabs>
          <w:tab w:leader="none" w:pos="29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ind w:right="20" w:firstLine="685"/>
        <w:spacing w:after="0" w:line="281" w:lineRule="auto"/>
        <w:rPr>
          <w:rFonts w:ascii="Arial" w:cs="Arial" w:eastAsia="Arial" w:hAnsi="Arial"/>
          <w:sz w:val="15"/>
          <w:szCs w:val="15"/>
          <w:color w:val="auto"/>
        </w:rPr>
      </w:pPr>
      <w:r>
        <w:rPr>
          <w:rFonts w:ascii="Arial" w:cs="Arial" w:eastAsia="Arial" w:hAnsi="Arial"/>
          <w:sz w:val="16"/>
          <w:szCs w:val="16"/>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2" w:lineRule="exact"/>
        <w:rPr>
          <w:rFonts w:ascii="Arial" w:cs="Arial" w:eastAsia="Arial" w:hAnsi="Arial"/>
          <w:sz w:val="15"/>
          <w:szCs w:val="15"/>
          <w:color w:val="auto"/>
        </w:rPr>
      </w:pPr>
    </w:p>
    <w:p>
      <w:pPr>
        <w:ind w:right="20" w:firstLine="685"/>
        <w:spacing w:after="0" w:line="281" w:lineRule="auto"/>
        <w:rPr>
          <w:rFonts w:ascii="Arial" w:cs="Arial" w:eastAsia="Arial" w:hAnsi="Arial"/>
          <w:sz w:val="15"/>
          <w:szCs w:val="15"/>
          <w:color w:val="auto"/>
        </w:rPr>
      </w:pPr>
      <w:r>
        <w:rPr>
          <w:rFonts w:ascii="Arial" w:cs="Arial" w:eastAsia="Arial" w:hAnsi="Arial"/>
          <w:sz w:val="16"/>
          <w:szCs w:val="16"/>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3" w:lineRule="exact"/>
        <w:rPr>
          <w:rFonts w:ascii="Arial" w:cs="Arial" w:eastAsia="Arial" w:hAnsi="Arial"/>
          <w:sz w:val="15"/>
          <w:szCs w:val="15"/>
          <w:color w:val="auto"/>
        </w:rPr>
      </w:pPr>
    </w:p>
    <w:p>
      <w:pPr>
        <w:ind w:right="20" w:firstLine="685"/>
        <w:spacing w:after="0" w:line="254" w:lineRule="auto"/>
        <w:rPr>
          <w:rFonts w:ascii="Arial" w:cs="Arial" w:eastAsia="Arial" w:hAnsi="Arial"/>
          <w:sz w:val="15"/>
          <w:szCs w:val="15"/>
          <w:color w:val="auto"/>
        </w:rPr>
      </w:pPr>
      <w:r>
        <w:rPr>
          <w:rFonts w:ascii="Arial" w:cs="Arial" w:eastAsia="Arial" w:hAnsi="Arial"/>
          <w:sz w:val="18"/>
          <w:szCs w:val="18"/>
          <w:color w:val="auto"/>
        </w:rPr>
        <w:t>M&amp;T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 the economy experiences a downturn. In those cases, the Company may be required to increase the allowance through an increase in the provision for credit losses, which would reduce 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must maintain adequate sources of funding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must maintain adequate funding sources in the normal course of business to support its operations and fund outstanding liabilities, as well as meet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regulatory expectations. The Company primarily relies on deposits to be a low cost and stable source of funding for the loans it makes and the operations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Core customer deposits, which include noninterest-bearing deposits, interest-bearing transaction accounts, savings deposits and time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or less, have historically provided the Company with a sizeable source of relatively stable and low-cost funds. In addition to customer deposits, 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liquidity include borrowings from third party banks, securities dealers, various Federal Home Loan Banks and the Federal Reserve Bank of New York.</w:t>
      </w:r>
    </w:p>
    <w:p>
      <w:pPr>
        <w:spacing w:after="0" w:line="3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Company’s liquidity and ability to fund and run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Other conditions and factors that could materially adversely affect the Company’s liquidity and funding include a lack of market or customer confidence in, or negative news about, the Company or the financial services industry generally which also may result in a loss of deposits and/or negatively affect the ability to access the capital markets; the loss of customer deposits to alternative investments; inability to sell or securitize loans or other assets; and downgrades in one or more of the Company’s credit ratings. A downgrade in the Company’s credit ratings, which could result from general industry-wide or regulatory factors not solely related to the Company, could adversely affect the Company’s ability to borrow funds and raise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5" w:lineRule="exact"/>
        <w:rPr>
          <w:sz w:val="20"/>
          <w:szCs w:val="20"/>
          <w:color w:val="auto"/>
        </w:rPr>
      </w:pPr>
    </w:p>
    <w:p>
      <w:pPr>
        <w:ind w:right="300" w:firstLine="685"/>
        <w:spacing w:after="0" w:line="255" w:lineRule="auto"/>
        <w:rPr>
          <w:sz w:val="20"/>
          <w:szCs w:val="20"/>
          <w:color w:val="auto"/>
        </w:rPr>
      </w:pPr>
      <w:r>
        <w:rPr>
          <w:rFonts w:ascii="Arial" w:cs="Arial" w:eastAsia="Arial" w:hAnsi="Arial"/>
          <w:sz w:val="18"/>
          <w:szCs w:val="18"/>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financial services industry is highly competitive and creates competitive pressures that could adversely affect the Company’s revenue and profitability.</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 Finally, technological change is influencing how individuals and firms conduct their financial affairs and changing the delivery channels for financial services, with the result that the Company may have to contend with a broader range of competitors including many that are not located within the geographic footprint of its banking office network.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may be adversely affected by the soundness of other financial institutions.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such losses could have a material adverse effect on the Company’s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dividends from its subsidiaries for its liquidity.</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M&amp;T is a separate and distinct legal entity from its subsidiaries. M&amp;T typically receives substantially all of its revenue from subsidiary dividends. These dividends are the principal source of funds to pay dividends on M&amp;T stock and interest and principal on its debt.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Business — Dividends”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is subject to operational risk.</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In addition, along with other participants in the financial services industry, the Company continually and frequently attempts to introduce new technology-driven products and services that are aimed at allowing the Company to better serve customers and to reduce costs. The Company may not be able to effectively implement new technology-driven products and services that allows it to remain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competitive or be successful in marketing these products and services to its customers. Although the Company seeks to mitigate operational risk through a system of internal controls which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could impact the Company’s financial condition and 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hard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M&amp;T’s accounting policies and processes are critical to the reporting of the Company’s financial condition and results of operations. They require management to make estimates about matters that are uncertain.</w:t>
      </w:r>
    </w:p>
    <w:p>
      <w:pPr>
        <w:spacing w:after="0" w:line="5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(“GAAP”),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1"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to the Consolidated Financial Statements in Part II, Item 8.</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M&amp;T has regularly considered opportunities to expand and improve its business through acquisition of other financial institutions. Inherent uncertainties exist when integrating the operations of an acquired entity. M&amp;T may not be able to fully achieve its strategic objectives and planned operating efficiencies in an acquisition. In addition, the markets and industries in which the Company and its potential acquisition targets operate are highly competitive. The Company may lose customers or fail to retain the customers of acquired entities as a result of an acquisition. Future acquisition and integration activities may require M&amp;T to devote substantial time and resources, and as a result M&amp;T may not be able to pursue other business opportunities.</w:t>
      </w:r>
    </w:p>
    <w:p>
      <w:pPr>
        <w:spacing w:after="0" w:line="2" w:lineRule="exact"/>
        <w:rPr>
          <w:sz w:val="20"/>
          <w:szCs w:val="20"/>
          <w:color w:val="auto"/>
        </w:rPr>
      </w:pPr>
    </w:p>
    <w:p>
      <w:pPr>
        <w:ind w:right="280" w:firstLine="685"/>
        <w:spacing w:after="0" w:line="323" w:lineRule="auto"/>
        <w:rPr>
          <w:sz w:val="20"/>
          <w:szCs w:val="20"/>
          <w:color w:val="auto"/>
        </w:rPr>
      </w:pPr>
      <w:r>
        <w:rPr>
          <w:rFonts w:ascii="Arial" w:cs="Arial" w:eastAsia="Arial" w:hAnsi="Arial"/>
          <w:sz w:val="16"/>
          <w:szCs w:val="16"/>
          <w:color w:val="auto"/>
        </w:rPr>
        <w:t>After completing an acquisition, the Company may not realize the expected benefits of the acquisition due to lower financial results pertaining to the acquired entity. For example, the Company could experience higher credit losses than originally anticipated related to an acquired loan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could suffer if it fails to attract and retain skilled personnel.</w:t>
      </w:r>
    </w:p>
    <w:p>
      <w:pPr>
        <w:spacing w:after="0" w:line="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M&amp;T’s success depends, in large part, on its ability to attract and retain key individuals. Competition for qualified candidates in the activities and markets that the Company serves is significant and the Company may not be able to hire these candidates and retain them. Growth in the Company’s business, including through acquisitions, may increase its need for additional qualified personnel. If the Company is not able to hire or retain these key individuals, it may be unable to execute its business strategies and may suffer adverse consequences to its business, financial condition and results of operations.</w:t>
      </w:r>
    </w:p>
    <w:p>
      <w:pPr>
        <w:spacing w:after="0" w:line="3"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M&amp;T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information systems may experience interruptions or breaches in security.</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relies heavily on communications and information systems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remediated.</w:t>
      </w:r>
    </w:p>
    <w:p>
      <w:pPr>
        <w:spacing w:after="0" w:line="1"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There have been increasing efforts on the part of third parties to breach data security at financial institutions or with respect to financial transactions. In addition, because the techniques used to cause such security breaches change frequently, often are not recognized until launched against a target and may originate from less regulated and remote areas around the world, the Company may be unable to proactively address these techniques or to implement adequate preventative measures. The ability of the Company’s customers to bank remotely, including online and through mobile devices, requires secure transmission of confidential information and increases the risk of data security breaches.</w:t>
      </w:r>
    </w:p>
    <w:p>
      <w:pPr>
        <w:spacing w:after="0" w:line="3"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The occurrence of any failure, interruption or security breach of the Company’s systems, particularly if widespread or resulting in financial losses to customers, could damage the Company’s reputation, result in a loss of customer business, subject it to additional regulatory scrutiny, or expose it to civil litigation and financial liability.</w:t>
      </w:r>
    </w:p>
    <w:p>
      <w:pPr>
        <w:spacing w:after="0" w:line="1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Many aspects of the Company’s business involve substantial risk of legal liability. M&amp;T and/or its subsidiaries have been named or threatened to be named as defendants in various lawsuits arising from its or its subsidiaries’ business activities (and in some cases from the activities of companies M&amp;T has acquired). In addition, from time to time, M&amp;T is, or may become, the subject of governmental and self-regulatory agency information-gathering requests, reviews, investigations and proceedings and other forms of</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regulatory inquiry, including by bank regulatory agencies, the SEC and law enforcement authorities. M&amp;T is also at risk when it has agreed to indemnify others for losses related to legal proceedings, including litigation and governmental investigations and inquiries, they face,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3" w:lineRule="exact"/>
        <w:rPr>
          <w:sz w:val="20"/>
          <w:szCs w:val="20"/>
          <w:color w:val="auto"/>
        </w:rPr>
      </w:pPr>
    </w:p>
    <w:p>
      <w:pPr>
        <w:ind w:right="40" w:firstLine="685"/>
        <w:spacing w:after="0" w:line="315" w:lineRule="auto"/>
        <w:rPr>
          <w:sz w:val="20"/>
          <w:szCs w:val="20"/>
          <w:color w:val="auto"/>
        </w:rPr>
      </w:pPr>
      <w:r>
        <w:rPr>
          <w:rFonts w:ascii="Arial" w:cs="Arial" w:eastAsia="Arial" w:hAnsi="Arial"/>
          <w:sz w:val="15"/>
          <w:szCs w:val="15"/>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other companies to provide key components of the Company’s business infrastructure.</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ind w:firstLine="685"/>
        <w:spacing w:after="0" w:line="281" w:lineRule="auto"/>
        <w:rPr>
          <w:sz w:val="20"/>
          <w:szCs w:val="20"/>
          <w:color w:val="auto"/>
        </w:rPr>
      </w:pPr>
      <w:r>
        <w:rPr>
          <w:rFonts w:ascii="Arial" w:cs="Arial" w:eastAsia="Arial" w:hAnsi="Arial"/>
          <w:sz w:val="16"/>
          <w:szCs w:val="16"/>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3" w:lineRule="exact"/>
        <w:rPr>
          <w:sz w:val="20"/>
          <w:szCs w:val="20"/>
          <w:color w:val="auto"/>
        </w:rPr>
      </w:pPr>
    </w:p>
    <w:p>
      <w:pPr>
        <w:ind w:right="20" w:firstLine="685"/>
        <w:spacing w:after="0" w:line="302" w:lineRule="auto"/>
        <w:rPr>
          <w:sz w:val="20"/>
          <w:szCs w:val="20"/>
          <w:color w:val="auto"/>
        </w:rPr>
      </w:pPr>
      <w:r>
        <w:rPr>
          <w:rFonts w:ascii="Arial" w:cs="Arial" w:eastAsia="Arial" w:hAnsi="Arial"/>
          <w:sz w:val="16"/>
          <w:szCs w:val="16"/>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2013, the cost of this property (including improvements subsequent to the initial construction), net of accumulated depreciation, was $10.5 million.</w:t>
      </w:r>
    </w:p>
    <w:p>
      <w:pPr>
        <w:spacing w:after="0" w:line="1" w:lineRule="exact"/>
        <w:rPr>
          <w:sz w:val="20"/>
          <w:szCs w:val="20"/>
          <w:color w:val="auto"/>
        </w:rPr>
      </w:pPr>
    </w:p>
    <w:p>
      <w:pPr>
        <w:jc w:val="both"/>
        <w:ind w:right="280" w:firstLine="685"/>
        <w:spacing w:after="0" w:line="302" w:lineRule="auto"/>
        <w:rPr>
          <w:sz w:val="20"/>
          <w:szCs w:val="20"/>
          <w:color w:val="auto"/>
        </w:rPr>
      </w:pPr>
      <w:r>
        <w:rPr>
          <w:rFonts w:ascii="Arial" w:cs="Arial" w:eastAsia="Arial" w:hAnsi="Arial"/>
          <w:sz w:val="16"/>
          <w:szCs w:val="16"/>
          <w:color w:val="auto"/>
        </w:rPr>
        <w:t>M&amp;T Bank owns an additional facility in Buffalo, New York with approximately 395,000 rentable square feet of space. Approximately 89% of this facility, known as M&amp;T Center, is occupied by M&amp;T Bank and its subsidiaries, with the remainder leased to non-affiliated tenants. At December 31, 2013, the cost of this building (including improvements subsequent to acquisition), net of accumulated depreciation, was $8.2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firstLine="685"/>
        <w:spacing w:after="0" w:line="253" w:lineRule="auto"/>
        <w:rPr>
          <w:sz w:val="20"/>
          <w:szCs w:val="20"/>
          <w:color w:val="auto"/>
        </w:rPr>
      </w:pPr>
      <w:r>
        <w:rPr>
          <w:rFonts w:ascii="Arial" w:cs="Arial" w:eastAsia="Arial" w:hAnsi="Arial"/>
          <w:sz w:val="18"/>
          <w:szCs w:val="18"/>
          <w:color w:val="auto"/>
        </w:rPr>
        <w:t>M&amp;T Bank also owns and occupies two separate facilities in the Buffalo area which support certain back-office and operations functions of the Company. The total square footage of these facilities approximates 225,000 square feet and their combined cost (including improvements subsequent to acquisition), net of accumulated depreciation, was $18.6 million at December 31, 2013.</w:t>
      </w:r>
    </w:p>
    <w:p>
      <w:pPr>
        <w:ind w:right="60" w:firstLine="685"/>
        <w:spacing w:after="0" w:line="250" w:lineRule="auto"/>
        <w:rPr>
          <w:sz w:val="20"/>
          <w:szCs w:val="20"/>
          <w:color w:val="auto"/>
        </w:rPr>
      </w:pPr>
      <w:r>
        <w:rPr>
          <w:rFonts w:ascii="Arial" w:cs="Arial" w:eastAsia="Arial" w:hAnsi="Arial"/>
          <w:sz w:val="18"/>
          <w:szCs w:val="18"/>
          <w:color w:val="auto"/>
        </w:rPr>
        <w:t>M&amp;T Bank also owns a facility in Syracuse, New York with approximately 160,000 rentable square feet of space. Approximately 48% of this facility is occupied by M&amp;T Bank. At December 31, 2013, the cost of this building (including improvements subsequent to acquisition), net of accumulated depreciation, was $3.6 million.</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Bank also owns facilities in Harrisburg, Pennsylvania and Millsboro, Delaware with approximately 225,000 and 325,000 rentable square feet of space, respectively. M&amp;T Bank occupies approximately 29% and 87% of these respective facilities. At December 31, 2013, the cost of these buildings (including improvements subsequent to acquisition), net of accumulated depreciation, was $11.1 million and $7.1 million, respectively.</w:t>
      </w:r>
    </w:p>
    <w:p>
      <w:pPr>
        <w:spacing w:after="0" w:line="2" w:lineRule="exact"/>
        <w:rPr>
          <w:sz w:val="20"/>
          <w:szCs w:val="20"/>
          <w:color w:val="auto"/>
        </w:rPr>
      </w:pPr>
    </w:p>
    <w:p>
      <w:pPr>
        <w:ind w:right="220" w:firstLine="685"/>
        <w:spacing w:after="0" w:line="250" w:lineRule="auto"/>
        <w:rPr>
          <w:sz w:val="20"/>
          <w:szCs w:val="20"/>
          <w:color w:val="auto"/>
        </w:rPr>
      </w:pPr>
      <w:r>
        <w:rPr>
          <w:rFonts w:ascii="Arial" w:cs="Arial" w:eastAsia="Arial" w:hAnsi="Arial"/>
          <w:sz w:val="18"/>
          <w:szCs w:val="18"/>
          <w:color w:val="auto"/>
        </w:rPr>
        <w:t>M&amp;T Bank obtained facilities in connection with the Wilmington Trust acquisition in Wilmington, Delaware, with approximately 340,000 (known as Wilmington Center) and 295,000 (known as Wilmington Plaza) rentable square feet of space, respectively. M&amp;T Bank occupies approximately 92% of Wilmington Center. Wilmington Plaza is 100% occupied by a tenant. At December 31, 2013, the cost of these buildings, net of accumulated depreciation, was $44.1 million and $13.6 million, respectively.</w:t>
      </w:r>
    </w:p>
    <w:p>
      <w:pPr>
        <w:spacing w:after="0" w:line="2" w:lineRule="exact"/>
        <w:rPr>
          <w:sz w:val="20"/>
          <w:szCs w:val="20"/>
          <w:color w:val="auto"/>
        </w:rPr>
      </w:pPr>
    </w:p>
    <w:p>
      <w:pPr>
        <w:ind w:right="120" w:firstLine="685"/>
        <w:spacing w:after="0" w:line="331" w:lineRule="auto"/>
        <w:rPr>
          <w:sz w:val="20"/>
          <w:szCs w:val="20"/>
          <w:color w:val="auto"/>
        </w:rPr>
      </w:pPr>
      <w:r>
        <w:rPr>
          <w:rFonts w:ascii="Arial" w:cs="Arial" w:eastAsia="Arial" w:hAnsi="Arial"/>
          <w:sz w:val="15"/>
          <w:szCs w:val="15"/>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722 domestic banking offices of the Registrant’s subsidiary banks at December 31, 2013, 299 are owned in fee and 423 are leased.</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jc w:val="both"/>
        <w:ind w:right="40" w:firstLine="685"/>
        <w:spacing w:after="0" w:line="250" w:lineRule="auto"/>
        <w:rPr>
          <w:sz w:val="20"/>
          <w:szCs w:val="20"/>
          <w:color w:val="auto"/>
        </w:rPr>
      </w:pPr>
      <w:r>
        <w:rPr>
          <w:rFonts w:ascii="Arial" w:cs="Arial" w:eastAsia="Arial" w:hAnsi="Arial"/>
          <w:sz w:val="18"/>
          <w:szCs w:val="18"/>
          <w:i w:val="1"/>
          <w:iCs w:val="1"/>
          <w:color w:val="auto"/>
        </w:rPr>
        <w:t xml:space="preserve">SEC Investigation: </w:t>
      </w:r>
      <w:r>
        <w:rPr>
          <w:rFonts w:ascii="Arial" w:cs="Arial" w:eastAsia="Arial" w:hAnsi="Arial"/>
          <w:sz w:val="18"/>
          <w:szCs w:val="18"/>
          <w:color w:val="auto"/>
        </w:rPr>
        <w:t>Prior to M&amp;T’s acquisition of Wilmington Trust, the Securities and Exchange Commission (“SEC”) commenced an investigation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relating to the financial reporting and securities filings of Wilmington Trust prior to its acquisition by M&amp;T. Counsel for Wilmington Trust has met with the SEC to discuss the investigation and its possible resolution. On August 5, 2013, the SEC issued a Wells Notice to Wilmington Trust. On September 20, 2013, Wilmington Trust filed a Wells submission. The SEC investigation is ongoing.</w:t>
      </w:r>
    </w:p>
    <w:p>
      <w:pPr>
        <w:spacing w:after="0" w:line="2" w:lineRule="exact"/>
        <w:rPr>
          <w:sz w:val="20"/>
          <w:szCs w:val="20"/>
          <w:color w:val="auto"/>
        </w:rPr>
      </w:pPr>
    </w:p>
    <w:p>
      <w:pPr>
        <w:ind w:right="260" w:firstLine="685"/>
        <w:spacing w:after="0" w:line="295" w:lineRule="auto"/>
        <w:rPr>
          <w:sz w:val="20"/>
          <w:szCs w:val="20"/>
          <w:color w:val="auto"/>
        </w:rPr>
      </w:pPr>
      <w:r>
        <w:rPr>
          <w:rFonts w:ascii="Arial" w:cs="Arial" w:eastAsia="Arial" w:hAnsi="Arial"/>
          <w:sz w:val="16"/>
          <w:szCs w:val="16"/>
          <w:i w:val="1"/>
          <w:iCs w:val="1"/>
          <w:color w:val="auto"/>
        </w:rPr>
        <w:t xml:space="preserve">DOJ Investigation: </w:t>
      </w:r>
      <w:r>
        <w:rPr>
          <w:rFonts w:ascii="Arial" w:cs="Arial" w:eastAsia="Arial" w:hAnsi="Arial"/>
          <w:sz w:val="16"/>
          <w:szCs w:val="16"/>
          <w:color w:val="auto"/>
        </w:rPr>
        <w:t>Prior to M&amp;T’s acquisition of Wilmington Trust, the Department of Justice (“DOJ”) also commenced an investigation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Wilmington 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685"/>
        <w:spacing w:after="0" w:line="254" w:lineRule="auto"/>
        <w:rPr>
          <w:sz w:val="20"/>
          <w:szCs w:val="20"/>
          <w:color w:val="auto"/>
        </w:rPr>
      </w:pPr>
      <w:r>
        <w:rPr>
          <w:rFonts w:ascii="Arial" w:cs="Arial" w:eastAsia="Arial" w:hAnsi="Arial"/>
          <w:sz w:val="18"/>
          <w:szCs w:val="18"/>
          <w:color w:val="auto"/>
        </w:rPr>
        <w:t>Either of these investigations could lead to administrative or legal proceedings resulting in potential civil and/or criminal remedies, or settlements, including, among other things, enforcement actions, fines, penalties, restitution or additional costs and expenses.</w:t>
      </w:r>
    </w:p>
    <w:p>
      <w:pPr>
        <w:ind w:right="40" w:firstLine="685"/>
        <w:spacing w:after="0" w:line="281" w:lineRule="auto"/>
        <w:rPr>
          <w:sz w:val="20"/>
          <w:szCs w:val="20"/>
          <w:color w:val="auto"/>
        </w:rPr>
      </w:pPr>
      <w:r>
        <w:rPr>
          <w:rFonts w:ascii="Arial" w:cs="Arial" w:eastAsia="Arial" w:hAnsi="Arial"/>
          <w:sz w:val="16"/>
          <w:szCs w:val="16"/>
          <w:i w:val="1"/>
          <w:iCs w:val="1"/>
          <w:color w:val="auto"/>
        </w:rPr>
        <w:t xml:space="preserve">In Re Wilmington Trust Securities Litigation (U.S. District Court, District of Delaware, Case No. 10-CV-0990-SLR): </w:t>
      </w:r>
      <w:r>
        <w:rPr>
          <w:rFonts w:ascii="Arial" w:cs="Arial" w:eastAsia="Arial" w:hAnsi="Arial"/>
          <w:sz w:val="16"/>
          <w:szCs w:val="16"/>
          <w:color w:val="auto"/>
        </w:rPr>
        <w:t>Beginning on November 18, 2010,</w:t>
      </w:r>
      <w:r>
        <w:rPr>
          <w:rFonts w:ascii="Arial" w:cs="Arial" w:eastAsia="Arial" w:hAnsi="Arial"/>
          <w:sz w:val="16"/>
          <w:szCs w:val="16"/>
          <w:i w:val="1"/>
          <w:iCs w:val="1"/>
          <w:color w:val="auto"/>
        </w:rPr>
        <w:t xml:space="preserve"> </w:t>
      </w:r>
      <w:r>
        <w:rPr>
          <w:rFonts w:ascii="Arial" w:cs="Arial" w:eastAsia="Arial" w:hAnsi="Arial"/>
          <w:sz w:val="16"/>
          <w:szCs w:val="16"/>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On March 29, 2012, the Court granted Wilmington Trust’s motion to dismiss in its entirety, but allowed plaintiffs to re-file their Complaint. Plaintiffs subsequently filed a Second Amended Complaint and a Third Amended Complaint. On June 11, 2013, plaintiffs filed a motion to serve a Fourth Amended Complaint, which was granted, and the Fourth Amended Complaint was filed. On July 17, 2013, Wilmington Trust filed a motion to dismiss the Fourth Amended Complaint.</w:t>
      </w:r>
    </w:p>
    <w:p>
      <w:pPr>
        <w:spacing w:after="0" w:line="4" w:lineRule="exact"/>
        <w:rPr>
          <w:sz w:val="20"/>
          <w:szCs w:val="20"/>
          <w:color w:val="auto"/>
        </w:rPr>
      </w:pPr>
    </w:p>
    <w:p>
      <w:pPr>
        <w:ind w:right="140" w:firstLine="685"/>
        <w:spacing w:after="0" w:line="295" w:lineRule="auto"/>
        <w:rPr>
          <w:sz w:val="20"/>
          <w:szCs w:val="20"/>
          <w:color w:val="auto"/>
        </w:rPr>
      </w:pPr>
      <w:r>
        <w:rPr>
          <w:rFonts w:ascii="Arial" w:cs="Arial" w:eastAsia="Arial" w:hAnsi="Arial"/>
          <w:sz w:val="16"/>
          <w:szCs w:val="16"/>
          <w:color w:val="auto"/>
        </w:rPr>
        <w:t>Due to their complex nature, it is difficult to estimate when litigation and investigatory matters such as these may be resolved. As set forth in the introductory paragraph to this Item 3 — Legal Proceedings, current litigation and regulatory matters which the company is subject to, including those involving Wilmington Trust-related entities, although not currently considered probable, are within a range of reasonably possible losses for such matters in the aggregate, beyond the existing recorded liability, and are included in the range of reasonably possible losses set forth above.</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Information concerning the Registrant’s executive officers is presented below as of February 21, 2014. The year the officer was first appointed to the indicated position with the Registrant or its subsidiaries is shown parenthetically. In the case of each entity noted below, officers’ terms run until the first meeting of the board of directors after such entity’s annual meeting, which in the case of the Registrant takes place immediately following the Annual Meeting of Shareholders, and until their successors are elected and qualified.</w:t>
      </w:r>
    </w:p>
    <w:p>
      <w:pPr>
        <w:spacing w:after="0" w:line="2" w:lineRule="exact"/>
        <w:rPr>
          <w:sz w:val="20"/>
          <w:szCs w:val="20"/>
          <w:color w:val="auto"/>
        </w:rPr>
      </w:pPr>
    </w:p>
    <w:p>
      <w:pPr>
        <w:jc w:val="both"/>
        <w:ind w:right="320" w:firstLine="685"/>
        <w:spacing w:after="0" w:line="281" w:lineRule="auto"/>
        <w:rPr>
          <w:sz w:val="20"/>
          <w:szCs w:val="20"/>
          <w:color w:val="auto"/>
        </w:rPr>
      </w:pPr>
      <w:r>
        <w:rPr>
          <w:rFonts w:ascii="Arial" w:cs="Arial" w:eastAsia="Arial" w:hAnsi="Arial"/>
          <w:sz w:val="16"/>
          <w:szCs w:val="16"/>
          <w:color w:val="auto"/>
        </w:rPr>
        <w:t>Robert G. Wilmers, age 79, is chief executive officer (2007), chairman of the board (2000) and a director (1982) of the Registrant. From April 1998 until July 2000, he served as president and chief executive officer of the Registrant and from July 2000 until June 2005 he served as chairman, president</w:t>
      </w:r>
    </w:p>
    <w:p>
      <w:pPr>
        <w:spacing w:after="0" w:line="1" w:lineRule="exact"/>
        <w:rPr>
          <w:sz w:val="20"/>
          <w:szCs w:val="20"/>
          <w:color w:val="auto"/>
        </w:rPr>
      </w:pPr>
    </w:p>
    <w:p>
      <w:pPr>
        <w:jc w:val="both"/>
        <w:ind w:right="320"/>
        <w:spacing w:after="0" w:line="250" w:lineRule="auto"/>
        <w:rPr>
          <w:sz w:val="20"/>
          <w:szCs w:val="20"/>
          <w:color w:val="auto"/>
        </w:rPr>
      </w:pPr>
      <w:r>
        <w:rPr>
          <w:rFonts w:ascii="Arial" w:cs="Arial" w:eastAsia="Arial" w:hAnsi="Arial"/>
          <w:sz w:val="18"/>
          <w:szCs w:val="18"/>
          <w:color w:val="auto"/>
        </w:rPr>
        <w:t>(1988)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Mark J. Czarnecki, age 58, is president (2007), chief operating officer (2014) and a director (2007) of the Registrant and of M&amp;T Bank. Previously, he was an executive vice president of the Registrant (1999) and M&amp;T Bank (1997) and was responsible for the M&amp;T Investment Group and the Company’s Retail Banking network. Mr. Czarnecki is a director (1999) of M&amp;T Securities, chairman of the board, president and chief executive officer (2007) and a director (2005) of Wilmington Trust, N.A., and chairman of the board and a director (2011) of Wilmington Trust Company.</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Robert J. Bojdak, age 58, is an executive vice president and chief credit officer (2004) of the Registrant and M&amp;T Bank. In addition to managing the Company’s credit risk, Mr. Bojdak was also responsible for managing the Company’s enterprise-wide risk, including operational, compliance and investment risk, until February 2013. From April 2002 to April 2004, Mr. Bojdak served as senior vice president and credit deputy for M&amp;T Bank. He is an executive vice president and a director of Wilmington Trust, N.A. (2004).</w:t>
      </w:r>
    </w:p>
    <w:p>
      <w:pPr>
        <w:spacing w:after="0" w:line="2" w:lineRule="exact"/>
        <w:rPr>
          <w:sz w:val="20"/>
          <w:szCs w:val="20"/>
          <w:color w:val="auto"/>
        </w:rPr>
      </w:pPr>
    </w:p>
    <w:p>
      <w:pPr>
        <w:ind w:right="300" w:firstLine="685"/>
        <w:spacing w:after="0" w:line="281" w:lineRule="auto"/>
        <w:rPr>
          <w:sz w:val="20"/>
          <w:szCs w:val="20"/>
          <w:color w:val="auto"/>
        </w:rPr>
      </w:pPr>
      <w:r>
        <w:rPr>
          <w:rFonts w:ascii="Arial" w:cs="Arial" w:eastAsia="Arial" w:hAnsi="Arial"/>
          <w:sz w:val="16"/>
          <w:szCs w:val="16"/>
          <w:color w:val="auto"/>
        </w:rPr>
        <w:t>Stephen J. Braunscheidel, age 57,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spacing w:after="0" w:line="2" w:lineRule="exact"/>
        <w:rPr>
          <w:sz w:val="20"/>
          <w:szCs w:val="20"/>
          <w:color w:val="auto"/>
        </w:rPr>
      </w:pPr>
    </w:p>
    <w:p>
      <w:pPr>
        <w:ind w:right="60" w:firstLine="685"/>
        <w:spacing w:after="0" w:line="253" w:lineRule="auto"/>
        <w:rPr>
          <w:sz w:val="20"/>
          <w:szCs w:val="20"/>
          <w:color w:val="auto"/>
        </w:rPr>
      </w:pPr>
      <w:r>
        <w:rPr>
          <w:rFonts w:ascii="Arial" w:cs="Arial" w:eastAsia="Arial" w:hAnsi="Arial"/>
          <w:sz w:val="18"/>
          <w:szCs w:val="18"/>
          <w:color w:val="auto"/>
        </w:rPr>
        <w:t>William J. Farrell II, age 56, is an executive vice president (2011) of the Registrant and M&amp;T Bank, and is responsible for M&amp;T’s Wealth and Institutional Services Division, which includes Wealth Advisory Services, Institutional Client Services, Asset Management, M&amp;T Securities and M&amp;T Insurance Agency. Mr. Farrell joined M&amp;T through the Wilmington Trust acquisition. He joined Wilmington Trust in 1976 and held a number of senior management positions, most recently as executive vice president and head of the Corporate Client Services business. Mr. Farrell is president, chief executive officer and a director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00" w:hanging="684"/>
        <w:spacing w:after="0" w:line="305" w:lineRule="auto"/>
        <w:rPr>
          <w:sz w:val="20"/>
          <w:szCs w:val="20"/>
          <w:color w:val="auto"/>
        </w:rPr>
      </w:pPr>
      <w:r>
        <w:rPr>
          <w:rFonts w:ascii="Arial" w:cs="Arial" w:eastAsia="Arial" w:hAnsi="Arial"/>
          <w:sz w:val="15"/>
          <w:szCs w:val="15"/>
          <w:color w:val="auto"/>
        </w:rPr>
        <w:t>(2012) of Wilmington Trust Company, an executive vice president and a director (2011) of Wilmington Trust, N.A. and a director (2013) of M&amp;T Securities. Richard S. Gold, age 53, is an executive vice president of the Registrant (2007) and M&amp;T Bank (2006) and is responsible for managing the Company’s</w:t>
      </w:r>
    </w:p>
    <w:p>
      <w:pPr>
        <w:jc w:val="both"/>
        <w:ind w:right="140"/>
        <w:spacing w:after="0" w:line="250" w:lineRule="auto"/>
        <w:rPr>
          <w:sz w:val="20"/>
          <w:szCs w:val="20"/>
          <w:color w:val="auto"/>
        </w:rPr>
      </w:pPr>
      <w:r>
        <w:rPr>
          <w:rFonts w:ascii="Arial" w:cs="Arial" w:eastAsia="Arial" w:hAnsi="Arial"/>
          <w:sz w:val="18"/>
          <w:szCs w:val="18"/>
          <w:color w:val="auto"/>
        </w:rPr>
        <w:t>Residential Mortgage and Business Banking Divisions. He is also responsible for the Office of Regulatory Projects. Mr. Gold served as senior vice president of M&amp;T Bank from 2000 to 2006, most recently responsible for the Retail Banking Division, including M&amp;T Securities. Mr. Gold is an executive vice president of Wilmington Trust, N.A. (2006).</w:t>
      </w:r>
    </w:p>
    <w:p>
      <w:pPr>
        <w:spacing w:after="0" w:line="1"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Brian E. Hickey, age 61, is an executive vice president of the Registrant (1997) and M&amp;T Bank (1996). He is a member of the Directors Advisory Council (1994) of the Rochester Division of M&amp;T Bank. Mr. Hickey is responsible for managing all of the non-retail segments in Upstate New York and in the Northern and Central/Western Pennsylvania regions. Mr. Hickey is also responsible for the Auto Floor Plan lending business.</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René F. Jones, age 49, is an executive vice president (2006) and chief financial officer (2005) of the Registrant. He is a vice chairman (2014) and chief financial officer (2005) of M&amp;T Bank. Mr. Jones is also responsible for Wilmington Trust’s wealth and institutional services businesses and for M&amp;T’s Treasury Division.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Wilmington Trust, N.A., and he is chairman of the board, president (2009) and a trustee (2005) of M&amp;T Real Estate. He is chairman of the board and a director (2014) of Wilmington Trust Investment Advisors, and is a director of M&amp;T Insurance Agency (2007) and M&amp;T Securities (2005). Mr. Jones is chief financial officer (2012) and a director (2014) of Wilmington Trust Company.</w:t>
      </w:r>
    </w:p>
    <w:p>
      <w:pPr>
        <w:spacing w:after="0" w:line="5"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Darren J. King, age 44, is an executive vice president of the Registrant (2010) and M&amp;T Bank (2009), and is in charge of the Retail Banking Division, the Consumer Lending Division and the Marketing and Communications Division. Mr. King previously served as senior vice president of M&amp;T Bank, most recently responsible for the Business Banking Division, and has held a number of management positions within M&amp;T Bank since 2000. Mr. King is an executive vice president of Wilmington Trust, N.A. (2009).</w:t>
      </w:r>
    </w:p>
    <w:p>
      <w:pPr>
        <w:spacing w:after="0" w:line="2"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Gino A. Martocci, age 48, is an executive vice president of the Registrant and M&amp;T Bank (2014), and is responsible for M&amp;T’s New York City, Baltimore and Washington, D.C. metropolitan markets. He also is responsible for M&amp;T’s specialty businesses, commercial planning and analysis, commercial payment systems, and M&amp;T Realty Capital. Mr. Martocci served as senior vice president of M&amp;T Bank from 2002 to 2013, serving in a number of management positions. He is a director (2009) of M&amp;T Realty Capital. Mr. Martocci is also the chairman of the Directors Advisory Council (2013) of the New York City/Long Island Division of M&amp;T Bank.</w:t>
      </w:r>
    </w:p>
    <w:p>
      <w:pPr>
        <w:spacing w:after="0" w:line="2"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Kevin J. Pearson, age 52, is an executive vice president (2002) of the Registrant and is a vice chairman (2014) of M&amp;T Bank. He is a member of the Directors Advisory Council (2006) of the New York City/Long Island Division of M&amp;T Bank. Mr. Pearson is responsible for managing all of M&amp;T Bank’s commercial banking lines of business. Previously, he was responsible for all of the non-retail segments in the New York City, Philadelphia, Connecticut, New Jersey, Tarrytown, Greater Washington D.C. and Northern Virginia, Southern Pennsylvania and Delaware markets of M&amp;T Bank, as well as the Company’s commercial real estate business, Commercial Marketing and Treasury Management. He is an executive vice president of M&amp;T Real Estate (2003), and chairman of the board (2009) and a director (2003) of M&amp;T Realty Capital. Mr. Pearson served as senior vice president of M&amp;T Bank from 2000 to 2002.</w:t>
      </w:r>
    </w:p>
    <w:p>
      <w:pPr>
        <w:spacing w:after="0" w:line="4"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Michele D. Trolli, age 52, is an executive vice president and chief information officer of the Registrant and M&amp;T Bank (2005). She is in charge of the Company’s Banking Services, Technology, Alternative Banking and Global Sourcing groups. Previously, Ms. Trolli was in charge of the Technology and Banking Operations Division, the Retail Banking Division and the Corporate Services Group of M&amp;T Bank.</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Donald K. Truslow, age 55, is an executive vice president and chief risk officer (2013) of the Registrant and M&amp;T Bank. He is responsible for managing the Company’s enterprise-wide risk, including operational, compliance and investment risk. Previous to joining M&amp;T, Mr. Truslow served as President, Financial Stability Industry Council of The Financial Services Roundtable, for two years. Prior to that, Mr. Truslow served in several senior management positions at Wachovia Corporation, including eight years as senior executive vice president and chief risk officer.</w:t>
      </w:r>
    </w:p>
    <w:p>
      <w:pPr>
        <w:spacing w:after="0" w:line="3" w:lineRule="exact"/>
        <w:rPr>
          <w:sz w:val="20"/>
          <w:szCs w:val="20"/>
          <w:color w:val="auto"/>
        </w:rPr>
      </w:pPr>
    </w:p>
    <w:p>
      <w:pPr>
        <w:ind w:right="700" w:firstLine="685"/>
        <w:spacing w:after="0" w:line="261" w:lineRule="auto"/>
        <w:rPr>
          <w:sz w:val="20"/>
          <w:szCs w:val="20"/>
          <w:color w:val="auto"/>
        </w:rPr>
      </w:pPr>
      <w:r>
        <w:rPr>
          <w:rFonts w:ascii="Arial" w:cs="Arial" w:eastAsia="Arial" w:hAnsi="Arial"/>
          <w:sz w:val="18"/>
          <w:szCs w:val="18"/>
          <w:color w:val="auto"/>
        </w:rPr>
        <w:t>D. Scott N. Warman, age 48, is an executive vice president (2009) and treasurer (2008) of the Registrant and M&amp;T Bank. He is responsible for managing the Company’s Treasury Division. Mr. Warman</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previously served as senior vice president of M&amp;T Bank and has held a number of management positions within M&amp;T Bank since 1995. He is an executive vice president and treasurer of Wilmington Trust, N.A. (2008), a trustee of M&amp;T Real Estate (2009), a director of M&amp;T Securities (2008) and is treasurer of Wilmington Trust Company (2012).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640" w:firstLine="685"/>
        <w:spacing w:after="0" w:line="344" w:lineRule="auto"/>
        <w:rPr>
          <w:sz w:val="20"/>
          <w:szCs w:val="20"/>
          <w:color w:val="auto"/>
        </w:rPr>
      </w:pPr>
      <w:r>
        <w:rPr>
          <w:rFonts w:ascii="Arial" w:cs="Arial" w:eastAsia="Arial" w:hAnsi="Arial"/>
          <w:sz w:val="18"/>
          <w:szCs w:val="18"/>
          <w:color w:val="auto"/>
        </w:rPr>
        <w:t xml:space="preserve">During the fourth quarter of 2013, M&amp;T did not issue any shares of its common stock that were not registered under the Securities Act of 1933. </w:t>
      </w:r>
      <w:r>
        <w:rPr>
          <w:rFonts w:ascii="Arial" w:cs="Arial" w:eastAsia="Arial" w:hAnsi="Arial"/>
          <w:sz w:val="18"/>
          <w:szCs w:val="18"/>
          <w:b w:val="1"/>
          <w:bCs w:val="1"/>
          <w:color w:val="auto"/>
        </w:rPr>
        <w:t>Equity Compensation Plan Information</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table provides information as of December 31, 2013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145" w:lineRule="exact"/>
        <w:rPr>
          <w:sz w:val="20"/>
          <w:szCs w:val="20"/>
          <w:color w:val="auto"/>
        </w:rPr>
      </w:pPr>
    </w:p>
    <w:p>
      <w:pPr>
        <w:ind w:right="80" w:firstLine="685"/>
        <w:spacing w:after="0" w:line="335" w:lineRule="auto"/>
        <w:rPr>
          <w:sz w:val="20"/>
          <w:szCs w:val="20"/>
          <w:color w:val="auto"/>
        </w:rPr>
      </w:pPr>
      <w:r>
        <w:rPr>
          <w:rFonts w:ascii="Arial" w:cs="Arial" w:eastAsia="Arial" w:hAnsi="Arial"/>
          <w:sz w:val="15"/>
          <w:szCs w:val="15"/>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2013, and their weighted-average exercise price.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Securities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to be Issued Upon</w:t>
            </w:r>
          </w:p>
        </w:tc>
        <w:tc>
          <w:tcPr>
            <w:tcW w:w="1020" w:type="dxa"/>
            <w:vAlign w:val="bottom"/>
          </w:tcPr>
          <w:p>
            <w:pPr>
              <w:spacing w:after="0"/>
              <w:rPr>
                <w:sz w:val="18"/>
                <w:szCs w:val="18"/>
                <w:color w:val="auto"/>
              </w:rPr>
            </w:pPr>
          </w:p>
        </w:tc>
        <w:tc>
          <w:tcPr>
            <w:tcW w:w="24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7"/>
              </w:rPr>
              <w:t>Weighted-Average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Exercise of</w:t>
            </w:r>
          </w:p>
        </w:tc>
        <w:tc>
          <w:tcPr>
            <w:tcW w:w="1020" w:type="dxa"/>
            <w:vAlign w:val="bottom"/>
          </w:tcPr>
          <w:p>
            <w:pPr>
              <w:spacing w:after="0"/>
              <w:rPr>
                <w:sz w:val="18"/>
                <w:szCs w:val="18"/>
                <w:color w:val="auto"/>
              </w:rPr>
            </w:pPr>
          </w:p>
        </w:tc>
        <w:tc>
          <w:tcPr>
            <w:tcW w:w="2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5"/>
              </w:rPr>
              <w:t>Exercise Price of</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Compensation Plans</w:t>
            </w:r>
          </w:p>
        </w:tc>
        <w:tc>
          <w:tcPr>
            <w:tcW w:w="0" w:type="dxa"/>
            <w:vAlign w:val="bottom"/>
          </w:tcPr>
          <w:p>
            <w:pPr>
              <w:spacing w:after="0"/>
              <w:rPr>
                <w:sz w:val="1"/>
                <w:szCs w:val="1"/>
                <w:color w:val="auto"/>
              </w:rPr>
            </w:pPr>
          </w:p>
        </w:tc>
      </w:tr>
      <w:tr>
        <w:trPr>
          <w:trHeight w:val="216"/>
        </w:trPr>
        <w:tc>
          <w:tcPr>
            <w:tcW w:w="4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Outstanding</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Outstanding</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24"/>
        </w:trPr>
        <w:tc>
          <w:tcPr>
            <w:tcW w:w="4740" w:type="dxa"/>
            <w:vAlign w:val="bottom"/>
            <w:gridSpan w:val="4"/>
            <w:vMerge w:val="continue"/>
          </w:tcPr>
          <w:p>
            <w:pPr>
              <w:spacing w:after="0"/>
              <w:rPr>
                <w:sz w:val="19"/>
                <w:szCs w:val="19"/>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 or Rights</w:t>
            </w:r>
          </w:p>
        </w:tc>
        <w:tc>
          <w:tcPr>
            <w:tcW w:w="1020" w:type="dxa"/>
            <w:vAlign w:val="bottom"/>
          </w:tcPr>
          <w:p>
            <w:pPr>
              <w:spacing w:after="0"/>
              <w:rPr>
                <w:sz w:val="19"/>
                <w:szCs w:val="19"/>
                <w:color w:val="auto"/>
              </w:rPr>
            </w:pPr>
          </w:p>
        </w:tc>
        <w:tc>
          <w:tcPr>
            <w:tcW w:w="2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6"/>
              </w:rPr>
              <w:t>Options or Rights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Reflected in Column A)</w:t>
            </w:r>
          </w:p>
        </w:tc>
        <w:tc>
          <w:tcPr>
            <w:tcW w:w="0" w:type="dxa"/>
            <w:vAlign w:val="bottom"/>
          </w:tcPr>
          <w:p>
            <w:pPr>
              <w:spacing w:after="0"/>
              <w:rPr>
                <w:sz w:val="1"/>
                <w:szCs w:val="1"/>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(B)</w:t>
            </w:r>
          </w:p>
        </w:tc>
        <w:tc>
          <w:tcPr>
            <w:tcW w:w="104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2001</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Stock Option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833,829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100.09</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2005</w:t>
            </w:r>
          </w:p>
        </w:tc>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Compensation Plan</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3,904,299</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104.77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2009</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Equity Incentive Compensation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3,454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75.13</w:t>
            </w:r>
          </w:p>
        </w:tc>
        <w:tc>
          <w:tcPr>
            <w:tcW w:w="1760" w:type="dxa"/>
            <w:vAlign w:val="bottom"/>
          </w:tcPr>
          <w:p>
            <w:pPr>
              <w:jc w:val="right"/>
              <w:spacing w:after="0"/>
              <w:rPr>
                <w:sz w:val="20"/>
                <w:szCs w:val="20"/>
                <w:color w:val="auto"/>
              </w:rPr>
            </w:pPr>
            <w:r>
              <w:rPr>
                <w:rFonts w:ascii="Arial" w:cs="Arial" w:eastAsia="Arial" w:hAnsi="Arial"/>
                <w:sz w:val="18"/>
                <w:szCs w:val="18"/>
                <w:color w:val="auto"/>
              </w:rPr>
              <w:t>1,516,826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2008</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Directors’ Stock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116.42</w:t>
            </w:r>
          </w:p>
        </w:tc>
        <w:tc>
          <w:tcPr>
            <w:tcW w:w="1760" w:type="dxa"/>
            <w:vAlign w:val="bottom"/>
          </w:tcPr>
          <w:p>
            <w:pPr>
              <w:jc w:val="right"/>
              <w:spacing w:after="0"/>
              <w:rPr>
                <w:sz w:val="20"/>
                <w:szCs w:val="20"/>
                <w:color w:val="auto"/>
              </w:rPr>
            </w:pPr>
            <w:r>
              <w:rPr>
                <w:rFonts w:ascii="Arial" w:cs="Arial" w:eastAsia="Arial" w:hAnsi="Arial"/>
                <w:sz w:val="18"/>
                <w:szCs w:val="18"/>
                <w:color w:val="auto"/>
              </w:rPr>
              <w:t>98,244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Deferred Bonus Plan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0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4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4,778,416</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10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0" w:hanging="452"/>
        <w:spacing w:after="0" w:line="259" w:lineRule="auto"/>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2013, a total of 153,364 shares of M&amp;T common stock were issuable upon exercise of outstanding options or rights assumed by M&amp;T in connection with merger and acquisition transactions. The weighted-average exercise price of those outstanding options or rights is $149.04 per common share.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compensation plans adopted without the approval of shareholders are described below:</w:t>
      </w:r>
    </w:p>
    <w:p>
      <w:pPr>
        <w:spacing w:after="0" w:line="15"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b w:val="1"/>
          <w:bCs w:val="1"/>
          <w:u w:val="single" w:color="auto"/>
          <w:color w:val="auto"/>
        </w:rPr>
        <w:t>2008 Directors’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plan for non-employee members of the Board of Directors of M&amp;T and the members of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2"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 deferrals after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following graph contains a comparison of the cumulative shareholder return on M&amp;T common stock against the cumulative total returns of the KBW Bank Index, compiled by Keefe, Bruyette &amp; Woods, Inc., and the S&amp;P 500 Index, compiled by Standard &amp; Poor’s Corporation, for the five-year period beginning on December 31, 2008 and ending on December 31, 2013. The KBW Bank Index is a market capitalization index consisting of 24 companies representing leading national money centers and regional banks or thrifts.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122555</wp:posOffset>
            </wp:positionV>
            <wp:extent cx="4185285" cy="2392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8528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 Value at Year End*</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tcBorders>
          </w:tcPr>
          <w:p>
            <w:pPr>
              <w:spacing w:after="0"/>
              <w:rPr>
                <w:sz w:val="22"/>
                <w:szCs w:val="22"/>
                <w:color w:val="auto"/>
              </w:rPr>
            </w:pPr>
          </w:p>
        </w:tc>
        <w:tc>
          <w:tcPr>
            <w:tcW w:w="5380" w:type="dxa"/>
            <w:vAlign w:val="bottom"/>
            <w:tcBorders>
              <w:top w:val="single" w:sz="8" w:color="auto"/>
              <w:bottom w:val="single" w:sz="8" w:color="auto"/>
              <w:right w:val="single" w:sz="8" w:color="auto"/>
            </w:tcBorders>
          </w:tcPr>
          <w:p>
            <w:pPr>
              <w:spacing w:after="0"/>
              <w:rPr>
                <w:sz w:val="22"/>
                <w:szCs w:val="22"/>
                <w:color w:val="auto"/>
              </w:rPr>
            </w:pPr>
          </w:p>
        </w:tc>
        <w:tc>
          <w:tcPr>
            <w:tcW w:w="620" w:type="dxa"/>
            <w:vAlign w:val="bottom"/>
            <w:tcBorders>
              <w:top w:val="single" w:sz="8" w:color="auto"/>
              <w:bottom w:val="single" w:sz="8" w:color="auto"/>
              <w:right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2008</w:t>
            </w:r>
          </w:p>
        </w:tc>
        <w:tc>
          <w:tcPr>
            <w:tcW w:w="760" w:type="dxa"/>
            <w:vAlign w:val="bottom"/>
            <w:tcBorders>
              <w:top w:val="single" w:sz="8" w:color="auto"/>
              <w:bottom w:val="single" w:sz="8" w:color="auto"/>
              <w:right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740" w:type="dxa"/>
            <w:vAlign w:val="bottom"/>
            <w:tcBorders>
              <w:top w:val="single" w:sz="8" w:color="auto"/>
              <w:bottom w:val="single" w:sz="8" w:color="auto"/>
              <w:right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bottom w:val="single" w:sz="8" w:color="auto"/>
              <w:right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Borders>
              <w:top w:val="single" w:sz="8" w:color="auto"/>
              <w:bottom w:val="single" w:sz="8" w:color="auto"/>
              <w:right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bottom w:val="single" w:sz="8" w:color="auto"/>
              <w:right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r>
      <w:tr>
        <w:trPr>
          <w:trHeight w:val="210"/>
        </w:trPr>
        <w:tc>
          <w:tcPr>
            <w:tcW w:w="688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M&amp;T Bank Corporation</w:t>
            </w:r>
          </w:p>
        </w:tc>
        <w:tc>
          <w:tcPr>
            <w:tcW w:w="62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123</w:t>
            </w:r>
          </w:p>
        </w:tc>
        <w:tc>
          <w:tcPr>
            <w:tcW w:w="74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166</w:t>
            </w:r>
          </w:p>
        </w:tc>
        <w:tc>
          <w:tcPr>
            <w:tcW w:w="740" w:type="dxa"/>
            <w:vAlign w:val="bottom"/>
            <w:tcBorders>
              <w:bottom w:val="single" w:sz="8" w:color="auto"/>
              <w:right w:val="single" w:sz="8" w:color="auto"/>
            </w:tcBorders>
            <w:shd w:val="clear" w:color="auto" w:fill="CCEEFF"/>
          </w:tcPr>
          <w:p>
            <w:pPr>
              <w:jc w:val="center"/>
              <w:ind w:left="77"/>
              <w:spacing w:after="0"/>
              <w:rPr>
                <w:sz w:val="20"/>
                <w:szCs w:val="20"/>
                <w:color w:val="auto"/>
              </w:rPr>
            </w:pPr>
            <w:r>
              <w:rPr>
                <w:rFonts w:ascii="Arial" w:cs="Arial" w:eastAsia="Arial" w:hAnsi="Arial"/>
                <w:sz w:val="18"/>
                <w:szCs w:val="18"/>
                <w:color w:val="auto"/>
                <w:w w:val="86"/>
              </w:rPr>
              <w:t>151</w:t>
            </w:r>
          </w:p>
        </w:tc>
        <w:tc>
          <w:tcPr>
            <w:tcW w:w="74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201</w:t>
            </w:r>
          </w:p>
        </w:tc>
        <w:tc>
          <w:tcPr>
            <w:tcW w:w="9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243</w:t>
            </w:r>
          </w:p>
        </w:tc>
      </w:tr>
      <w:tr>
        <w:trPr>
          <w:trHeight w:val="210"/>
        </w:trPr>
        <w:tc>
          <w:tcPr>
            <w:tcW w:w="688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KBW Bank Index</w:t>
            </w:r>
          </w:p>
        </w:tc>
        <w:tc>
          <w:tcPr>
            <w:tcW w:w="6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8"/>
                <w:szCs w:val="18"/>
                <w:color w:val="auto"/>
              </w:rPr>
              <w:t>104</w:t>
            </w:r>
          </w:p>
        </w:tc>
        <w:tc>
          <w:tcPr>
            <w:tcW w:w="7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8"/>
                <w:szCs w:val="18"/>
                <w:color w:val="auto"/>
              </w:rPr>
              <w:t>116</w:t>
            </w:r>
          </w:p>
        </w:tc>
        <w:tc>
          <w:tcPr>
            <w:tcW w:w="74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87</w:t>
            </w:r>
          </w:p>
        </w:tc>
        <w:tc>
          <w:tcPr>
            <w:tcW w:w="7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8"/>
                <w:szCs w:val="18"/>
                <w:color w:val="auto"/>
              </w:rPr>
              <w:t>119</w:t>
            </w:r>
          </w:p>
        </w:tc>
        <w:tc>
          <w:tcPr>
            <w:tcW w:w="96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162</w:t>
            </w:r>
          </w:p>
        </w:tc>
      </w:tr>
      <w:tr>
        <w:trPr>
          <w:trHeight w:val="210"/>
        </w:trPr>
        <w:tc>
          <w:tcPr>
            <w:tcW w:w="6880" w:type="dxa"/>
            <w:vAlign w:val="bottom"/>
            <w:tcBorders>
              <w:left w:val="single" w:sz="8" w:color="auto"/>
              <w:bottom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S&amp;P 500 Index</w:t>
            </w:r>
          </w:p>
        </w:tc>
        <w:tc>
          <w:tcPr>
            <w:tcW w:w="62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126</w:t>
            </w:r>
          </w:p>
        </w:tc>
        <w:tc>
          <w:tcPr>
            <w:tcW w:w="74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right w:val="single" w:sz="8" w:color="auto"/>
            </w:tcBorders>
            <w:shd w:val="clear" w:color="auto" w:fill="CCEEFF"/>
          </w:tcPr>
          <w:p>
            <w:pPr>
              <w:jc w:val="center"/>
              <w:ind w:left="77"/>
              <w:spacing w:after="0"/>
              <w:rPr>
                <w:sz w:val="20"/>
                <w:szCs w:val="20"/>
                <w:color w:val="auto"/>
              </w:rPr>
            </w:pPr>
            <w:r>
              <w:rPr>
                <w:rFonts w:ascii="Arial" w:cs="Arial" w:eastAsia="Arial" w:hAnsi="Arial"/>
                <w:sz w:val="18"/>
                <w:szCs w:val="18"/>
                <w:color w:val="auto"/>
                <w:w w:val="86"/>
              </w:rPr>
              <w:t>149</w:t>
            </w:r>
          </w:p>
        </w:tc>
        <w:tc>
          <w:tcPr>
            <w:tcW w:w="74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172</w:t>
            </w:r>
          </w:p>
        </w:tc>
        <w:tc>
          <w:tcPr>
            <w:tcW w:w="96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228</w:t>
            </w:r>
          </w:p>
        </w:tc>
      </w:tr>
      <w:tr>
        <w:trPr>
          <w:trHeight w:val="102"/>
        </w:trPr>
        <w:tc>
          <w:tcPr>
            <w:tcW w:w="15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Assumes a $100 investment on December 31, 2008 and reinvestment of all dividends.</w:t>
      </w:r>
    </w:p>
    <w:p>
      <w:pPr>
        <w:spacing w:after="0" w:line="90" w:lineRule="exact"/>
        <w:rPr>
          <w:sz w:val="20"/>
          <w:szCs w:val="20"/>
          <w:color w:val="auto"/>
        </w:rPr>
      </w:pPr>
    </w:p>
    <w:p>
      <w:pPr>
        <w:ind w:right="120" w:firstLine="685"/>
        <w:spacing w:after="0" w:line="306" w:lineRule="auto"/>
        <w:rPr>
          <w:sz w:val="20"/>
          <w:szCs w:val="20"/>
          <w:color w:val="auto"/>
        </w:rPr>
      </w:pPr>
      <w:r>
        <w:rPr>
          <w:rFonts w:ascii="Arial" w:cs="Arial" w:eastAsia="Arial" w:hAnsi="Arial"/>
          <w:sz w:val="16"/>
          <w:szCs w:val="16"/>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9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M&amp;T did not repurchase any shares pursuant to such plan during 2013.</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During3 the fourth quarter of 2013 M&amp;T purchased shares of its common stock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(c)Total</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of Shares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(or Units)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(a)Total</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as Part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(b)Average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Publicly</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of Shares</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Price Paid</w:t>
            </w: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(or Units)</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per Share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Plans or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48"/>
        </w:trPr>
        <w:tc>
          <w:tcPr>
            <w:tcW w:w="6320" w:type="dxa"/>
            <w:vAlign w:val="bottom"/>
            <w:gridSpan w:val="3"/>
            <w:vMerge w:val="continue"/>
          </w:tcPr>
          <w:p>
            <w:pPr>
              <w:spacing w:after="0"/>
              <w:rPr>
                <w:sz w:val="12"/>
                <w:szCs w:val="12"/>
                <w:color w:val="auto"/>
              </w:rPr>
            </w:pPr>
          </w:p>
        </w:tc>
        <w:tc>
          <w:tcPr>
            <w:tcW w:w="148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5"/>
              </w:rPr>
              <w:t>Purchased(1)</w:t>
            </w: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(or Unit)</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Programs</w:t>
            </w: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 October 31, 2013</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11,939</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113.84</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77"/>
              </w:rPr>
              <w:t>—</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November 1 - November 30, 2013</w:t>
            </w:r>
          </w:p>
        </w:tc>
        <w:tc>
          <w:tcPr>
            <w:tcW w:w="780" w:type="dxa"/>
            <w:vAlign w:val="bottom"/>
          </w:tcPr>
          <w:p>
            <w:pPr>
              <w:jc w:val="right"/>
              <w:spacing w:after="0"/>
              <w:rPr>
                <w:sz w:val="20"/>
                <w:szCs w:val="20"/>
                <w:color w:val="auto"/>
              </w:rPr>
            </w:pPr>
            <w:r>
              <w:rPr>
                <w:rFonts w:ascii="Arial" w:cs="Arial" w:eastAsia="Arial" w:hAnsi="Arial"/>
                <w:sz w:val="18"/>
                <w:szCs w:val="18"/>
                <w:color w:val="auto"/>
              </w:rPr>
              <w:t>35,942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115.24</w:t>
            </w:r>
          </w:p>
        </w:tc>
        <w:tc>
          <w:tcPr>
            <w:tcW w:w="72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December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114.46</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3"/>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53,496</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114.85</w:t>
            </w:r>
          </w:p>
        </w:tc>
        <w:tc>
          <w:tcPr>
            <w:tcW w:w="720" w:type="dxa"/>
            <w:vAlign w:val="bottom"/>
          </w:tcPr>
          <w:p>
            <w:pPr>
              <w:spacing w:after="0"/>
              <w:rPr>
                <w:sz w:val="19"/>
                <w:szCs w:val="19"/>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500" w:hanging="452"/>
        <w:spacing w:after="0" w:line="303" w:lineRule="auto"/>
        <w:tabs>
          <w:tab w:leader="none" w:pos="46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620" w:hanging="452"/>
        <w:spacing w:after="0" w:line="261"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cross-reference sheet for disclosures incorporated elsewhere in this Annual Report on Form 10-K.</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 and Significant Developments</w:t>
      </w:r>
    </w:p>
    <w:p>
      <w:pPr>
        <w:spacing w:after="0" w:line="21"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with consolidated assets of $85.2 billion at December 31, 2013. The consolidated financial information presented herein reflects M&amp;T and all of its subsidiaries, which are referred to collectively as “the Company.” M&amp;T’s wholly owned bank subsidiaries are M&amp;T Bank and Wilmington Trust, National Association (“Wilmington Trust, N.A.”).</w:t>
      </w:r>
    </w:p>
    <w:p>
      <w:pPr>
        <w:spacing w:after="0" w:line="2"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M&amp;T Bank, with total assets of $84.4 billion at December 31, 2013, is a New York-chartered commercial bank with 720 domestic banking offices in New York State, Pennsylvania, Maryland, Delaware,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Delaware and Washington, D.C., and on small and medium size businesses based in those areas, although loans are originated through lending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investment advisor to the Wilmington Funds, a family of proprietary mutual funds, and other funds and institutional clients; and M&amp;T Insurance Agency, Inc., an insurance agency.</w:t>
      </w:r>
    </w:p>
    <w:p>
      <w:pPr>
        <w:spacing w:after="0" w:line="5" w:lineRule="exact"/>
        <w:rPr>
          <w:sz w:val="20"/>
          <w:szCs w:val="20"/>
          <w:color w:val="auto"/>
        </w:rPr>
      </w:pPr>
    </w:p>
    <w:p>
      <w:pPr>
        <w:ind w:right="80" w:firstLine="685"/>
        <w:spacing w:after="0" w:line="302" w:lineRule="auto"/>
        <w:rPr>
          <w:sz w:val="20"/>
          <w:szCs w:val="20"/>
          <w:color w:val="auto"/>
        </w:rPr>
      </w:pPr>
      <w:r>
        <w:rPr>
          <w:rFonts w:ascii="Arial" w:cs="Arial" w:eastAsia="Arial" w:hAnsi="Arial"/>
          <w:sz w:val="16"/>
          <w:szCs w:val="16"/>
          <w:color w:val="auto"/>
        </w:rPr>
        <w:t>Wilmington Trust, N.A., with total assets of $1.7 billion at December 31, 2013, is a national bank with offices in Wilmington, Delaware and Oakfield, New York. Wilmington Trust, N.A. and its subsidiaries offer various trust and wealth management services. Wilmington Trust, N.A. also offered selected deposit and loan products on a nationwide basis, largely through telephone, Internet and direct mail marketing techniques.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51"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$116.42 on December 31, 2013 was $5.0 billion.</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As of December 31, 2013, Hudson City reported $38.6 billion of assets, including $24.2 billion of loans (predominantly residential real estate loans) and $9.3 billion of investment securities, and $33.9 billion of liabilities, including $21.5 billion of deposits. The merger has received the approval of the common shareholders of M&amp;T and Hudson City. However, the merger is subject to a number of conditions, including regulatory approvals.</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On June 17, 2013, M&amp;T and M&amp;T Bank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 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In view of the timeframe required to implement this initiative, demonstrate its efficacy to the satisfaction of the regulators and otherwise meet any other regulatory requirements that may be imposed in connection with these matters, the timeframe for closing the transaction between M&amp;T and Hudson City has extended beyond the date previously expected. Accordingly, M&amp;T and Hudson City extended the date after which either party may elect to terminate the merger agreement if the merger has not yet been completed to December 31, 2014. Nevertheless, there can be no assurances that the merger will be completed by that date. M&amp;T and Hudson City intend to close the merger as soon as possible following the receipt of all necessary regulatory approvals and satisfaction of all other conditions to closing.</w:t>
      </w:r>
    </w:p>
    <w:p>
      <w:pPr>
        <w:spacing w:after="0" w:line="7"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M&amp;T participated in the Troubled Asset Relief Program — Capital Purchase Program (“TARP”) of the U.S. Department of Treasury (“U.S. Treasury”), which was initiated during 2008, both by issuing preferred shares (Series A) in December 2008 and through the 2009 acquisition of Provident Bankshares Corporation (“Provident”) by assuming shares (Series C) that had been issued by that corporation in November 2008. In August 2012, the U.S. Treasury sold its holdings of M&amp;T’s Series A (230,000 shares) and Series C (151,500 shares) Preferred Stock to the public which allowed M&amp;T to exit the TARP. M&amp;T modified certain of the terms of the Series A and Series C Preferred Stock related to the dividend rate on the preferred shares at the reset dates, which was originally set to change to 9% on November 15, 2013 for the Series C preferred shares and on February 15, 2014 for the Series A preferred shares. In each case, the dividend rate changed to 6.375% on November 15, 2013 rather than to the 9% in the original terms.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w:t>
      </w:r>
    </w:p>
    <w:p>
      <w:pPr>
        <w:spacing w:after="0" w:line="6"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3" w:lineRule="exact"/>
        <w:rPr>
          <w:sz w:val="20"/>
          <w:szCs w:val="20"/>
          <w:color w:val="auto"/>
        </w:rPr>
      </w:pPr>
    </w:p>
    <w:p>
      <w:pPr>
        <w:ind w:right="220" w:firstLine="685"/>
        <w:spacing w:after="0" w:line="292" w:lineRule="auto"/>
        <w:rPr>
          <w:sz w:val="20"/>
          <w:szCs w:val="20"/>
          <w:color w:val="auto"/>
        </w:rPr>
      </w:pPr>
      <w:r>
        <w:rPr>
          <w:rFonts w:ascii="Arial" w:cs="Arial" w:eastAsia="Arial" w:hAnsi="Arial"/>
          <w:sz w:val="16"/>
          <w:szCs w:val="16"/>
          <w:color w:val="auto"/>
        </w:rPr>
        <w:t>The Wilmington Trust transaction was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prior to the closing of the Wilmington Trust transaction, M&amp;T redeemed the $330 million of preferred stock issued by Wilmington Trust as part of the TARP of the U.S. Treasury. In connection with the acquisition, the Company recorded $112 million of core deposit and other intangible assets. The core deposit and other intangible assets are generally being amortized over periods of 5 to 7 years using accelerated methods.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discussion of the provisions of the Dodd-Frank Act is included in Part I, Item 1 of this Form 10-K.</w:t>
      </w:r>
    </w:p>
    <w:p>
      <w:pPr>
        <w:spacing w:after="0" w:line="9"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On July 31, 2013, the U.S. District Court for the District of Columbia issued an order granting summary judgment to the plaintiffs in a case challenging certain provisions of the Federal Reserve Board’s rule concerning electronic debit card transaction fees and network exclusivity arrangements (the “Current Rule”) that were adopted to implement Section 1075 of the Dodd-Frank Act — the so-called “Durbin Amendment.” The Court held that, in adopting the Current Rule, the Federal Reserve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The Court’s judgment was stayed in September 2013 pending appeal by the Federal Reserve. The Federal Reserve filed its appeal in October 2013. The fee limits in the Current Rule will remain in effect until the Federal Reserve revises the rule, if it is ultimately required to do so. If the Federal Reserve is not successful in its appeal and re-issues rules for purposes of implementing the Durbin Amendment in a manner consistent with this decision, the amount of debit card interchange fees the Company would be permitted to charge likely would be reduced. The amount of such reduction cannot be estimated at this time.</w:t>
      </w:r>
    </w:p>
    <w:p>
      <w:pPr>
        <w:spacing w:after="0" w:line="7"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w:t>
      </w:r>
    </w:p>
    <w:p>
      <w:pPr>
        <w:spacing w:after="0" w:line="3"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will redeem $350 million of 8.50% junior subordinated debentures associated with the trust preferred capital securities of M&amp;T Capital Trust IV and issued preferred stock that qualifies as regulatory capital. A detailed discussion of the New Capital Rules is included in Part I, Item 1 of this Form 10-K under the heading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3" w:lineRule="auto"/>
        <w:rPr>
          <w:sz w:val="20"/>
          <w:szCs w:val="20"/>
          <w:color w:val="auto"/>
        </w:rPr>
      </w:pPr>
      <w:r>
        <w:rPr>
          <w:rFonts w:ascii="Arial" w:cs="Arial" w:eastAsia="Arial" w:hAnsi="Arial"/>
          <w:sz w:val="16"/>
          <w:szCs w:val="16"/>
          <w:color w:val="auto"/>
        </w:rPr>
        <w:t>Management believes that the Company will be able to comply with the targeted capital ratios upon implementation of the revised requirements, as finalized. More specifically, management estimates that the Company’s ratio of Common Equity Tier 1 (“CET1”) to risk-weighted assets under the New Capital Rules (and as defined therein) on a fully phased-in basis was approximately 8.98% as of December 31, 2013, reflecting a good faith estimate of the computation of CET1 and the Company’s risk-weighted assets under the methodologies set forth in the New Capital Rules.</w:t>
      </w:r>
    </w:p>
    <w:p>
      <w:pPr>
        <w:spacing w:after="0" w:line="3" w:lineRule="exact"/>
        <w:rPr>
          <w:sz w:val="20"/>
          <w:szCs w:val="20"/>
          <w:color w:val="auto"/>
        </w:rPr>
      </w:pPr>
    </w:p>
    <w:p>
      <w:pPr>
        <w:ind w:left="700" w:right="220"/>
        <w:spacing w:after="0" w:line="300" w:lineRule="auto"/>
        <w:rPr>
          <w:sz w:val="20"/>
          <w:szCs w:val="20"/>
          <w:color w:val="auto"/>
        </w:rPr>
      </w:pPr>
      <w:r>
        <w:rPr>
          <w:rFonts w:ascii="Arial" w:cs="Arial" w:eastAsia="Arial" w:hAnsi="Arial"/>
          <w:sz w:val="15"/>
          <w:szCs w:val="15"/>
          <w:color w:val="auto"/>
        </w:rPr>
        <w:t>The Company’s regulatory capital ratios under risk-based capital rules currently in effect are presented in note 23 of Notes to Financial Statements. On December 10, 2013, the Federal Reserve Board, the Office of the Comptroller of the Currency, the Federal Deposit Insurance Corporation and the</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Securities and Exchange Commission adopted the final version of the Volcker Rule, which was mandated under Dodd-Frank. The Volcker Rule is intended to effectively reduce risks posed to banking entities from proprietary trading activities and investments in or relationships with covered funds. Banking entities are generally prohibited from engaging in proprietary trading. 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significant effect on the Company’s financial condition or its results of operations. Nevertheless, the Company may be required to divest certain investments subject to the Volcker Rule by mid-2015.</w:t>
      </w:r>
    </w:p>
    <w:p>
      <w:pPr>
        <w:spacing w:after="0" w:line="5" w:lineRule="exact"/>
        <w:rPr>
          <w:sz w:val="20"/>
          <w:szCs w:val="20"/>
          <w:color w:val="auto"/>
        </w:rPr>
      </w:pPr>
    </w:p>
    <w:p>
      <w:pPr>
        <w:ind w:right="100" w:firstLine="685"/>
        <w:spacing w:after="0" w:line="302" w:lineRule="auto"/>
        <w:rPr>
          <w:sz w:val="20"/>
          <w:szCs w:val="20"/>
          <w:color w:val="auto"/>
        </w:rPr>
      </w:pPr>
      <w:r>
        <w:rPr>
          <w:rFonts w:ascii="Arial" w:cs="Arial" w:eastAsia="Arial" w:hAnsi="Arial"/>
          <w:sz w:val="16"/>
          <w:szCs w:val="16"/>
          <w:color w:val="auto"/>
        </w:rPr>
        <w:t>On October 24, 2013, the Federal Reserve Board and other banking regulators issued an interagency proposal for the U.S. version of the Basel Committee’s Liquidity Coverage Ratio (“LCR”). The LCR requires a banking organization to maintain a minimum amount of liquid assets to withstand a 30-day standardized supervisory liquidity stress scenario. The proposed effective date is January 1, 2015, subject to a two-year phase-in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3" w:lineRule="exact"/>
        <w:rPr>
          <w:sz w:val="20"/>
          <w:szCs w:val="20"/>
          <w:color w:val="auto"/>
        </w:rPr>
      </w:pPr>
    </w:p>
    <w:p>
      <w:pPr>
        <w:ind w:left="700" w:hanging="243"/>
        <w:spacing w:after="0" w:line="255"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acquired loans,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7" w:lineRule="exact"/>
        <w:rPr>
          <w:sz w:val="20"/>
          <w:szCs w:val="20"/>
          <w:color w:val="auto"/>
        </w:rPr>
      </w:pPr>
    </w:p>
    <w:p>
      <w:pPr>
        <w:ind w:left="700" w:right="5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Valuation methodologies — Management of the Company applies various valuation methodologies to assets and liabilities which often involve a significant degree of judgment, particularly when liquid</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82" w:lineRule="auto"/>
        <w:rPr>
          <w:sz w:val="20"/>
          <w:szCs w:val="20"/>
          <w:color w:val="auto"/>
        </w:rPr>
      </w:pPr>
      <w:r>
        <w:rPr>
          <w:rFonts w:ascii="Arial" w:cs="Arial" w:eastAsia="Arial" w:hAnsi="Arial"/>
          <w:sz w:val="16"/>
          <w:szCs w:val="16"/>
          <w:color w:val="auto"/>
        </w:rPr>
        <w:t>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and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12, 18, 19 and 20 of Notes to Financial Statements.</w:t>
      </w:r>
    </w:p>
    <w:p>
      <w:pPr>
        <w:spacing w:after="0" w:line="5" w:lineRule="exact"/>
        <w:rPr>
          <w:sz w:val="20"/>
          <w:szCs w:val="20"/>
          <w:color w:val="auto"/>
        </w:rPr>
      </w:pPr>
    </w:p>
    <w:p>
      <w:pPr>
        <w:ind w:left="700" w:right="100" w:hanging="243"/>
        <w:spacing w:after="0" w:line="271"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Net income for the Company during 2013 was $1.14 billion or $8.20 of diluted earnings per common share, up 11% and 9%, respectively, from $1.03 billion or $7.54 of diluted earnings per common share in 2012. Basic earnings per common share increased 9% to $8.26 in 2013 from $7.57 in 2012. Net income in 2011 aggregated $859 million, while diluted and basic earnings per common share were $6.35 and $6.37, respectively. The after-tax impact of net merger-related gains and expenses associated with the acquisition transactions previously described totaled to expenses of $8 million ($12 million pre-tax) or $.06 of basic and diluted earnings per common share in 2013, compared with expenses of $6 million ($10 million pre-tax) or $.05 of basic and diluted earnings per common share in 2012 and net gains of $13 million (net expenses of $19 million pre-tax) or $.10 of basic and diluted earnings per common share in 2011. Expressed as a rate of return on average assets, net income in 2013 was 1.36%, compared with 1.29% in 2012 and 1.16% in 2011. The return on average common shareholders’ equity was 10.93% in 2013, 10.96% in 2012 and 9.67% in 2011.</w:t>
      </w:r>
    </w:p>
    <w:p>
      <w:pPr>
        <w:spacing w:after="0" w:line="5" w:lineRule="exact"/>
        <w:rPr>
          <w:sz w:val="20"/>
          <w:szCs w:val="20"/>
          <w:color w:val="auto"/>
        </w:rPr>
      </w:pPr>
    </w:p>
    <w:p>
      <w:pPr>
        <w:jc w:val="both"/>
        <w:ind w:right="320" w:firstLine="685"/>
        <w:spacing w:after="0" w:line="302" w:lineRule="auto"/>
        <w:rPr>
          <w:sz w:val="20"/>
          <w:szCs w:val="20"/>
          <w:color w:val="auto"/>
        </w:rPr>
      </w:pPr>
      <w:r>
        <w:rPr>
          <w:rFonts w:ascii="Arial" w:cs="Arial" w:eastAsia="Arial" w:hAnsi="Arial"/>
          <w:sz w:val="16"/>
          <w:szCs w:val="16"/>
          <w:color w:val="auto"/>
        </w:rPr>
        <w:t>The Company’s improved performance in 2013 as compared with 2012 reflected certain noteworthy items. During the second quarter, the Company sold the majority of its privately issued mortgage-backed securities (“MBS”) that had been held in the available-for-sale investment securities portfolio for an after-tax loss of $28 million ($46 million pre-tax), or $.22 per diluted common share. In addition, the Company’s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holdings of Visa and MasterCard shares were sold for an after-tax gain of $62 million ($103 million pre-tax), or $.48 per diluted common share. Finally, reflected in 2013’s results were after-tax gains from loan securitization transactions of $38 million ($63 million pre-tax), or $.29 per diluted common share. The Company securitized during the second and third quarters of 2013 approximately $1.3 billion of one-to-four family residential real estate loans previously held in the Company’s loan portfolio into guaranteed mortgage-backed securities with the Government National Mortgage Association (“Ginnie Mae”) and recognized gains of $42 million. The Company retained the substantial majority of those securities in its investment securities portfolio. In addition, the Company securitized and sold in September 2013 approximately $1.4 billion of automobile loans held in its loan portfolio, resulting in a gain of $21 million. Partially offsetting the positive impact of the 2013 security transactions and gains on securitization activities were higher operating expenses largely attributable to increased costs for professional services and salaries. The Company’s improved financial performance in 2012 as compared with 2011 resulted from an increase in net interest income, lower credit costs and significantly higher mortgage banking revenues and trust income, partially offset by net investment securities losses in 2012, compared with net gains on investment securities in 2011. Results for 2012 reflected the full-year impact of the operations obtained from the acquisition of Wilmington Trust on May 16, 2011.</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Taxable-equivalent net interest income increased 3% to $2.70 billion in 2013 from $2.62 billion in 2012. That improvement resulted largely from growth in average loans and leases of $2.4 billion or 4%. The net interest margin, or taxable-equivalent net interest income divided by average earning assets, was 3.65% in 2013, down 8 basis points (hundredths of one percent) from 3.73% in 2012. Taxable-equivalent net interest income rose $209 million or 9% in 2012 as compared with 2011, resulting from a $6.5 billion, or 12%, increase in average loans and leases. The net interest margin in 2012 was unchanged from 2011.</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provision for credit losses in 2013 declined 9% to $185 million from $204 million in 2012. Net charge-offs of $183 million in 2013 were down from $186 million in the prior year. Net charge-offs as a percentage of average loans and leases were .28% and .30% in 2013 and 2012, respectively. The Company continued to experience improvement in credit quality during 2013. The provision for credit losses in 2012 was $66 million or 24% below $270 million in 2011. Net charge-offs in 2012 declined $79 million from $265 million, or .47% of average loans and leases, in 2011.</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Other income totaled $1.87 billion in 2013, 12% above $1.67 billion in 2012. That rise was primarily the result of net gains on investment securities of $47 million in 2013, compared with net losses of $48 million in 2012, and gains on securitization activities in 2013 of $63 million. Reflected in gains and losses on investment securities were other-than-temporary impairment charges of $10 million and $48 million in 2013 and 2012, respectively, on certain privately issued collateralized mortgage obligations (“CMOs”). In addition, trust income in 2013 rose $24 million, or 5%, from 2012 while mortgage banking revenues declined $18 million, or 5%, from the prior year. Other income increased 5% or $84 million in 2012 from $1.58 billion in 2011. That improvement was led by mortgage banking revenues, which rose $183 million or 110%, and trust income, which increased $139 million or 42%, from 2011. Gains and losses on bank investment securities totaled to net gains of $73 million in 2011, compared with the $48 million of net losses in 2012. Reflected in the 2011 net gains were other-than-temporary impairment charges of $77 million on certain privately issued CMOs, and gains of $150 million from the sale of investment securities available for sale. Those sold securities were predominantly mortgage-backed securities guaranteed by government-sponsored entities that were sold in connection with the Wilmington Trust acquisition in order to manage the Company’s balance sheet composition and resultant capital ratios. Also reflected in other income in 2011 was $55 million of cash received in full settlement of a lawsuit initiated by M&amp;T in 2008 under which M&amp;T sought damages arising from a 2007 investment in collateralized debt obligations (“CDOs”) and alleged that the quality of the investment was not as represented. The $65 million non-taxable gain associated with the acquisition of Wilmington Trust was also included in other income in 2011.</w:t>
      </w:r>
    </w:p>
    <w:p>
      <w:pPr>
        <w:spacing w:after="0" w:line="9" w:lineRule="exact"/>
        <w:rPr>
          <w:sz w:val="20"/>
          <w:szCs w:val="20"/>
          <w:color w:val="auto"/>
        </w:rPr>
      </w:pPr>
    </w:p>
    <w:p>
      <w:pPr>
        <w:ind w:right="60" w:firstLine="685"/>
        <w:spacing w:after="0" w:line="312" w:lineRule="auto"/>
        <w:rPr>
          <w:sz w:val="20"/>
          <w:szCs w:val="20"/>
          <w:color w:val="auto"/>
        </w:rPr>
      </w:pPr>
      <w:r>
        <w:rPr>
          <w:rFonts w:ascii="Arial" w:cs="Arial" w:eastAsia="Arial" w:hAnsi="Arial"/>
          <w:sz w:val="15"/>
          <w:szCs w:val="15"/>
          <w:color w:val="auto"/>
        </w:rPr>
        <w:t>Other expense increased 5% to $2.64 billion in 2013 from $2.51 billion in 2012. During 2011, other expense totaled $2.48 billion. Included in those amounts are expenses considered by M&amp;T to be “nonoperating” in nature, consisting of amortization of core deposit and other intangible assets of $47 million, $61 million and $62 million in 2013, 2012 and 2011, respectively, and merger-related expenses of $12 million in 2013, $10 million in 2012 and $84 million in 2011. Exclusive of those nonoperating expenses, noninterest operating expenses aggregated $2.58 billion in 2013, compared with $2.44 billion in 2012 and $2.33 billion in 2011. The rise in such expenses from 2012 to 2013 was largely attributable to higher costs for professional services and salaries, partially offset by lower FDIC assessments and the reversal of an accrual for a contingent compensation obligation assumed in the May 2011 acquisition of Wilmington Trust that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expired, resulting in a $26 million reduction of “other costs of operations.” In addition, the Company reached a legal settlement of a previously disclosed lawsuit related to issues that were alleged to occur at Wilmington Trust Company prior to its acquisition by M&amp;T that led to a $40 million increase in the Company’s reserve for litigation as of December 31, 2013. Reflected in 2011’s noninterest operating expenses were a $79 million other-than-temporary impairment charge related to M&amp;T’s 20% investment in Bayview Lending Group LLC (“BLG”) and a $30 million tax-deductible cash contribution to The M&amp;T Charitable Foundation in the fourth quarter. After considering those items, the increase in noninterest operating expenses from 2011 to 2012 was largely the result of the full-year impact of the operations obtained in the May 2011 acquisition of Wilmington Trust.</w:t>
      </w:r>
    </w:p>
    <w:p>
      <w:pPr>
        <w:spacing w:after="0" w:line="1"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The efficiency ratio expresses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and gains on merger transactions), was 57.0% in 2013, compared with 56.2% and 60.4% in 2012 and 2011, respectively. The calculations of the efficiency ratio are presented in table 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Increase (Decrease)(a)</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rPr>
              <w:t>Growth Rate</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4"/>
              </w:rPr>
              <w:t>2012 to 2013</w:t>
            </w:r>
          </w:p>
        </w:tc>
        <w:tc>
          <w:tcPr>
            <w:tcW w:w="80" w:type="dxa"/>
            <w:vAlign w:val="bottom"/>
          </w:tcPr>
          <w:p>
            <w:pPr>
              <w:spacing w:after="0"/>
              <w:rPr>
                <w:sz w:val="15"/>
                <w:szCs w:val="15"/>
                <w:color w:val="auto"/>
              </w:rPr>
            </w:pPr>
          </w:p>
        </w:tc>
        <w:tc>
          <w:tcPr>
            <w:tcW w:w="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4"/>
              </w:rPr>
              <w:t>2011 to 2012</w:t>
            </w:r>
          </w:p>
        </w:tc>
        <w:tc>
          <w:tcPr>
            <w:tcW w:w="5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142"/>
        </w:trPr>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2008 to 2013</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1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Interest income(b)</w:t>
            </w:r>
          </w:p>
        </w:tc>
        <w:tc>
          <w:tcPr>
            <w:tcW w:w="4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150.1</w:t>
            </w:r>
          </w:p>
        </w:tc>
        <w:tc>
          <w:tcPr>
            <w:tcW w:w="18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vMerge w:val="continue"/>
            <w:shd w:val="clear" w:color="auto" w:fill="CCEEFF"/>
          </w:tcPr>
          <w:p>
            <w:pPr>
              <w:spacing w:after="0"/>
              <w:rPr>
                <w:sz w:val="12"/>
                <w:szCs w:val="12"/>
                <w:color w:val="auto"/>
              </w:rPr>
            </w:pPr>
          </w:p>
        </w:tc>
        <w:tc>
          <w:tcPr>
            <w:tcW w:w="5180" w:type="dxa"/>
            <w:vAlign w:val="bottom"/>
            <w:vMerge w:val="continue"/>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$2,982.3</w:t>
            </w:r>
          </w:p>
        </w:tc>
        <w:tc>
          <w:tcPr>
            <w:tcW w:w="1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2,968.1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2,817.9</w:t>
            </w:r>
          </w:p>
        </w:tc>
        <w:tc>
          <w:tcPr>
            <w:tcW w:w="180" w:type="dxa"/>
            <w:vAlign w:val="bottom"/>
            <w:vMerge w:val="continue"/>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2,753.8</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2,747.0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(59.2)</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5180" w:type="dxa"/>
            <w:vAlign w:val="bottom"/>
          </w:tcPr>
          <w:p>
            <w:pPr>
              <w:ind w:left="60"/>
              <w:spacing w:after="0" w:line="149" w:lineRule="exact"/>
              <w:rPr>
                <w:sz w:val="20"/>
                <w:szCs w:val="20"/>
                <w:color w:val="auto"/>
              </w:rPr>
            </w:pPr>
            <w:r>
              <w:rPr>
                <w:rFonts w:ascii="Arial" w:cs="Arial" w:eastAsia="Arial" w:hAnsi="Arial"/>
                <w:sz w:val="14"/>
                <w:szCs w:val="14"/>
                <w:color w:val="auto"/>
              </w:rPr>
              <w:t>Interest expense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284.1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343.2</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402.3</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462.3</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669.4</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209.3</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5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 interest income(b)</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2,698.2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2,624.9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2,415.6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2,291.5</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2,077.6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(66.0)</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5180" w:type="dxa"/>
            <w:vAlign w:val="bottom"/>
          </w:tcPr>
          <w:p>
            <w:pPr>
              <w:ind w:left="60"/>
              <w:spacing w:after="0" w:line="149" w:lineRule="exact"/>
              <w:rPr>
                <w:sz w:val="20"/>
                <w:szCs w:val="20"/>
                <w:color w:val="auto"/>
              </w:rPr>
            </w:pPr>
            <w:r>
              <w:rPr>
                <w:rFonts w:ascii="Arial" w:cs="Arial" w:eastAsia="Arial" w:hAnsi="Arial"/>
                <w:sz w:val="14"/>
                <w:szCs w:val="14"/>
                <w:color w:val="auto"/>
              </w:rPr>
              <w:t>Less: provision for credit losses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204.0</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368.0</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604.0</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(121.0)</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Gain (loss) on bank investment securities(c)</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103.4</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5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205.3</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5180" w:type="dxa"/>
            <w:vAlign w:val="bottom"/>
          </w:tcPr>
          <w:p>
            <w:pPr>
              <w:ind w:left="60"/>
              <w:spacing w:after="0" w:line="149" w:lineRule="exact"/>
              <w:rPr>
                <w:sz w:val="20"/>
                <w:szCs w:val="20"/>
                <w:color w:val="auto"/>
              </w:rPr>
            </w:pPr>
            <w:r>
              <w:rPr>
                <w:rFonts w:ascii="Arial" w:cs="Arial" w:eastAsia="Arial" w:hAnsi="Arial"/>
                <w:sz w:val="14"/>
                <w:szCs w:val="14"/>
                <w:color w:val="auto"/>
              </w:rPr>
              <w:t>Other income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1,818.5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1,715.1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1,509.8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1,191.6</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1,185.2</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1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5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110.6</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Salaries and employee benefits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8"/>
              </w:rPr>
              <w:t>1,355.2</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1,314.6</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1,204.0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999.7</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1,001.9</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(79.4)</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1,280.7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1,274.1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915.1</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vMerge w:val="restart"/>
          </w:tcPr>
          <w:p>
            <w:pPr>
              <w:ind w:left="60"/>
              <w:spacing w:after="0"/>
              <w:rPr>
                <w:sz w:val="20"/>
                <w:szCs w:val="20"/>
                <w:color w:val="auto"/>
              </w:rPr>
            </w:pPr>
            <w:r>
              <w:rPr>
                <w:rFonts w:ascii="Arial" w:cs="Arial" w:eastAsia="Arial" w:hAnsi="Arial"/>
                <w:sz w:val="14"/>
                <w:szCs w:val="14"/>
                <w:color w:val="auto"/>
              </w:rPr>
              <w:t>Income before income taxes</w:t>
            </w: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163.6</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58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328.4</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w:t>
            </w:r>
          </w:p>
        </w:tc>
        <w:tc>
          <w:tcPr>
            <w:tcW w:w="518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8"/>
              </w:rPr>
              <w:t>1,742.5</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1,578.9</w:t>
            </w:r>
          </w:p>
        </w:tc>
        <w:tc>
          <w:tcPr>
            <w:tcW w:w="2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1,250.5</w:t>
            </w:r>
          </w:p>
        </w:tc>
        <w:tc>
          <w:tcPr>
            <w:tcW w:w="80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1,116.8</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541.1</w:t>
            </w: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Less:</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5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Taxable-equivalent adjustment(b)</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w:t>
            </w: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157.9</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356.6</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vMerge w:val="restart"/>
          </w:tcPr>
          <w:p>
            <w:pPr>
              <w:ind w:left="6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15%</w:t>
            </w:r>
          </w:p>
        </w:tc>
        <w:tc>
          <w:tcPr>
            <w:tcW w:w="0" w:type="dxa"/>
            <w:vAlign w:val="bottom"/>
          </w:tcPr>
          <w:p>
            <w:pPr>
              <w:spacing w:after="0" w:line="20" w:lineRule="exact"/>
              <w:rPr>
                <w:sz w:val="1"/>
                <w:szCs w:val="1"/>
                <w:color w:val="auto"/>
              </w:rPr>
            </w:pPr>
          </w:p>
        </w:tc>
      </w:tr>
      <w:tr>
        <w:trPr>
          <w:trHeight w:val="156"/>
        </w:trPr>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109.0</w:t>
            </w:r>
          </w:p>
        </w:tc>
        <w:tc>
          <w:tcPr>
            <w:tcW w:w="180" w:type="dxa"/>
            <w:vAlign w:val="bottom"/>
          </w:tcPr>
          <w:p>
            <w:pPr>
              <w:spacing w:after="0"/>
              <w:rPr>
                <w:sz w:val="13"/>
                <w:szCs w:val="13"/>
                <w:color w:val="auto"/>
              </w:rPr>
            </w:pPr>
          </w:p>
        </w:tc>
        <w:tc>
          <w:tcPr>
            <w:tcW w:w="4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170.0</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w:t>
            </w:r>
          </w:p>
        </w:tc>
        <w:tc>
          <w:tcPr>
            <w:tcW w:w="518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1,138.5</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1,029.5</w:t>
            </w:r>
          </w:p>
        </w:tc>
        <w:tc>
          <w:tcPr>
            <w:tcW w:w="2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859.5</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736.2</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379.9</w:t>
            </w: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Changes were calculated from unrounded amounts.</w:t>
      </w:r>
    </w:p>
    <w:p>
      <w:pPr>
        <w:spacing w:after="0" w:line="63" w:lineRule="exact"/>
        <w:rPr>
          <w:rFonts w:ascii="Arial" w:cs="Arial" w:eastAsia="Arial" w:hAnsi="Arial"/>
          <w:sz w:val="18"/>
          <w:szCs w:val="18"/>
          <w:i w:val="1"/>
          <w:iCs w:val="1"/>
          <w:color w:val="auto"/>
        </w:rPr>
      </w:pPr>
    </w:p>
    <w:p>
      <w:pPr>
        <w:ind w:left="460" w:right="340" w:hanging="452"/>
        <w:spacing w:after="0" w:line="305" w:lineRule="auto"/>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other-than-temporary impairment losses, if 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$3.6 billion at each of December 31, 2013 and 2012, compared with $3.7 billion at December 31, 2011. Included in such intangible assets was goodwill of $3.5 billion at each of those dates. Amortization of core deposit and other intangible assets, after tax effect, totaled $29 million, $37 million and $38 million during 2013, 2012 and 2011,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for former employees; incentive compensation costs; travel costs; and printing, supplies and other costs of completing the transactions and commencing operations in new markets and offices. Although “net operating income” as defined by M&amp;T is not a GAAP measure, M&amp;T’s management believes that this information helps investors understand the effect of acquisition activity in reported results.</w:t>
      </w:r>
    </w:p>
    <w:p>
      <w:pPr>
        <w:spacing w:after="0" w:line="5" w:lineRule="exact"/>
        <w:rPr>
          <w:sz w:val="20"/>
          <w:szCs w:val="20"/>
          <w:color w:val="auto"/>
        </w:rPr>
      </w:pPr>
    </w:p>
    <w:p>
      <w:pPr>
        <w:jc w:val="both"/>
        <w:ind w:right="120" w:firstLine="685"/>
        <w:spacing w:after="0" w:line="300" w:lineRule="auto"/>
        <w:rPr>
          <w:sz w:val="20"/>
          <w:szCs w:val="20"/>
          <w:color w:val="auto"/>
        </w:rPr>
      </w:pPr>
      <w:r>
        <w:rPr>
          <w:rFonts w:ascii="Arial" w:cs="Arial" w:eastAsia="Arial" w:hAnsi="Arial"/>
          <w:sz w:val="15"/>
          <w:szCs w:val="15"/>
          <w:color w:val="auto"/>
        </w:rPr>
        <w:t>Net operating income totaled $1.17 billion in 2013, up 10% from $1.07 billion in 2012. Diluted net operating earnings per common share in 2013 rose 8% to $8.48 from $7.88 in 2012. Net operating income and diluted net operating earnings per common share were $884 million and $6.55, respectively, in 2011.</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Expressed as a rate of return on average tangible assets, net operating income was 1.47% in 2013, compared with 1.40% in 2012 and 1.26% in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operating return on average tangible common equity was 17.79% in 2013, compared with 19.42% and 17.96% in 2012 and 2011, respectively.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1,138,480</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1,029,498</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28,644</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37,011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7,511</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6,001</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52,154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Net operating income</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1,174,635</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1,072,510</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884,253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common share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7.54</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gain(a)</w:t>
            </w:r>
          </w:p>
        </w:tc>
        <w:tc>
          <w:tcPr>
            <w:tcW w:w="6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Diluted net operating earnings per common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8.48</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7.88</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2,635,885</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2,509,260</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2,478,068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(46,912)</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(60,631)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60" w:type="dxa"/>
            <w:vAlign w:val="bottom"/>
          </w:tcPr>
          <w:p>
            <w:pPr>
              <w:spacing w:after="0"/>
              <w:rPr>
                <w:sz w:val="13"/>
                <w:szCs w:val="13"/>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(12,364)</w:t>
            </w:r>
          </w:p>
        </w:tc>
        <w:tc>
          <w:tcPr>
            <w:tcW w:w="60" w:type="dxa"/>
            <w:vAlign w:val="bottom"/>
          </w:tcPr>
          <w:p>
            <w:pPr>
              <w:spacing w:after="0"/>
              <w:rPr>
                <w:sz w:val="13"/>
                <w:szCs w:val="13"/>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(9,879)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2,576,609</w:t>
            </w:r>
          </w:p>
        </w:tc>
        <w:tc>
          <w:tcPr>
            <w:tcW w:w="8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4,997</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1,825</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9,013</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4,867</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64,481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12,364</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9,879</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83,687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2,576,609</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2,332,764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2,698,200</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w w:val="83"/>
              </w:rPr>
              <w:t>2,624,907</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3"/>
              </w:rPr>
              <w:t>2,415,632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1,865,205</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1,667,270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1,582,912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56,457</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OTTI losses recognized in earnings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(9,800)</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(47,822)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(77,035)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Merger-related gain</w:t>
            </w:r>
          </w:p>
        </w:tc>
        <w:tc>
          <w:tcPr>
            <w:tcW w:w="60" w:type="dxa"/>
            <w:vAlign w:val="bottom"/>
          </w:tcPr>
          <w:p>
            <w:pPr>
              <w:spacing w:after="0"/>
              <w:rPr>
                <w:sz w:val="13"/>
                <w:szCs w:val="13"/>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4,516,748</w:t>
            </w:r>
          </w:p>
        </w:tc>
        <w:tc>
          <w:tcPr>
            <w:tcW w:w="8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4,339,990</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3,860,462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57.05%</w:t>
            </w:r>
          </w:p>
        </w:tc>
        <w:tc>
          <w:tcPr>
            <w:tcW w:w="60" w:type="dxa"/>
            <w:vAlign w:val="bottom"/>
          </w:tcPr>
          <w:p>
            <w:pPr>
              <w:spacing w:after="0"/>
              <w:rPr>
                <w:sz w:val="12"/>
                <w:szCs w:val="12"/>
                <w:color w:val="auto"/>
              </w:rPr>
            </w:pPr>
          </w:p>
        </w:tc>
        <w:tc>
          <w:tcPr>
            <w:tcW w:w="10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56.19%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60.43%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83,662</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79,983</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80,074</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76,356</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70,327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10,722</w:t>
            </w:r>
          </w:p>
        </w:tc>
        <w:tc>
          <w:tcPr>
            <w:tcW w:w="8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9,703</w:t>
            </w:r>
          </w:p>
        </w:tc>
        <w:tc>
          <w:tcPr>
            <w:tcW w:w="4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(878)</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(869)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Average common equity</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9,844</w:t>
            </w:r>
          </w:p>
        </w:tc>
        <w:tc>
          <w:tcPr>
            <w:tcW w:w="8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8,834</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8,207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Average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6,256</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5,207</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year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85,162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83,009</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8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81,589</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79,402</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74,274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11,306</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w:t>
            </w:r>
          </w:p>
        </w:tc>
        <w:tc>
          <w:tcPr>
            <w:tcW w:w="4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(882)</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 — preferred stock</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Common equity, net of undeclared preferred dividends</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10,421</w:t>
            </w:r>
          </w:p>
        </w:tc>
        <w:tc>
          <w:tcPr>
            <w:tcW w:w="8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9,327</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6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200"/>
              <w:spacing w:after="0" w:line="155" w:lineRule="exact"/>
              <w:rPr>
                <w:sz w:val="20"/>
                <w:szCs w:val="20"/>
                <w:color w:val="auto"/>
              </w:rPr>
            </w:pPr>
            <w:r>
              <w:rPr>
                <w:rFonts w:ascii="Arial" w:cs="Arial" w:eastAsia="Arial" w:hAnsi="Arial"/>
                <w:sz w:val="14"/>
                <w:szCs w:val="14"/>
                <w:color w:val="auto"/>
              </w:rPr>
              <w:t>Total tangible common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6,848</w:t>
            </w:r>
          </w:p>
        </w:tc>
        <w:tc>
          <w:tcPr>
            <w:tcW w:w="8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5,720</w:t>
            </w:r>
          </w:p>
        </w:tc>
        <w:tc>
          <w:tcPr>
            <w:tcW w:w="4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Income/Lending and Funding Activities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Net interest income on a taxable-equivalent basis totaled $2.70 billion in 2013, 3% above $2.62 billion in 2012. Growth in average earning assets was the major factor for that increase, partially offset by a narrowing of the net interest margin. Average earning assets were $74.0 billion in 2013, up 5% from $70.3 billion in 2012, the result of higher average loans and leases and interest-bearing deposits at the Federal Reserve Bank. The net interest margin declined to 3.65% in 2013 from 3.73% in 2012. Contributing to that narrowing were an 11 basis point reduction in the average yield on loans and leases and the lower yielding cash balances on deposit with the Federal Reserve Bank.</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Average loans and leases increased $2.4 billion or 4% to $65.1 billion in 2013 from $62.7 billion in 2012. Commercial loans and leases averaged $17.7 billion in 2013, $1.4 billion or 9% higher than in the prior year. Average balances of commercial real estate loans rose 5% or $1.2 billion to $26.1 billion in 2013 from $24.9 billion in 2012. The growth in commercial loans and commercial real estate loans reflected increased demand by customers. Average residential real estate balances grew to $10.1 billion in 2013 from $9.7 billion in the preceding year, resulting from the impact of the Company retaining for portfolio during the first eight months of 2012 a majority of originated residential real estate loans, partially offset by the securitization of $1.3 billion of loans held in the loan portfolio during mid-2013. Average consumer loans totaled $11.1 billion in 2013, down $635 million or 5% from $11.7 billion in 2012 due in part to the impact of the $1.4 billion automobile loan securitization transaction completed during the third quarter of 2013.</w:t>
      </w:r>
    </w:p>
    <w:p>
      <w:pPr>
        <w:spacing w:after="0" w:line="5" w:lineRule="exact"/>
        <w:rPr>
          <w:sz w:val="20"/>
          <w:szCs w:val="20"/>
          <w:color w:val="auto"/>
        </w:rPr>
      </w:pPr>
    </w:p>
    <w:p>
      <w:pPr>
        <w:jc w:val="both"/>
        <w:ind w:right="220" w:firstLine="685"/>
        <w:spacing w:after="0" w:line="300" w:lineRule="auto"/>
        <w:rPr>
          <w:sz w:val="20"/>
          <w:szCs w:val="20"/>
          <w:color w:val="auto"/>
        </w:rPr>
      </w:pPr>
      <w:r>
        <w:rPr>
          <w:rFonts w:ascii="Arial" w:cs="Arial" w:eastAsia="Arial" w:hAnsi="Arial"/>
          <w:sz w:val="15"/>
          <w:szCs w:val="15"/>
          <w:color w:val="auto"/>
        </w:rPr>
        <w:t>Taxable-equivalent net interest income rose 9% to $2.62 billion in 2012 from $2.42 billion in 2011. That improvement resulted from a 9% increase in average earning assets, to $70.3 billion in 2012 from $64.7 billion in 2011. The rise in average earning assets was the result of higher average loans and leases partially offset by lower interest-bearing deposits held at the Federal Reserve Bank. The net interest margin of 3.73% in 2012 was unchanged from 2011.</w:t>
      </w:r>
    </w:p>
    <w:p>
      <w:pPr>
        <w:spacing w:after="0" w:line="1" w:lineRule="exact"/>
        <w:rPr>
          <w:sz w:val="20"/>
          <w:szCs w:val="20"/>
          <w:color w:val="auto"/>
        </w:rPr>
      </w:pPr>
    </w:p>
    <w:p>
      <w:pPr>
        <w:jc w:val="both"/>
        <w:ind w:right="300" w:firstLine="685"/>
        <w:spacing w:after="0" w:line="281" w:lineRule="auto"/>
        <w:rPr>
          <w:sz w:val="20"/>
          <w:szCs w:val="20"/>
          <w:color w:val="auto"/>
        </w:rPr>
      </w:pPr>
      <w:r>
        <w:rPr>
          <w:rFonts w:ascii="Arial" w:cs="Arial" w:eastAsia="Arial" w:hAnsi="Arial"/>
          <w:sz w:val="16"/>
          <w:szCs w:val="16"/>
          <w:color w:val="auto"/>
        </w:rPr>
        <w:t>Average balances of loans and leases increased $6.5 billion or 12% in 2012 from $56.2 billion in 2011. Commercial loans and leases averaged $16.3 billion in 2012, up $1.7 billion or 11% from $14.7 billion in 2011. Average commercial real estate loans increased $2.0 billion or 9% to $24.9 billion in 2012 from $22.9 billion in the preceding year. The growth in commercial loans and commercial real estate loans reflected higher loan demand by customers.</w:t>
      </w:r>
    </w:p>
    <w:p>
      <w:pPr>
        <w:spacing w:after="0" w:line="2"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Residential real estate loan balances rose $2.9 billion or 43% to $9.7 billion in 2012 from $6.8 billion in 2011, predominantly the result of the Company retaining for portfolio a higher proportion of originated loans during most of the year rather than selling them. Consumer loans averaged $11.7 billion in 2012, down $132 million or 1% from $11.9 billion in 2011. Average loans and leases in 2012 reflected the full-year impact of loans obtained in the Wilmington Trust acquisition.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TAXABLE-EQUIVALENT RATES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4"/>
                <w:szCs w:val="14"/>
                <w:color w:val="auto"/>
              </w:rPr>
            </w:pPr>
          </w:p>
        </w:tc>
      </w:tr>
      <w:tr>
        <w:trPr>
          <w:trHeight w:val="129"/>
        </w:trPr>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r>
      <w:tr>
        <w:trPr>
          <w:trHeight w:val="174"/>
        </w:trPr>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580" w:type="dxa"/>
            <w:vAlign w:val="bottom"/>
          </w:tcPr>
          <w:p>
            <w:pPr>
              <w:jc w:val="center"/>
              <w:ind w:left="32"/>
              <w:spacing w:after="0"/>
              <w:rPr>
                <w:sz w:val="20"/>
                <w:szCs w:val="20"/>
                <w:color w:val="auto"/>
              </w:rPr>
            </w:pPr>
            <w:r>
              <w:rPr>
                <w:rFonts w:ascii="Arial" w:cs="Arial" w:eastAsia="Arial" w:hAnsi="Arial"/>
                <w:sz w:val="14"/>
                <w:szCs w:val="14"/>
                <w:b w:val="1"/>
                <w:bCs w:val="1"/>
                <w:color w:val="auto"/>
                <w:w w:val="92"/>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6277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ind w:left="4860"/>
        <w:spacing w:after="0" w:line="222" w:lineRule="auto"/>
        <w:rPr>
          <w:sz w:val="20"/>
          <w:szCs w:val="20"/>
          <w:color w:val="auto"/>
        </w:rPr>
      </w:pPr>
      <w:r>
        <w:rPr>
          <w:rFonts w:ascii="Arial" w:cs="Arial" w:eastAsia="Arial" w:hAnsi="Arial"/>
          <w:sz w:val="14"/>
          <w:szCs w:val="14"/>
          <w:b w:val="1"/>
          <w:bCs w:val="1"/>
          <w:color w:val="auto"/>
        </w:rPr>
        <w:t>(Average balance in millions; interest in thousands)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Loans and leases, net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unearned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discount(a)</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financial, etc.</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17,736</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628,154</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3.54%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16,336</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606,495</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3.71%</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14,655</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564,787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3.85%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13,092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521,747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3.99%</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13,855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524,609</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26,083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1,198,400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4.53</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24,907</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1,138,723</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4.50</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22,901</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1,051,772</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20,714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974,047</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4.70</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20,085</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894,691</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10,136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418,095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9,727</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421,516</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4.33</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6,778</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334,421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4.93</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5,746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303,262</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5.28</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5,297</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288,474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11,098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510,962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11,732</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559,253</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592,386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11,745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613,479</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5.22</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11,722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636,074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w w:val="96"/>
              </w:rPr>
              <w:t>Total loans and</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leases, net</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65,053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2,755,611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62,702</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2,725,987</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4.35</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56,199</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2,543,366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51,297</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2,412,535</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4.70</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50,959</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2,343,848</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 at 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2,139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5,201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528</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1,221</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.23</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2,934</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102</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50</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w w:val="94"/>
              </w:rPr>
              <w:t>Federal funds sold and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w w:val="89"/>
              </w:rPr>
              <w:t>agreements to resell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128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.55</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180</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189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221</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446</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.20</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1,394</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640</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securities(b)</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U.S. Treasury and</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federal</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agencies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165,879</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3.24</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4,538</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150,500</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3.32</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4,165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155,339</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4,483</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191,677</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4.28</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3,805</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182,163</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Obligations 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states and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political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subdivisions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9,999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5.15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220</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11,638</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5.29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244</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13,704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5.61</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15,107</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5.67</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221</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13,143</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44,019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2,211</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77,315</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101,020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133,176</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207,069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6,615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219,897</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3.32</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6,969</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239,453</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3.44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7,064</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270,063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3.82</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8,018</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339,960</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4.24</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8,403</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402,375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i w:val="1"/>
                <w:iCs w:val="1"/>
                <w:color w:val="auto"/>
              </w:rPr>
              <w:t>Total earning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74,013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2,982,305</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4.03</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70,299</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2,968,076</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4.22</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64,732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2,817,963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59,732</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2,753,818</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4.61</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59,551</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2,747,026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Allowance for credit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(932)</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(922)</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(906)</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(864)</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and due from</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1,384</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1,099</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1,121</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9,201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9,222</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8,954</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7,664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83,662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79,983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68,380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67,472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856</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1,343</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1,122</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36,739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54,948</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33,398</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68,011</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30,403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84,314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26,190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85,226</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22,832</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112,550</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26,439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5,347</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46,102</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71,014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6,583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100,241</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1.52</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8,782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206,220</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Deposits at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Cayman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Islands office</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496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1,018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605</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1,130</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779</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962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953</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1,368</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.14</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1,665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2,391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interest-</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bearing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42,203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83,692</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40,206</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116,586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38,415</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157,435</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34,327</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187,685</w:t>
            </w: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33,822</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322,283</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w w:val="98"/>
              </w:rPr>
              <w:t>Short-term borrowings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390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.11</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839</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1,286</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.15</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827</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1,854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3,006</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.16</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2,911</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7,129</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Long-term borrowings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199,983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5,527</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225,297</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243,866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9,169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271,578</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11,092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340,037</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i w:val="1"/>
                <w:iCs w:val="1"/>
                <w:color w:val="auto"/>
              </w:rPr>
              <w:t>Total interest-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i w:val="1"/>
                <w:iCs w:val="1"/>
                <w:color w:val="auto"/>
              </w:rPr>
              <w:t>bearing</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i w:val="1"/>
                <w:iCs w:val="1"/>
                <w:color w:val="auto"/>
              </w:rPr>
              <w:t>liabilities</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47,534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284,105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46,572</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343,169</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46,201</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402,331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45,350</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462,269</w:t>
            </w: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1.02</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47,825</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669,449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23,721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21,761</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17,273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13,709</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11,054</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1,947</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1,218</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72,940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70,280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60,277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60,190</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10,722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9,703</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9,004</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8,103</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7,282</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Total liabilities and</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shareholders’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equity</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83,662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79,983</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73,977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68,380</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67,472</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3.59</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3.21</w:t>
            </w:r>
          </w:p>
        </w:tc>
        <w:tc>
          <w:tcPr>
            <w:tcW w:w="0" w:type="dxa"/>
            <w:vAlign w:val="bottom"/>
          </w:tcPr>
          <w:p>
            <w:pPr>
              <w:spacing w:after="0" w:line="20" w:lineRule="exact"/>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interest-free funds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Net interest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income/margin on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2,698,200</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3.65%</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2,624,907</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3.73%</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2,415,632</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2,291,549</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3.84%</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2,077,577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1"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spacing w:after="0" w:line="41" w:lineRule="exact"/>
        <w:rPr>
          <w:rFonts w:ascii="Arial" w:cs="Arial" w:eastAsia="Arial" w:hAnsi="Arial"/>
          <w:sz w:val="14"/>
          <w:szCs w:val="14"/>
          <w:i w:val="1"/>
          <w:iCs w:val="1"/>
          <w:color w:val="auto"/>
        </w:rPr>
      </w:pPr>
    </w:p>
    <w:p>
      <w:pPr>
        <w:ind w:left="220" w:hanging="212"/>
        <w:spacing w:after="0"/>
        <w:tabs>
          <w:tab w:leader="none" w:pos="2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investment securities at amortized cost.</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Table 4 summarizes average loans and leases outstanding in 2013 and percentage changes in the major components of the portfolio over the past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LOANS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unearned discount)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 Increase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(Decrease)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680" w:type="dxa"/>
            <w:vAlign w:val="bottom"/>
            <w:gridSpan w:val="2"/>
          </w:tcPr>
          <w:p>
            <w:pPr>
              <w:jc w:val="right"/>
              <w:ind w:right="872"/>
              <w:spacing w:after="0" w:line="142" w:lineRule="exact"/>
              <w:rPr>
                <w:sz w:val="20"/>
                <w:szCs w:val="20"/>
                <w:color w:val="auto"/>
              </w:rPr>
            </w:pPr>
            <w:r>
              <w:rPr>
                <w:rFonts w:ascii="Arial" w:cs="Arial" w:eastAsia="Arial" w:hAnsi="Arial"/>
                <w:sz w:val="14"/>
                <w:szCs w:val="14"/>
                <w:b w:val="1"/>
                <w:bCs w:val="1"/>
                <w:color w:val="auto"/>
                <w:w w:val="86"/>
              </w:rPr>
              <w:t>2012 to 2013</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2011 to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17,736</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26,083</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10,136</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5,776</w:t>
            </w:r>
          </w:p>
        </w:tc>
        <w:tc>
          <w:tcPr>
            <w:tcW w:w="920" w:type="dxa"/>
            <w:vAlign w:val="bottom"/>
          </w:tcPr>
          <w:p>
            <w:pPr>
              <w:spacing w:after="0"/>
              <w:rPr>
                <w:sz w:val="18"/>
                <w:szCs w:val="18"/>
                <w:color w:val="auto"/>
              </w:rPr>
            </w:pPr>
          </w:p>
        </w:tc>
        <w:tc>
          <w:tcPr>
            <w:tcW w:w="1680" w:type="dxa"/>
            <w:vAlign w:val="bottom"/>
            <w:gridSpan w:val="2"/>
          </w:tcPr>
          <w:p>
            <w:pPr>
              <w:jc w:val="right"/>
              <w:ind w:right="812"/>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9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consumer</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11,098</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65,053</w:t>
            </w:r>
          </w:p>
        </w:tc>
        <w:tc>
          <w:tcPr>
            <w:tcW w:w="920" w:type="dxa"/>
            <w:vAlign w:val="bottom"/>
          </w:tcPr>
          <w:p>
            <w:pPr>
              <w:spacing w:after="0"/>
              <w:rPr>
                <w:sz w:val="19"/>
                <w:szCs w:val="19"/>
                <w:color w:val="auto"/>
              </w:rPr>
            </w:pPr>
          </w:p>
        </w:tc>
        <w:tc>
          <w:tcPr>
            <w:tcW w:w="1680" w:type="dxa"/>
            <w:vAlign w:val="bottom"/>
            <w:gridSpan w:val="2"/>
          </w:tcPr>
          <w:p>
            <w:pPr>
              <w:jc w:val="right"/>
              <w:ind w:right="732"/>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Commercial loans and leases, excluding loans secured by real estate, aggregated $18.7 billion at December 31, 2013, representing 29% of total loans and leases. Table 5 presents information on commercial loans and leases as of December 31, 2013 relating to geographic area, size, borrower industry and whether the loans are secured by collateral or unsecured. Of the $18.7 billion of commercial loans and leases outstanding at the end of 2013, approximately $16.2 billion, or 86%, were secured, while 43%, 26% and 18%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2013 aggregated $1.2 billion, of which 51% were secured by collateral located in New York State, 15% were secured by collateral in Pennsylvania and another 12% were secured by collateral in the Mid-Atlantic area.</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LOANS AND LEASES, NET OF UNEARNED DISCOUNT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(Excludes Loans Secured by Real Estate)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Mid-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New York</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24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 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Automobile dealerships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1,463</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3,204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1,088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2,978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1,845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Transportation, communications, utilities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Real estate investors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1,179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services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Financial and insurance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934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administration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Agriculture, forestry, fishing, mining, etc.</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8,117</w:t>
            </w:r>
          </w:p>
        </w:tc>
        <w:tc>
          <w:tcPr>
            <w:tcW w:w="4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4,855</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3,310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2,423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18,705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Percent of dollars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Percent of dollars outstanding by size of loan</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Less than $1 million</w:t>
            </w: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22%</w:t>
            </w: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million to $5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$5 million to $10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 million to $20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$20 million to $30 million</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Greater than $50 million</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50</w:t>
            </w: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International loans included in commercial loans and leases totaled $170 million and $138 million at December 31, 2013 and 2012,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Included in such loans were $72 million and $128 million, respectively, of loans at M&amp;T Bank’s commercial branch in Ontario, Canada.</w:t>
      </w:r>
    </w:p>
    <w:p>
      <w:pPr>
        <w:spacing w:after="0" w:line="9"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Loans secured by real estate, including outstanding balances of home equity loans and lines of credit which the Company classifies as consumer loans, represented approximately 65% of the loan and lease portfolio during 2013 and 2011, compared with 66% in 2012. At December 31, 2013, the Company held approximately $26.1 billion of commercial real estate loans, $8.9 billion of consumer real estate loans secured by one-to-four family residential properties (including $401 million of loans originated for sale) and $6.1 billion of outstanding balances of home equity loans and lines of credit, compared with $26.0 billion, $11.2 billion and $6.3 billion, respectively, at December 31, 2012. Included in total loans and leases were amounts due from builders and developers of residential real estate aggregating $1.3 billion and $1.2 billion at December 31, 2013 and 2012, respectively, substantially all of which were classified as commercial real estate loans.</w:t>
      </w:r>
    </w:p>
    <w:p>
      <w:pPr>
        <w:spacing w:after="0" w:line="3"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then-current market rate of interest. The Company also originates fixed-rate commercial real estate loans with maturities of greater than five years, generally having original maturity terms of approximately seven to ten years, and adjustable-rate commercial real estate loans. Adjustable-rate commercial real estate loans represented approximately 63% of the commercial real estate loan portfolio at the 2013 year-end. Table 6 presents commercial real estate loans by geographic area, type of collateral and size of the loans outstanding at December 31, 2013. New York City metropolitan area commercial real estate loans totaled $8.6 billion at December 31, 2013. The $6.8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48% of the aggregate dollar amount of New York City-area loans were for loans with outstanding balances of $10 million or less, while loans of more than $50 million made up approximately 9% of the total.</w:t>
      </w:r>
    </w:p>
    <w:p>
      <w:pPr>
        <w:spacing w:after="0" w:line="105"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REAL ESTATE LOANS,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Metropolitan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New York</w:t>
            </w:r>
          </w:p>
        </w:tc>
        <w:tc>
          <w:tcPr>
            <w:tcW w:w="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New York</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State</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Atlantic</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6"/>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Investor-owned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Permanent finance by property type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3,294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Apartments/Multifamily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Hotel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2,055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Industrial/Warehouse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Health facilities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permanent</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2,860</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1,872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14,000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Construction/Development</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Construction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Land/Land development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Construction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742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Land/Land development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construction/development</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1,288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investor-owned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4,148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18,090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Owner-occupied by industry(a)</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Health services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 services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Automobile dealerships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Manufacturing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Wholesale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488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investors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owner-occupied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Total commercial real estate</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8,606</w:t>
            </w:r>
          </w:p>
        </w:tc>
        <w:tc>
          <w:tcPr>
            <w:tcW w:w="2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4,573</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3,653</w:t>
            </w:r>
          </w:p>
        </w:tc>
        <w:tc>
          <w:tcPr>
            <w:tcW w:w="160" w:type="dxa"/>
            <w:vAlign w:val="bottom"/>
            <w:gridSpan w:val="2"/>
          </w:tcPr>
          <w:p>
            <w:pPr>
              <w:ind w:left="8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6,329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2,987</w:t>
            </w:r>
          </w:p>
        </w:tc>
        <w:tc>
          <w:tcPr>
            <w:tcW w:w="2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26,148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Percent of dollars outstanding by size of loan</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million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$1 million to $5 million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million to $10 million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$10 million to $30 million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$50 million to $100 million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 million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$316 million of construction loans.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283" w:lineRule="auto"/>
        <w:rPr>
          <w:sz w:val="20"/>
          <w:szCs w:val="20"/>
          <w:color w:val="auto"/>
        </w:rPr>
      </w:pPr>
      <w:r>
        <w:rPr>
          <w:rFonts w:ascii="Arial" w:cs="Arial" w:eastAsia="Arial" w:hAnsi="Arial"/>
          <w:sz w:val="16"/>
          <w:szCs w:val="16"/>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78% of the aggregate dollar amount of commercial real estate loans in New York State secured by properties located outside of the metropolitan New York City area were for loans with outstanding balances of $10 million or less. Of the outstanding balances of commercial real estate loans in Pennsylvania and the Mid-Atlantic area, approximately 71% and 63%, respectively, were for loans with outstanding balances of $10 million or less.</w:t>
      </w:r>
    </w:p>
    <w:p>
      <w:pPr>
        <w:spacing w:after="0" w:line="2" w:lineRule="exact"/>
        <w:rPr>
          <w:sz w:val="20"/>
          <w:szCs w:val="20"/>
          <w:color w:val="auto"/>
        </w:rPr>
      </w:pPr>
    </w:p>
    <w:p>
      <w:pPr>
        <w:ind w:right="280" w:firstLine="685"/>
        <w:spacing w:after="0" w:line="250" w:lineRule="auto"/>
        <w:rPr>
          <w:sz w:val="20"/>
          <w:szCs w:val="20"/>
          <w:color w:val="auto"/>
        </w:rPr>
      </w:pPr>
      <w:r>
        <w:rPr>
          <w:rFonts w:ascii="Arial" w:cs="Arial" w:eastAsia="Arial" w:hAnsi="Arial"/>
          <w:sz w:val="18"/>
          <w:szCs w:val="18"/>
          <w:color w:val="auto"/>
        </w:rPr>
        <w:t>Commercial real estate loans secured by properties located outside of Pennsylvania, the Mid-Atlantic area, New York State and areas of states neighboring New York considered to be part of the New York City metropolitan area, comprised 11% of total commercial real estate loans as of December 31, 2013.</w:t>
      </w:r>
    </w:p>
    <w:p>
      <w:pPr>
        <w:spacing w:after="0" w:line="1"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Commercial real estate construction and development loans made to investors presented in table 6 totaled $4.1 billion at December 31, 2013, or 6% of total loans and leases. Approximately 94% of those construction loans had adjustable interest rates. Included in such loans at the 2013 year-end were $1.3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3"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M&amp;T Realty Capital Corporation, a commercial real estate lending subsidiary of M&amp;T Bank, participates in the Delegated Underwriting and Servicing (“DUS”) program of the Federal National Mortgage Association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$2.3 billion and $2.0 billion at December 31, 2013 and 2012, respectively. There have been no material losses incurred as a result of those recourse arrangements. Commercial real estate loans held for sale at December 31, 2013 and 2012 aggregated $68 million and $200 million, respectively. At December 31, 2013 and 2012, commercial real estate loans serviced for other investors by the Company were $11.4 billion and $10.6 billion, respectively. Those serviced loans are not included in the Company’s consolidated balance sheet.</w:t>
      </w:r>
    </w:p>
    <w:p>
      <w:pPr>
        <w:spacing w:after="0" w:line="6"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Real estate loans secured by one-to-four family residential properties were $8.9 billion at December 31, 2013, including approximately 41% secured by properties located in New York State, 14% secured by properties located in Pennsylvania and 25% secured by properties located in the Mid-Atlantic area. At December 31, 2013, $401 million of residential real estate loans had been originated for sale, compared with $1.2 billion at December 31, 2012. The significant decrease in residential real estate loans held for sale at December 31, 2013 as compared with December 31, 2012 reflected decreased volumes of such loan originations. The Company’s portfolio of alternative (“Alt-A”) residential real estate loans held for investment at December 31, 2013 declined to $396 million from $462 million at December 31, 2012. Alt-A loans represent loans that at origination typically included some form of limited borrower documentation requirements as compared with more traditional residential real estate loans. Loans in the Company’s Alt-A portfolio were originated by the Company prior to 2008. Loans to individuals to finance the construction of one-to-four family residential properties totaled $34 million at December 31, 2013 and $39 million at December 31, 2012, or approximately .1% of total loans and leases at each of those dates. Information about the credit performance of the Company’s Alt-A loans and other residential real estate loans is included herein under the heading “Provision For Credit Losses.”</w:t>
      </w:r>
    </w:p>
    <w:p>
      <w:pPr>
        <w:spacing w:after="0" w:line="7" w:lineRule="exact"/>
        <w:rPr>
          <w:sz w:val="20"/>
          <w:szCs w:val="20"/>
          <w:color w:val="auto"/>
        </w:rPr>
      </w:pPr>
    </w:p>
    <w:p>
      <w:pPr>
        <w:ind w:firstLine="685"/>
        <w:spacing w:after="0" w:line="312" w:lineRule="auto"/>
        <w:rPr>
          <w:sz w:val="20"/>
          <w:szCs w:val="20"/>
          <w:color w:val="auto"/>
        </w:rPr>
      </w:pPr>
      <w:r>
        <w:rPr>
          <w:rFonts w:ascii="Arial" w:cs="Arial" w:eastAsia="Arial" w:hAnsi="Arial"/>
          <w:sz w:val="15"/>
          <w:szCs w:val="15"/>
          <w:color w:val="auto"/>
        </w:rPr>
        <w:t>Consumer loans comprised approximately 16% and 17% of total loans and leases at December 31, 2013 and 2012, respectively. Outstanding balances of home equity lines of credit represent the largest component of the consumer loan portfolio. Such balances represented approximately 9% of total loans and leases at each of December 31, 2013 and 2012. No other consumer loan product represented at least 4% of loans outstanding at December 31, 2013. Approximately 41% of home equity lines of credit outstanding at December 31, 2013 were secured by properties in New York State, and 21% and 36% were secured by properties in Pennsylvania and the Mid-Atlantic area, respectively. Outstanding automobile loan balances decreased to $1.4 billion at December 31, 2013 from $2.5 billion at December 31, 2012. That decline resulted from the securitization and sale of $1.4 billion of such loans near the end of the third quarter of 2013.</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306" w:lineRule="auto"/>
        <w:rPr>
          <w:sz w:val="20"/>
          <w:szCs w:val="20"/>
          <w:color w:val="auto"/>
        </w:rPr>
      </w:pPr>
      <w:r>
        <w:rPr>
          <w:rFonts w:ascii="Arial" w:cs="Arial" w:eastAsia="Arial" w:hAnsi="Arial"/>
          <w:sz w:val="16"/>
          <w:szCs w:val="16"/>
          <w:color w:val="auto"/>
        </w:rPr>
        <w:t>Table 7 presents the composition of the Company’s loan and lease portfolio at the end of 2013, including outstanding balances to businesses and consumers in New York State, Pennsylvania, the Mid-Atlantic area and other states. Approximately 45% of total loans and leases at December 31, 2013 were to New York State customers, while 18% and 23% were to Pennsylvania and the Mid-Atlantic area customers,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AND LEASES,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Percent of Dollars Outstanding</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New York</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Outstandings</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State</w:t>
            </w: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Pennsylvania</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Mid-Atlantic</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7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8,928</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51(a)</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tcPr>
          <w:p>
            <w:pPr>
              <w:ind w:left="420"/>
              <w:spacing w:after="0"/>
              <w:rPr>
                <w:sz w:val="20"/>
                <w:szCs w:val="20"/>
                <w:color w:val="auto"/>
              </w:rPr>
            </w:pPr>
            <w:r>
              <w:rPr>
                <w:rFonts w:ascii="Arial" w:cs="Arial" w:eastAsia="Arial" w:hAnsi="Arial"/>
                <w:sz w:val="18"/>
                <w:szCs w:val="18"/>
                <w:color w:val="auto"/>
              </w:rPr>
              <w:t>Total real estate</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35,076</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27%</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Consumer</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5,770</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Home equity loans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352</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13</w:t>
            </w:r>
          </w:p>
        </w:tc>
        <w:tc>
          <w:tcPr>
            <w:tcW w:w="84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30</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51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1,365</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30</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23</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Other secured or guaranteed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2,104</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27</w:t>
            </w:r>
          </w:p>
        </w:tc>
        <w:tc>
          <w:tcPr>
            <w:tcW w:w="84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unsecured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40</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22</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tcPr>
          <w:p>
            <w:pPr>
              <w:ind w:left="420"/>
              <w:spacing w:after="0"/>
              <w:rPr>
                <w:sz w:val="20"/>
                <w:szCs w:val="20"/>
                <w:color w:val="auto"/>
              </w:rPr>
            </w:pPr>
            <w:r>
              <w:rPr>
                <w:rFonts w:ascii="Arial" w:cs="Arial" w:eastAsia="Arial" w:hAnsi="Arial"/>
                <w:sz w:val="18"/>
                <w:szCs w:val="18"/>
                <w:color w:val="auto"/>
              </w:rPr>
              <w:t>Total consumer</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10,292</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62,835</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Commercial leases</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1,238</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50%</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loans and leases</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64,073</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loans secured by properties located in neighboring states generally considered to be within commuting distance of New York City.</w:t>
      </w:r>
    </w:p>
    <w:p>
      <w:pPr>
        <w:spacing w:after="0" w:line="113"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Average balances of investment securities were $6.6 billion in 2013, compared with $7.0 billion and $7.1 billion in 2012 and 2011, respectively. The decline in such balances in 2013 reflects the impact of maturities and paydowns of mortgage-backed securities, offset by the net effect of purchases, sales and securitizations during 2013. Beginning in the second quarter of 2013, the Company undertook certain actions to improve its regulatory capital and liquidity positions in response to evolving regulatory requirements. As a result, in the second quarter of 2013 approximately $1.0 billion of privately issued mortgage-backed securities held in the available-for-sale portfolio were sold, as were the Company’s holdings of Visa and MasterCard common stock. In the second and third quarters of 2013, the Company securitized approximately $1.3 billion of residential real estate loans held in its loan portfolio guaranteed by the Federal Housing Authority (“FHA”). A substantial majority of the Ginnie Mae securities resulting from those securitizations were retained by the Company. During the second quarter of 2013, the Company also began originating FHA residential real estate loans for purposes of securitizing such loans into Ginnie Mae mortgage-backed securities to be retained in the Company’s investment securities portfolio. Approximately $1.6 billion of such loans were originated and securitized during 2013. Finally, the Company purchased approximately $1.9 billion of Ginnie Mae securities and $250 million of Fannie Mae securities that were added to the investment securities portfolio during 2013. The slight decline in average balances of investment securities in 2012 as compared with 2011 reflects the impact of maturities and paydowns of</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mortgage-backed securities, partially offset by purchases of $250 million of residential mortgage-backed securities guaranteed by the Federal Home Loan Mortgage Corporation (“Freddie Mac”) during the second quarter of 2012 and the full-year impact of purchases of residential mortgage-backed securities guaranteed by Fannie Mae, Freddie Mac and the Ginnie Mae during 2011.</w:t>
      </w:r>
    </w:p>
    <w:p>
      <w:pPr>
        <w:ind w:right="160" w:firstLine="685"/>
        <w:spacing w:after="0" w:line="281" w:lineRule="auto"/>
        <w:rPr>
          <w:sz w:val="20"/>
          <w:szCs w:val="20"/>
          <w:color w:val="auto"/>
        </w:rPr>
      </w:pPr>
      <w:r>
        <w:rPr>
          <w:rFonts w:ascii="Arial" w:cs="Arial" w:eastAsia="Arial" w:hAnsi="Arial"/>
          <w:sz w:val="16"/>
          <w:szCs w:val="16"/>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overall interest-rate risk and liquidity profiles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As noted above, in 2013 the Company sold investment securities to reduce its exposure to higher risk securities in response to changing regulatory capital and liquidity standards.</w:t>
      </w:r>
    </w:p>
    <w:p>
      <w:pPr>
        <w:spacing w:after="0" w:line="5"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Pre-tax other-than-temporary impairment charges of $10 million, $48 million and $77 million were recognized during 2013, 2012 and 2011, respectively, related to certain privately issued mortgage-backed securities backed by residential and commercial real estate loans. Persistently high unemployment, loan delinquencies and foreclosures that led to a backlog of homes held for sale by financial institutions and others were significant factors contributing to the recognition of the other-than-temporary impairment charges related to the mortgage-backed securities. As noted earlier, substantially all of the privately issued mortgage-backed securities held in the available-for-sale portfolio were sold in the second quarter of 2013. The impairment charges recognized during the past three years predominantly related to a subset of those sold securities. Based on management’s assessment of future cash flows associated with individual investment securities as of December 31, 2013,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7" w:lineRule="exact"/>
        <w:rPr>
          <w:sz w:val="20"/>
          <w:szCs w:val="20"/>
          <w:color w:val="auto"/>
        </w:rPr>
      </w:pPr>
    </w:p>
    <w:p>
      <w:pPr>
        <w:ind w:right="120" w:firstLine="685"/>
        <w:spacing w:after="0" w:line="300" w:lineRule="auto"/>
        <w:rPr>
          <w:sz w:val="20"/>
          <w:szCs w:val="20"/>
          <w:color w:val="auto"/>
        </w:rPr>
      </w:pPr>
      <w:r>
        <w:rPr>
          <w:rFonts w:ascii="Arial" w:cs="Arial" w:eastAsia="Arial" w:hAnsi="Arial"/>
          <w:sz w:val="15"/>
          <w:szCs w:val="15"/>
          <w:color w:val="auto"/>
        </w:rPr>
        <w:t>Other earning assets include interest-bearing deposits at the Federal Reserve Bank and other banks, trading account assets, federal funds sold and agreements to resell securities. Those other earning assets in the aggregate averaged $2.3 billion in 2013, $628 million in 2012 and $1.5 billion in 2011. Interest-bearing deposits at banks averaged $2.1 billion in 2013, compared with $528 million and $1.2 billion in 2012 and 2011, respectively. Those balances were predominantly due to deposits at the Federal Reserve Bank, resulting largely from Wilmington Trust-related customer deposits.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and balance sheet size and resulting capital ratios.</w:t>
      </w:r>
    </w:p>
    <w:p>
      <w:pPr>
        <w:spacing w:after="0" w:line="3"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$63.8 billion in 2013, up from $59.1 billion in 2012 and $52.0 billion in 2011. The Wilmington Trust acquisition added approximately $6.6 billion of core deposits on May 16, 2011. Average core deposits of Wilmington Trust, N.A., including both noninterest-bearing trust deposits and certificates of deposit of $250,000 or less generated on a nationwide basis, were $1.4 billion in 2013, $1.2 billion in 2012 and $630 million in 2011. Excluding the impact of the deposits obtained in the Wilmington Trust acquisition, the growth in core deposits from 2011 to 2013 was due, in part, to the lack of attractive alternative investments available to the Company’s customers resulting from lower interest rates and from the economic environment in the U.S. and higher balances held on behalf of trust customers. The low interest rate environment has resulted in a shift in customer savings trends, as average time deposits have continued to decline, while average noninterest-bearing deposits and savings deposits have generally increased. Funding provided by core deposits represented 86% of average earning assets in 2013, compared with 84% and 80% in 2012 and 2011, respectively. Table 8 summarizes average core deposits in 2013 and percentage changes in the components of such deposits over the past two years. Core deposits aggregated $65.4 billion and $62.7 billion at December 31, 2013 and 2012, respectively.</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CORE DEPOSITS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(Decrease)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92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872"/>
              <w:spacing w:after="0" w:line="142" w:lineRule="exact"/>
              <w:rPr>
                <w:sz w:val="20"/>
                <w:szCs w:val="20"/>
                <w:color w:val="auto"/>
              </w:rPr>
            </w:pPr>
            <w:r>
              <w:rPr>
                <w:rFonts w:ascii="Arial" w:cs="Arial" w:eastAsia="Arial" w:hAnsi="Arial"/>
                <w:sz w:val="14"/>
                <w:szCs w:val="14"/>
                <w:b w:val="1"/>
                <w:bCs w:val="1"/>
                <w:color w:val="auto"/>
                <w:w w:val="86"/>
              </w:rPr>
              <w:t>2012 to 2013</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2011 to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w w:val="98"/>
              </w:rPr>
              <w:t>35,711</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23,721</w:t>
            </w:r>
          </w:p>
        </w:tc>
        <w:tc>
          <w:tcPr>
            <w:tcW w:w="9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63,772</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685"/>
        <w:spacing w:after="0" w:line="282"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$325 million in 2013, $410 million in 2012 and $491 million in 2011. Cayman Islands office deposits averaged $496 million in 2013, $605 million in 2012 and $779 million in 2011. Average brokered time deposits totaled $279 million in 2013, compared with $741 million in 2012 and $1.1 billion in 2011, and at December 31, 2013 and 2012 totaled $26 million and $462 million, respectively. Brokered time deposits obtained in the acquisition of Wilmington Trust totaled $1.4 billion as of May 16, 2011. The Company also had brokered NOW and brokered money-market deposit accounts, which in the aggregate averaged $1.1 billion in each of 2013 and 2012 and $1.3 billion in 2011.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and brokered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the Federal Reserve Bank and others as sources of funding. Average short-term borrowings totaled $390 million in 2013, $839 million in 2012 and $827 million in 2011. Included in short-term borrowings were unsecured federal funds borrowings, which generally mature on the next business day, that averaged $284 million, $669 million and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$593 million in 2013, 2012 and 2011, respectively. Overnight federal funds borrowings represented the largest component of average short-term borrowings and totaled $169 million at December 31, 2013 and $939 million at December 31, 2012.</w:t>
      </w:r>
    </w:p>
    <w:p>
      <w:pPr>
        <w:spacing w:after="0" w:line="1"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Long-term borrowings averaged $4.9 billion in 2013, $5.5 billion in 2012 and $7.0 billion in 2011. Included in average long-term borrowings were amounts borrowed from FHLBs of $30 million in 2013, $768 million in 2012 and $1.9 billion in 2011, and subordinated capital notes of $1.6 billion in 2013 and $2.0 billion in each of 2012 and 2011. On April 15, 2013, $250 million of 4.875% subordinated notes of the Company matured and were redeemed. On July 2, 2012, M&amp;T Bank redeemed $400 million of subordinated capital notes that were due to mature in 2013, as such notes ceased to qualify as regulatory capital during the one-year period before their contractual maturity date. Junior subordinated debentures associated with trust preferred securities that were included in average long-term borrowings were $1.2 billion in each of 2013, 2012 and 2011. However, M&amp;T expects to redeem $350 million of 8.50% junior subordinated debentures associated with trust preferred securities in the first quarter of 2014.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$1.4 billion during each of 2013 and 2012, and $1.5 billion during 2011. The agreements have various repurchase dates through 2017, however, the contractual maturities of the underlying securities extend beyond such repurchase dates. During the first quarter of 2013, M&amp;T Bank initiated a Bank Note Program whereby M&amp;T Bank may offer up to $5 billion of unsecured senior and subordinated notes. During March 2013, three-year floating rate senior notes due March 2016 were issued for $300 million and five-year 1.45% fixed rate senior notes due March 2018 were issued for $500 million. Average balances of those senior notes in 2013 were $657 million. During January 2014, M&amp;T Bank issued an additional $1.5 billion of senior notes of which $750 million are due in 2017 and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$750 million are due in 2019. The Company has utilized interest rate swap agreements to modify the repricing characteristics of certain components of long-term debt. As of December 31, 2013, interest rate swap agreements were used to hedge approximately $900 million of fixed rate subordinated notes and $500 million of fixed rate senior notes. Further information on interest rate swap agreements is provided in note 18 of Notes to Financial Statements.</w:t>
      </w:r>
    </w:p>
    <w:p>
      <w:pPr>
        <w:spacing w:after="0" w:line="1" w:lineRule="exact"/>
        <w:rPr>
          <w:sz w:val="20"/>
          <w:szCs w:val="20"/>
          <w:color w:val="auto"/>
        </w:rPr>
      </w:pPr>
    </w:p>
    <w:p>
      <w:pPr>
        <w:jc w:val="both"/>
        <w:ind w:right="80" w:firstLine="685"/>
        <w:spacing w:after="0" w:line="300" w:lineRule="auto"/>
        <w:rPr>
          <w:sz w:val="20"/>
          <w:szCs w:val="20"/>
          <w:color w:val="auto"/>
        </w:rPr>
      </w:pPr>
      <w:r>
        <w:rPr>
          <w:rFonts w:ascii="Arial" w:cs="Arial" w:eastAsia="Arial" w:hAnsi="Arial"/>
          <w:sz w:val="15"/>
          <w:szCs w:val="15"/>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3.43% in 2013, compared with 3.48% in each of 2012 and 2011. The yield on the Company’s earning assets declined 19 basis points to</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4.03% in 2013 from 4.22% in 2012, while the rate paid on interest-bearing liabilities decreased 14 basis points to .60% in 2013 from .74% in 2012. The yield on earning assets during 2012 decreased 13 basis points from 4.35% in 2011, while the rate paid on interest-bearing liabilities also declined 13 basis points from</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.87% in 2011. The declines in yields on earning assets and rates on interest-bearing liabilities reflect the impact of actions taken by the Federal Reserve to maintain the target range for the federal funds rate of 0% to .25% and to control the level of interest rates in general.</w:t>
      </w:r>
    </w:p>
    <w:p>
      <w:pPr>
        <w:spacing w:after="0" w:line="1"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$26.5 billion in 2013, compared with $23.7 billion in 2012 and $18.5 billion in 2011. The significant increases in average net interest-free funds in 2013 and 2012 were largely the result of higher balances of noninterest-bearing deposits, which averaged $23.7 billion in 2013, $21.8 billion in 2012 and $17.3 billion in 2011. In connection with the Wilmington Trust acquisition, the Company added noninterest-bearing deposits totaling $2.0 billion at the acquisition date. Goodwill and core deposit and other intangible assets averaged $3.6 billion in 2013 and $3.7 billion in each of 2012 and 2011. The cash surrender value of bank owned life insurance averaged $1.6 billion in each of 2013 and 2012, and $1.5 billion in 2011. Increases in the cash surrender value of bank owned life insurance are not included in interest income, but rather are recorded in “other revenues from operations.” The contribution of net interest-free funds to net interest margin was .22% in 2013 and .25% in each of 2012 and 2011.</w:t>
      </w:r>
    </w:p>
    <w:p>
      <w:pPr>
        <w:spacing w:after="0" w:line="6" w:lineRule="exact"/>
        <w:rPr>
          <w:sz w:val="20"/>
          <w:szCs w:val="20"/>
          <w:color w:val="auto"/>
        </w:rPr>
      </w:pPr>
    </w:p>
    <w:p>
      <w:pPr>
        <w:ind w:right="240" w:firstLine="685"/>
        <w:spacing w:after="0" w:line="250"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3.65% in 2013 and 3.73% in each of 2012 and 2011.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2"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$1.4 billion and $900 million at December 31, 2013 and 2012, respectively. Under the terms of those swap agreements, the Company received payments based on the outstanding notional amount of the agreements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5" w:lineRule="exact"/>
        <w:rPr>
          <w:sz w:val="20"/>
          <w:szCs w:val="20"/>
          <w:color w:val="auto"/>
        </w:rPr>
      </w:pPr>
    </w:p>
    <w:p>
      <w:pPr>
        <w:ind w:right="60" w:firstLine="685"/>
        <w:spacing w:after="0" w:line="288"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in 2013, 2012 and 2011 were not material to the Company’s results of operations. The estimated aggregate fair value of interest rate swap agreements designated as fair value hedges represented gains of approximately $103 million at December 31, 2013 and $143 million at December 31, 2012. The fair values of such swap agreements were substantially offset by changes in the fair values of the hedged items. The changes in the fair values of the interest rate swap agreements and the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hedged items primarily result from the effects of changing interest rates and spreads. The Company’s credit exposure as of December 31, 2013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$85 million of collateral with the Company. Additional information about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SWAP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Rate(a)</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Rate(a)</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(41,326)</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(36,368)</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(37,709)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color w:val="auto"/>
              </w:rPr>
              <w:t>Net interest income/margin</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41,326</w:t>
            </w:r>
          </w:p>
        </w:tc>
        <w:tc>
          <w:tcPr>
            <w:tcW w:w="5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36,368</w:t>
            </w:r>
          </w:p>
        </w:tc>
        <w:tc>
          <w:tcPr>
            <w:tcW w:w="5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37,709</w:t>
            </w:r>
          </w:p>
        </w:tc>
        <w:tc>
          <w:tcPr>
            <w:tcW w:w="5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1,160,274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Rate received(b)</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 percentage of average earning assets or interest-bearing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$185 million in 2013, compared with $204 million in 2012 and $270 million in 2011. Net loan charge-offs aggregated $183 million in 2013, $186 million in 2012 and</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$265 million in 2011. Net loan charge-offs as a percentage of average loans outstanding were .28% in 2013, compared with .30% in 2012 and .47% in 2011. While the Company has experienced improvement in its credit quality metrics during the past few years, sluggish economic activity, relatively high unemployment rates, generally depressed real estate valuations and higher than normal levels of delinquencies have significantly affected the credit performance of the Company’s loan portfolios. A summary of the Company’s loan charge-offs, provision and allowance for credit losses is presented in table 10 and in note 5 of Notes to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CHARGE-OFFS, PROVISION AND ALLOWANCE FOR CREDIT LOSSES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beginning balance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$925,860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$908,290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$902,941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$878,022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$787,904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Charge-offs during year</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109,329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41,148</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55,021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91,650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180,119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9,137</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27,687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63,529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86,603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127,728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49,079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58,572</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81,691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108,500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95,109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85,965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103,348</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109,246</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125,593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153,506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charge-offs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253,510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230,755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309,487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412,346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556,462</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Recoveries during year</w:t>
            </w: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11,773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11,375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10,224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26,621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18,800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3,693</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5,930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4,975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13,718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8,847</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10,444</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10,954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6,917</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26,035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20,410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18,238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23,963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recoveries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70,326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44,325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44,836</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charge-offs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183,184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186,430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264,651</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345,833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513,882</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185,000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204,000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270,000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368,000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Allowance related to loans sold or securitized</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Allowance for credit losses ending balance</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916,676</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902,941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878,022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as a percent of:</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99.02%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91.39%</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98.02%</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93.98%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loans and leases, net of unearned discount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8"/>
                <w:szCs w:val="18"/>
                <w:color w:val="auto"/>
                <w:w w:val="92"/>
              </w:rPr>
              <w:t>Allowance for credit losses as a percent of loans and leases, net of</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220"/>
              <w:spacing w:after="0"/>
              <w:rPr>
                <w:sz w:val="20"/>
                <w:szCs w:val="20"/>
                <w:color w:val="auto"/>
              </w:rPr>
            </w:pPr>
            <w:r>
              <w:rPr>
                <w:rFonts w:ascii="Arial" w:cs="Arial" w:eastAsia="Arial" w:hAnsi="Arial"/>
                <w:sz w:val="18"/>
                <w:szCs w:val="18"/>
                <w:color w:val="auto"/>
              </w:rPr>
              <w:t>unearned discount, at year-end</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1.43%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1.51%</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$4.0 billion and $5.8 billion at December 31, 2013 and 2012, respectively. The portion of the nonaccretable balance related to remaining principal losses as well as life-to-date principal losses charged against the nonaccretable balance as of December 31, 2013 and 2012 are presented in table 11. The Company regularly reviews its cash flow projections for acquired loans, including its estimates of lifetime principal losses. During 2013, based on stabilizing economic conditions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estimates of cash flows expected to be generated by acquired loans increased by $179 million, or approximately 3%. That improvement reflected a lowering of estimated principal losses by approximately $173 million, primarily due to a $160 million decrease in expected principal losses in the acquired commercial real estate portfolios. The increase in projected cash flows, including both the $173 million of principal referred to above and interest payments related thereto, resulted in a $181 million transfer from the nonaccretable balance to the accretable yield. Similarly, in 2012 the estimates of cash flows expected to be generated by acquired loans increased by approximately 2%, or $178 million. That improvement also reflected a lowering of estimated principal losses that amounted to approximately $175 million, largely driven by a $132 million decrease in expected principal losses in the acquired commercial real estate portfolios. Including both the $175 million of principal referred to above and interest payments related thereto, the increases in projected cash flows resulted in a $200 million transfer from the nonaccretable balance to the accretable yield. In the aggregate, approximately $109 million and $45 million of those transfers were recognized as interest income in 2013 and 2012, respectively. The remainder will be recognized as interest income in subsequent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NONACCRETABLE BALANCE — PRINCIPAL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Remaining Balance</w:t>
            </w:r>
          </w:p>
        </w:tc>
        <w:tc>
          <w:tcPr>
            <w:tcW w:w="16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Life-to-date Charges</w:t>
            </w:r>
          </w:p>
        </w:tc>
      </w:tr>
      <w:tr>
        <w:trPr>
          <w:trHeight w:val="129"/>
        </w:trPr>
        <w:tc>
          <w:tcPr>
            <w:tcW w:w="4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31,931</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40,198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69,772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63,190</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110,984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285,681</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277,222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262,062</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36,471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33,989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74,039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63,132</w:t>
            </w:r>
          </w:p>
        </w:tc>
        <w:tc>
          <w:tcPr>
            <w:tcW w:w="100" w:type="dxa"/>
            <w:vAlign w:val="bottom"/>
          </w:tcPr>
          <w:p>
            <w:pPr>
              <w:spacing w:after="0"/>
              <w:rPr>
                <w:sz w:val="18"/>
                <w:szCs w:val="18"/>
                <w:color w:val="auto"/>
              </w:rPr>
            </w:pPr>
          </w:p>
        </w:tc>
      </w:tr>
      <w:tr>
        <w:trPr>
          <w:trHeight w:val="27"/>
        </w:trPr>
        <w:tc>
          <w:tcPr>
            <w:tcW w:w="4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200,105</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413,206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475,210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435,226</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Nonaccrual loans totaled $874 million or 1.36% of outstanding loans and leases at December 31, 2013, compared with $1.01 billion or 1.52% at December 31, 2012 and $1.10 billion or 1.83% at December 31, 2011. The decline in nonaccrual loans at the end of 2013 as compared with December 31, 2012 and 2011 was largely due to lower commercial loans and commercial real estate loans on nonaccrual status. Since December 31, 2011, additions to nonaccrual loans were more than offset by the impact on such loans from payments received and charge-offs. Nevertheless, conditions in the U.S. economy have continued to result in generally higher levels of nonaccrual loans than historically experienced by the Company.</w:t>
      </w:r>
    </w:p>
    <w:p>
      <w:pPr>
        <w:spacing w:after="0" w:line="2" w:lineRule="exact"/>
        <w:rPr>
          <w:sz w:val="20"/>
          <w:szCs w:val="20"/>
          <w:color w:val="auto"/>
        </w:rPr>
      </w:pPr>
    </w:p>
    <w:p>
      <w:pPr>
        <w:ind w:right="160" w:firstLine="685"/>
        <w:spacing w:after="0" w:line="287" w:lineRule="auto"/>
        <w:rPr>
          <w:sz w:val="20"/>
          <w:szCs w:val="20"/>
          <w:color w:val="auto"/>
        </w:rPr>
      </w:pPr>
      <w:r>
        <w:rPr>
          <w:rFonts w:ascii="Arial" w:cs="Arial" w:eastAsia="Arial" w:hAnsi="Arial"/>
          <w:sz w:val="16"/>
          <w:szCs w:val="16"/>
          <w:color w:val="auto"/>
        </w:rPr>
        <w:t>Accruing loans past due 90 days or more (excluding acquired loans) totaled $369 million or .58% of total loans and leases at December 31, 2013, compared with $358 million or .54% at December 31, 2012 and $288 million or .48% at December 31, 2011. Those loans included loans guaranteed by government-related entities of $298 million, $316 million and $253 million at December 31, 2013, 2012 and 2011, respectively.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aggregated $255 million at December 31, 2013, $294 million at December 31, 2012 and $241 million at December 31, 2011. The remaining loans in this classification were loans considered to be with creditworthy borrowers that were in the process of collection or renewal. A summary of nonperforming assets and certain past due, renegotiated and impaired loan data and credit quality ratios is presented in table 12.</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874,156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1,013,176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1,097,581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1,139,740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1,255,552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Real estate and other foreclosed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156,592</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220,049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941,031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1,117,455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1,254,173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1,359,789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1,350,156</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368,510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358,397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287,876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250,705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Nonaccrual loans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63,647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57,420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40,529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39,883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297,918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252,503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207,243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193,495</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Renegotiated loans</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257,092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271,971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214,379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233,342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163,738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55,638</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Purchased impaired loans(c):</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579,975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1,267,762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219,477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200"/>
              <w:spacing w:after="0"/>
              <w:rPr>
                <w:sz w:val="20"/>
                <w:szCs w:val="20"/>
                <w:color w:val="auto"/>
              </w:rPr>
            </w:pPr>
            <w:r>
              <w:rPr>
                <w:rFonts w:ascii="Arial" w:cs="Arial" w:eastAsia="Arial" w:hAnsi="Arial"/>
                <w:sz w:val="18"/>
                <w:szCs w:val="18"/>
                <w:color w:val="auto"/>
              </w:rPr>
              <w:t>Carrying amount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330,792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447,114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653,362</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97,019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88,170</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Nonaccrual loans to total loans and leases, net of unearned discount</w:t>
            </w:r>
          </w:p>
        </w:tc>
        <w:tc>
          <w:tcPr>
            <w:tcW w:w="12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1.36%</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1.52%</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1.83%</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8"/>
        </w:trPr>
        <w:tc>
          <w:tcPr>
            <w:tcW w:w="5120" w:type="dxa"/>
            <w:vAlign w:val="bottom"/>
            <w:gridSpan w:val="2"/>
          </w:tcPr>
          <w:p>
            <w:pPr>
              <w:spacing w:after="0"/>
              <w:rPr>
                <w:sz w:val="20"/>
                <w:szCs w:val="20"/>
                <w:color w:val="auto"/>
              </w:rPr>
            </w:pPr>
            <w:r>
              <w:rPr>
                <w:rFonts w:ascii="Arial" w:cs="Arial" w:eastAsia="Arial" w:hAnsi="Arial"/>
                <w:sz w:val="18"/>
                <w:szCs w:val="18"/>
                <w:color w:val="auto"/>
                <w:w w:val="96"/>
              </w:rPr>
              <w:t>Nonperforming assets to total net loans and leases and real estate</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and other foreclosed assets</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1.47%</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1.68%</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2.08%</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2.60%</w:t>
            </w: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Accruing loans past due 90 days or more(a) to total loans and</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leases, net of unearned discount</w:t>
            </w:r>
          </w:p>
        </w:tc>
        <w:tc>
          <w:tcPr>
            <w:tcW w:w="12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.58%</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.54%</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.48%</w:t>
            </w: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108"/>
        </w:trPr>
        <w:tc>
          <w:tcPr>
            <w:tcW w:w="15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7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90"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$331 million at December 31, 2013, or .5% of total loans. Purchased impaired loans totaled $447 million at December 31, 2012. The decline in such loans during 2013 was predominantly the result of payments received from customers.</w:t>
      </w:r>
    </w:p>
    <w:p>
      <w:pPr>
        <w:spacing w:after="0" w:line="1" w:lineRule="exact"/>
        <w:rPr>
          <w:sz w:val="20"/>
          <w:szCs w:val="20"/>
          <w:color w:val="auto"/>
        </w:rPr>
      </w:pPr>
    </w:p>
    <w:p>
      <w:pPr>
        <w:ind w:right="400" w:firstLine="685"/>
        <w:spacing w:after="0" w:line="281" w:lineRule="auto"/>
        <w:rPr>
          <w:sz w:val="20"/>
          <w:szCs w:val="20"/>
          <w:color w:val="auto"/>
        </w:rPr>
      </w:pPr>
      <w:r>
        <w:rPr>
          <w:rFonts w:ascii="Arial" w:cs="Arial" w:eastAsia="Arial" w:hAnsi="Arial"/>
          <w:sz w:val="16"/>
          <w:szCs w:val="16"/>
          <w:color w:val="auto"/>
        </w:rPr>
        <w:t>Acquired accruing loans past due 90 days or more are loans that could not be specifically identified as impaired as of the acquisition date, but were recorded at estimated fair value as of such date. Such loans totaled $130 million at December 31, 2013 and $167 million at December 31, 2012.</w:t>
      </w:r>
    </w:p>
    <w:p>
      <w:pPr>
        <w:spacing w:after="0" w:line="1" w:lineRule="exact"/>
        <w:rPr>
          <w:sz w:val="20"/>
          <w:szCs w:val="20"/>
          <w:color w:val="auto"/>
        </w:rPr>
      </w:pPr>
    </w:p>
    <w:p>
      <w:pPr>
        <w:ind w:right="120" w:firstLine="685"/>
        <w:spacing w:after="0" w:line="252"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303" w:lineRule="auto"/>
        <w:rPr>
          <w:sz w:val="20"/>
          <w:szCs w:val="20"/>
          <w:color w:val="auto"/>
        </w:rPr>
      </w:pPr>
      <w:r>
        <w:rPr>
          <w:rFonts w:ascii="Arial" w:cs="Arial" w:eastAsia="Arial" w:hAnsi="Arial"/>
          <w:sz w:val="15"/>
          <w:szCs w:val="15"/>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$206 million and $167 million at December 31, 2013 and December 31, 2012, respectively.</w:t>
      </w:r>
    </w:p>
    <w:p>
      <w:pPr>
        <w:spacing w:after="0" w:line="1"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Net charge-offs of commercial loans and leases were $98 million in 2013, $30 million in 2012 and $45 million in 2011. Reflected in net charge-offs of commercial loans and leases in 2013 were $49 million of charge-offs for a relationship with a motor vehicle-related parts wholesaler. Commercial loans and leases in nonaccrual status aggregated $111 million at December 31, 2013, $152 million at December 31, 2012 and $164 million at December 31, 2011.</w:t>
      </w:r>
    </w:p>
    <w:p>
      <w:pPr>
        <w:spacing w:after="0" w:line="2"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Charge-offs of commercial real estate loans, net of recoveries, during 2013, 2012 and 2011 totaled $12 million, $36 million and $77 million, respectively. Reflected in such charge-offs in 2013 were net recoveries of $12 million of loans to residential real estate builders and developers, compared with net charge-offs of $23 million and $55 million in 2012 and 2011, respectively. Commercial real estate loans classified as nonaccrual aggregated $305 million at December 31, 2013, compared with $412 million at December 31, 2012 and $559 million at December 31, 2011. The decrease in such loans from December 31, 2012 to December 31, 2013 was due to lower nonaccrual loans to residential homebuilders and developers. The decline in commercial real estate loans in nonaccrual status from the 2011 year-end to December 31, 2012 was largely attributable to a decrease in loans to residential homebuilders and developers in this category and to the impact of a payoff in 2012’s second quarter of a $58 million construction loan to an owner/operator of retirement and assisted living facilities. At December 31, 2013 and 2012, commercial real estate loans to residential homebuilders and developers classified as nonaccrual aggregated $96 million and $182 million, respectively, compared with $281 million at December 31, 2011. Information about the location of nonaccrual and charged-off loans to residential real estate builders and developers as of and for the year ended December 31, 2013 is presented in table 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RESIDENTIAL BUILDER AND DEVELOPER LOANS, NET OF UNEARNED DISCOUNT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right"/>
              <w:ind w:right="1760"/>
              <w:spacing w:after="0"/>
              <w:rPr>
                <w:sz w:val="20"/>
                <w:szCs w:val="20"/>
                <w:color w:val="auto"/>
              </w:rPr>
            </w:pPr>
            <w:r>
              <w:rPr>
                <w:rFonts w:ascii="Arial" w:cs="Arial" w:eastAsia="Arial" w:hAnsi="Arial"/>
                <w:sz w:val="14"/>
                <w:szCs w:val="14"/>
                <w:b w:val="1"/>
                <w:bCs w:val="1"/>
                <w:color w:val="auto"/>
                <w:w w:val="98"/>
              </w:rPr>
              <w:t>December 31, 2013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5"/>
              </w:rPr>
              <w:t>December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right"/>
              <w:ind w:right="572"/>
              <w:spacing w:after="0" w:line="142" w:lineRule="exact"/>
              <w:rPr>
                <w:sz w:val="20"/>
                <w:szCs w:val="20"/>
                <w:color w:val="auto"/>
              </w:rPr>
            </w:pPr>
            <w:r>
              <w:rPr>
                <w:rFonts w:ascii="Arial" w:cs="Arial" w:eastAsia="Arial" w:hAnsi="Arial"/>
                <w:sz w:val="14"/>
                <w:szCs w:val="14"/>
                <w:b w:val="1"/>
                <w:bCs w:val="1"/>
                <w:color w:val="auto"/>
                <w:w w:val="91"/>
              </w:rPr>
              <w:t>Nonaccrual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86"/>
              </w:rPr>
              <w:t>Net Charge-offs (Recoveries)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 Average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Balances(a)</w:t>
            </w:r>
          </w:p>
        </w:tc>
        <w:tc>
          <w:tcPr>
            <w:tcW w:w="4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Balances</w:t>
            </w:r>
          </w:p>
        </w:tc>
        <w:tc>
          <w:tcPr>
            <w:tcW w:w="64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Balances</w:t>
            </w:r>
          </w:p>
        </w:tc>
        <w:tc>
          <w:tcPr>
            <w:tcW w:w="120" w:type="dxa"/>
            <w:vAlign w:val="bottom"/>
          </w:tcPr>
          <w:p>
            <w:pPr>
              <w:spacing w:after="0"/>
              <w:rPr>
                <w:sz w:val="14"/>
                <w:szCs w:val="14"/>
                <w:color w:val="auto"/>
              </w:rPr>
            </w:pPr>
          </w:p>
        </w:tc>
        <w:tc>
          <w:tcPr>
            <w:tcW w:w="7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1"/>
              </w:rPr>
              <w:t>Balances</w:t>
            </w:r>
          </w:p>
        </w:tc>
        <w:tc>
          <w:tcPr>
            <w:tcW w:w="5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454,014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299</w:t>
            </w:r>
          </w:p>
        </w:tc>
        <w:tc>
          <w:tcPr>
            <w:tcW w:w="1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115,389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47,288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40.98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583</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Mid-Atlantic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496,258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40,518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(11,623)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242,032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(838)</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1,307,693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98,077</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(11,579)</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$31 million of loans not secured by real estate, of which approximately $2 million are in nonaccrual status.</w:t>
      </w:r>
    </w:p>
    <w:p>
      <w:pPr>
        <w:spacing w:after="0" w:line="90" w:lineRule="exact"/>
        <w:rPr>
          <w:sz w:val="20"/>
          <w:szCs w:val="20"/>
          <w:color w:val="auto"/>
        </w:rPr>
      </w:pPr>
    </w:p>
    <w:p>
      <w:pPr>
        <w:ind w:right="120" w:firstLine="685"/>
        <w:spacing w:after="0" w:line="290" w:lineRule="auto"/>
        <w:rPr>
          <w:sz w:val="20"/>
          <w:szCs w:val="20"/>
          <w:color w:val="auto"/>
        </w:rPr>
      </w:pPr>
      <w:r>
        <w:rPr>
          <w:rFonts w:ascii="Arial" w:cs="Arial" w:eastAsia="Arial" w:hAnsi="Arial"/>
          <w:sz w:val="16"/>
          <w:szCs w:val="16"/>
          <w:color w:val="auto"/>
        </w:rPr>
        <w:t>Residential real estate loan net charge-offs totaled $13 million in 2013, $38 million in 2012 and $52 million in 2011. The lower charge-offs of such loans in 2013 as compared with 2012 reflect lower Alt-A loan charge-offs and generally improved economic conditions. Nonaccrual residential real estate loans at December 31, 2013 totaled $334 million, compared with $345 million and $278 million at December 31, 2012 and 2011, respectively. The increase in residential real estate loans classified as nonaccrual from December 31, 2011 to the 2012 year-end was predominantly related to the addition of $64 million of loans to one customer that are secured by residential real estate. Depressed real estate values and high levels of delinquencies have contributed to the higher than historical levels of residential real estate loans classified as nonaccrual. Net charge-offs of Alt-A loans were $8 million in 2013, $20 million in 2012 and $32 million in 2011. Nonaccrual Alt-A loans aggregated $81 million at December 31, 2013, compared with $96 million and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$105 million at December 31, 2012 and 2011, respectively. Residential real estate loans past due 90 days or more and accruing interest (excluding acquired loans) totaled $295 million, $313 million and $250 million at December 31, 2013, 2012 and 2011, respectively. A substantial portion of such amounts related to guaranteed loans repurchased from government-related entities. Information about the location of nonaccrual and charged-off residential real estate loans as of and for the year ended December 31, 2013 is presented in table 14.</w:t>
      </w:r>
    </w:p>
    <w:p>
      <w:pPr>
        <w:spacing w:after="0" w:line="1" w:lineRule="exact"/>
        <w:rPr>
          <w:sz w:val="20"/>
          <w:szCs w:val="20"/>
          <w:color w:val="auto"/>
        </w:rPr>
      </w:pPr>
    </w:p>
    <w:p>
      <w:pPr>
        <w:ind w:right="40" w:firstLine="685"/>
        <w:spacing w:after="0" w:line="285" w:lineRule="auto"/>
        <w:rPr>
          <w:sz w:val="20"/>
          <w:szCs w:val="20"/>
          <w:color w:val="auto"/>
        </w:rPr>
      </w:pPr>
      <w:r>
        <w:rPr>
          <w:rFonts w:ascii="Arial" w:cs="Arial" w:eastAsia="Arial" w:hAnsi="Arial"/>
          <w:sz w:val="16"/>
          <w:szCs w:val="16"/>
          <w:color w:val="auto"/>
        </w:rPr>
        <w:t>Net charge-offs of consumer loans during 2013 were $60 million, compared with $83 million in 2012 and $91 million in 2011. Included in net charge-offs of consumer loans were: automobile loans of $11 million during 2013, $14 million during 2012 and $22 million during 2011; recreational vehicle loans of $15 million, $18 million and $21 million during 2013, 2012 and 2011, respectively; and home equity loans and lines of credit secured by one-to-four family residential properties of $12 million during 2013, $31 million during 2012 and $33 million during 2011. Reflected in net charge-offs of home equity loans and lines of credit in 2013 were $9 million of recoveries of previously charged-off loans related to a portfolio of loans acquired in 2007. Nonaccrual consumer loans totaled $125 million at December 31, 2013, compared with $104 million and $97 million at December 31, 2012 and 2011, respectively. Included in nonaccrual consumer loans at the 2013, 2012 and 2011 year-ends were: automobile loans of $21 million, $25 million and $27 million, respectively; recreational vehicle loans of $12 million, $10 million and $13 million, respectively; and outstanding balances of home equity loans and lines of credit, including junior lien Alt-A loans, of $79 million, $58 million and $47 million, respectively. The increase in nonaccrual home equity loans and lines of credit in 2013 reflects the Company’s ability to now better identify when related senior lien loans not owned or serviced by the Company have a delinquency in payment that results in the home equity loan or line of credit being placed in nonaccrual status. Information about the location of nonaccrual and charged-off home equity loans and lines of credit as of and for the year ended December 31, 2013 is presented in table 14.</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RESIDENTIAL REAL ESTATE-RELATED LOAN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6"/>
            <w:vMerge w:val="restart"/>
          </w:tcPr>
          <w:p>
            <w:pPr>
              <w:jc w:val="right"/>
              <w:ind w:right="1580"/>
              <w:spacing w:after="0"/>
              <w:rPr>
                <w:sz w:val="20"/>
                <w:szCs w:val="20"/>
                <w:color w:val="auto"/>
              </w:rPr>
            </w:pPr>
            <w:r>
              <w:rPr>
                <w:rFonts w:ascii="Arial" w:cs="Arial" w:eastAsia="Arial" w:hAnsi="Arial"/>
                <w:sz w:val="14"/>
                <w:szCs w:val="14"/>
                <w:b w:val="1"/>
                <w:bCs w:val="1"/>
                <w:color w:val="auto"/>
                <w:w w:val="95"/>
              </w:rPr>
              <w:t>December 31, 2013</w:t>
            </w:r>
          </w:p>
        </w:tc>
        <w:tc>
          <w:tcPr>
            <w:tcW w:w="140" w:type="dxa"/>
            <w:vAlign w:val="bottom"/>
          </w:tcPr>
          <w:p>
            <w:pPr>
              <w:spacing w:after="0"/>
              <w:rPr>
                <w:sz w:val="14"/>
                <w:szCs w:val="14"/>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December 31, 2013</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6"/>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72"/>
              <w:spacing w:after="0" w:line="142" w:lineRule="exact"/>
              <w:rPr>
                <w:sz w:val="20"/>
                <w:szCs w:val="20"/>
                <w:color w:val="auto"/>
              </w:rPr>
            </w:pPr>
            <w:r>
              <w:rPr>
                <w:rFonts w:ascii="Arial" w:cs="Arial" w:eastAsia="Arial" w:hAnsi="Arial"/>
                <w:sz w:val="14"/>
                <w:szCs w:val="14"/>
                <w:b w:val="1"/>
                <w:bCs w:val="1"/>
                <w:color w:val="auto"/>
                <w:w w:val="87"/>
              </w:rPr>
              <w:t>Net Charge-offs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492"/>
              <w:spacing w:after="0" w:line="142" w:lineRule="exact"/>
              <w:rPr>
                <w:sz w:val="20"/>
                <w:szCs w:val="20"/>
                <w:color w:val="auto"/>
              </w:rPr>
            </w:pPr>
            <w:r>
              <w:rPr>
                <w:rFonts w:ascii="Arial" w:cs="Arial" w:eastAsia="Arial" w:hAnsi="Arial"/>
                <w:sz w:val="14"/>
                <w:szCs w:val="14"/>
                <w:b w:val="1"/>
                <w:bCs w:val="1"/>
                <w:color w:val="auto"/>
                <w:w w:val="89"/>
              </w:rPr>
              <w:t>Nonaccrual</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Percent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Balances</w:t>
            </w:r>
          </w:p>
        </w:tc>
        <w:tc>
          <w:tcPr>
            <w:tcW w:w="480" w:type="dxa"/>
            <w:vAlign w:val="bottom"/>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1"/>
              </w:rPr>
              <w:t>Balances</w:t>
            </w:r>
          </w:p>
        </w:tc>
        <w:tc>
          <w:tcPr>
            <w:tcW w:w="520" w:type="dxa"/>
            <w:vAlign w:val="bottom"/>
          </w:tcPr>
          <w:p>
            <w:pPr>
              <w:spacing w:after="0"/>
              <w:rPr>
                <w:sz w:val="12"/>
                <w:szCs w:val="12"/>
                <w:color w:val="auto"/>
              </w:rPr>
            </w:pPr>
          </w:p>
        </w:tc>
        <w:tc>
          <w:tcPr>
            <w:tcW w:w="13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1"/>
              </w:rPr>
              <w:t>Balances</w:t>
            </w:r>
          </w:p>
        </w:tc>
        <w:tc>
          <w:tcPr>
            <w:tcW w:w="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Balances</w:t>
            </w:r>
          </w:p>
        </w:tc>
        <w:tc>
          <w:tcPr>
            <w:tcW w:w="500" w:type="dxa"/>
            <w:vAlign w:val="bottom"/>
          </w:tcPr>
          <w:p>
            <w:pPr>
              <w:spacing w:after="0"/>
              <w:rPr>
                <w:sz w:val="12"/>
                <w:szCs w:val="12"/>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1"/>
              </w:rPr>
              <w:t>Balances</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Residential mortgages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3,636,005</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68,847</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1,656</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1,199,062</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19,159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1,409</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2,122,428</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34,038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1,458</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1,554,328</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2"/>
              </w:rPr>
              <w:t>129,263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1,224</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8,511,823</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u w:val="single" w:color="auto"/>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82"/>
              </w:rPr>
              <w:t>251,307</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2.95%</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5,747</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Residential construction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7,098</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1.90%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1,569</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7,694</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17,653</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34,014</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1,498</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4.40%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w:t>
            </w:r>
          </w:p>
        </w:tc>
        <w:tc>
          <w:tcPr>
            <w:tcW w:w="144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first mortgages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63,182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17,693</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1,712</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11,489</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2,909</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74,631</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11,904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706</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233,082</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48,616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20.86</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5,057</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382,384</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7"/>
              </w:rPr>
              <w:t>81,122</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21.21%</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7,647</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junior lien</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1,430</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262</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18.32%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434</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3,447</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8,350</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1,007</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13,661</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1,414</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10.35%</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1,286</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24,862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2,042</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8.21%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80,445</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2,620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99,834</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2,913</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208,054</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5,352</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2.57%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523</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lines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1,392,002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10,870</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.78%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1,435</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844,966</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5,835</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636</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881,500</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3,864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389</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31,921</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1,610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3,150,389</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7"/>
              </w:rPr>
              <w:t>22,179</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.70%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2,560</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loans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19,432</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2,614</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13.45%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595</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23,330</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401</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77,410</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1,541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863</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9,714</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129,886</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5,147</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3.96%</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1,822</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lines</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2080" w:type="dxa"/>
            <w:vAlign w:val="bottom"/>
            <w:gridSpan w:val="2"/>
          </w:tcPr>
          <w:p>
            <w:pPr>
              <w:ind w:left="20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960,360</w:t>
            </w: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29,627</w:t>
            </w:r>
          </w:p>
        </w:tc>
        <w:tc>
          <w:tcPr>
            <w:tcW w:w="18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3.08%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3,133</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391,383</w:t>
            </w: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3,563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648</w:t>
            </w:r>
          </w:p>
        </w:tc>
        <w:tc>
          <w:tcPr>
            <w:tcW w:w="14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1,198,860</w:t>
            </w:r>
          </w:p>
        </w:tc>
        <w:tc>
          <w:tcPr>
            <w:tcW w:w="4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8,438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2,023</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69,196</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14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2,619,799</w:t>
            </w:r>
          </w:p>
        </w:tc>
        <w:tc>
          <w:tcPr>
            <w:tcW w:w="120" w:type="dxa"/>
            <w:vAlign w:val="bottom"/>
          </w:tcPr>
          <w:p>
            <w:pPr>
              <w:spacing w:after="0"/>
              <w:rPr>
                <w:sz w:val="13"/>
                <w:szCs w:val="13"/>
                <w:color w:val="auto"/>
              </w:rPr>
            </w:pPr>
          </w:p>
        </w:tc>
        <w:tc>
          <w:tcPr>
            <w:tcW w:w="480" w:type="dxa"/>
            <w:vAlign w:val="bottom"/>
          </w:tcPr>
          <w:p>
            <w:pPr>
              <w:ind w:left="420"/>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7"/>
              </w:rPr>
              <w:t>44,424</w:t>
            </w:r>
          </w:p>
        </w:tc>
        <w:tc>
          <w:tcPr>
            <w:tcW w:w="1860" w:type="dxa"/>
            <w:vAlign w:val="bottom"/>
            <w:gridSpan w:val="3"/>
          </w:tcPr>
          <w:p>
            <w:pPr>
              <w:jc w:val="right"/>
              <w:ind w:right="500"/>
              <w:spacing w:after="0" w:line="155" w:lineRule="exact"/>
              <w:rPr>
                <w:sz w:val="20"/>
                <w:szCs w:val="20"/>
                <w:color w:val="auto"/>
              </w:rPr>
            </w:pPr>
            <w:r>
              <w:rPr>
                <w:rFonts w:ascii="Arial" w:cs="Arial" w:eastAsia="Arial" w:hAnsi="Arial"/>
                <w:sz w:val="14"/>
                <w:szCs w:val="14"/>
                <w:color w:val="auto"/>
              </w:rPr>
              <w:t>1.70%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5,533</w:t>
            </w:r>
          </w:p>
        </w:tc>
        <w:tc>
          <w:tcPr>
            <w:tcW w:w="144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4"/>
                <w:szCs w:val="14"/>
                <w:color w:val="auto"/>
              </w:rPr>
              <w:t>64</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76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about past due and nonaccrual loans as of December 31, 2013 is also included in note 4 of Notes to Financial Statements.</w:t>
      </w:r>
    </w:p>
    <w:p>
      <w:pPr>
        <w:spacing w:after="0" w:line="15"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Real estate and other foreclosed assets totaled $67 million at December 31, 2013, compared with $104 million at December 31, 2012 and $157 million at December 31, 2011. The decline in real estate and other foreclosed assets during 2013 and 2012 reflects sales of such assets. No significant gains or losses occurred as a result of those sales. At December 31, 2013, the Company’s holding of residential real estate-related properties comprised approximately 75% of foreclosed assets.</w:t>
      </w:r>
    </w:p>
    <w:p>
      <w:pPr>
        <w:spacing w:after="0" w:line="2"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w:t>
      </w:r>
    </w:p>
    <w:p>
      <w:pPr>
        <w:spacing w:after="0" w:line="5" w:lineRule="exact"/>
        <w:rPr>
          <w:sz w:val="20"/>
          <w:szCs w:val="20"/>
          <w:color w:val="auto"/>
        </w:rPr>
      </w:pPr>
    </w:p>
    <w:p>
      <w:pPr>
        <w:ind w:right="420" w:firstLine="8"/>
        <w:spacing w:after="0" w:line="281"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 w:lineRule="exact"/>
        <w:rPr>
          <w:rFonts w:ascii="Arial" w:cs="Arial" w:eastAsia="Arial" w:hAnsi="Arial"/>
          <w:sz w:val="16"/>
          <w:szCs w:val="16"/>
          <w:color w:val="auto"/>
        </w:rPr>
      </w:pPr>
    </w:p>
    <w:p>
      <w:pPr>
        <w:ind w:right="60" w:firstLine="685"/>
        <w:spacing w:after="0" w:line="281" w:lineRule="auto"/>
        <w:rPr>
          <w:rFonts w:ascii="Arial" w:cs="Arial" w:eastAsia="Arial" w:hAnsi="Arial"/>
          <w:sz w:val="16"/>
          <w:szCs w:val="16"/>
          <w:color w:val="auto"/>
        </w:rPr>
      </w:pPr>
      <w:r>
        <w:rPr>
          <w:rFonts w:ascii="Arial" w:cs="Arial" w:eastAsia="Arial" w:hAnsi="Arial"/>
          <w:sz w:val="16"/>
          <w:szCs w:val="16"/>
          <w:color w:val="auto"/>
        </w:rPr>
        <w:t>Management cautiously and conservatively evaluated the allowance for credit losses as of December 31, 2013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and sustainability of such improvements; the slowly strengthening housing market; the troubled state of financial and credit markets; Federal Reserve positioning of monetary policy; high levels of unemployment; and continued stagnant population growth in the upstate New York and central Pennsylvania regions (approximately 60% of the Company’s loans are to customers in New York State and Pennsylvania).</w:t>
      </w:r>
    </w:p>
    <w:p>
      <w:pPr>
        <w:spacing w:after="0" w:line="5" w:lineRule="exact"/>
        <w:rPr>
          <w:rFonts w:ascii="Arial" w:cs="Arial" w:eastAsia="Arial" w:hAnsi="Arial"/>
          <w:sz w:val="16"/>
          <w:szCs w:val="16"/>
          <w:color w:val="auto"/>
        </w:rPr>
      </w:pPr>
    </w:p>
    <w:p>
      <w:pPr>
        <w:ind w:firstLine="685"/>
        <w:spacing w:after="0" w:line="285" w:lineRule="auto"/>
        <w:rPr>
          <w:rFonts w:ascii="Arial" w:cs="Arial" w:eastAsia="Arial" w:hAnsi="Arial"/>
          <w:sz w:val="16"/>
          <w:szCs w:val="16"/>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$1.8 billion at December 31, 2013, compared with $2.4 billion at December 31, 2012.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December 31, 2013 approximately 55% of the Company’s home equity portfolio consisted of first lien loans and lines of credit. Of the remaining junior lien loans in the portfolio, approximately 75% (or approximately 34%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December 31, 2013, the balance of junior lien loans and lines that were in nonaccrual status solely as a result of first lien loan performance was $30 million, compared with $7 million at December 31, 2012 when such determination was based only on the status of related senior lien loans that were owned or serviced by the Company. At December 31, 2013, approximately $22 million of the $30 million referred to above related to loans where the senior lien loan was not owned or serviced by the Company.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precise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December 31, 2013, approximately 95% of all outstanding balances of home equity lines of credit related to lines that were still in the draw period, the weighted-average remaining draw periods were approximately five years, and approximately 21% were making contractually allowed payments that do not include any repayment of principal.</w:t>
      </w:r>
    </w:p>
    <w:p>
      <w:pPr>
        <w:spacing w:after="0" w:line="3"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3" w:lineRule="exact"/>
        <w:rPr>
          <w:sz w:val="20"/>
          <w:szCs w:val="20"/>
          <w:color w:val="auto"/>
        </w:rPr>
      </w:pPr>
    </w:p>
    <w:p>
      <w:pPr>
        <w:ind w:right="60" w:firstLine="685"/>
        <w:spacing w:after="0" w:line="361" w:lineRule="auto"/>
        <w:rPr>
          <w:sz w:val="20"/>
          <w:szCs w:val="20"/>
          <w:color w:val="auto"/>
        </w:rPr>
      </w:pPr>
      <w:r>
        <w:rPr>
          <w:rFonts w:ascii="Arial" w:cs="Arial" w:eastAsia="Arial" w:hAnsi="Arial"/>
          <w:sz w:val="15"/>
          <w:szCs w:val="15"/>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the factors and uses the techniques described herein and in note 5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w:t>
      </w:r>
    </w:p>
    <w:p>
      <w:pPr>
        <w:spacing w:after="0" w:line="172" w:lineRule="exact"/>
        <w:rPr>
          <w:sz w:val="20"/>
          <w:szCs w:val="20"/>
          <w:color w:val="auto"/>
        </w:rPr>
      </w:pPr>
    </w:p>
    <w:p>
      <w:pPr>
        <w:ind w:right="40" w:firstLine="685"/>
        <w:spacing w:after="0" w:line="284" w:lineRule="auto"/>
        <w:rPr>
          <w:sz w:val="20"/>
          <w:szCs w:val="20"/>
          <w:color w:val="auto"/>
        </w:rPr>
      </w:pPr>
      <w:r>
        <w:rPr>
          <w:rFonts w:ascii="Arial" w:cs="Arial" w:eastAsia="Arial" w:hAnsi="Arial"/>
          <w:sz w:val="16"/>
          <w:szCs w:val="16"/>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 loan grading system which is applied to all commercial loans and commercial real estate loans. As previously described,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in particular, the large concentrations of commercial real estate loans serviced by properties in the New York</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City metropolitan area and other areas of New York State; and (iii) additional risk associated with the Company’s portfolio of consumer loans, in particular automobile loans and leases, which generally have higher rates of loss than other types of collateralized loans.</w:t>
      </w:r>
    </w:p>
    <w:p>
      <w:pPr>
        <w:ind w:right="100" w:firstLine="685"/>
        <w:spacing w:after="0" w:line="250"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In evaluating collateral, the Company relies extensively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Economic indicators in the most significant market regions served by the Company continued to improve modestly in 2013 but remained generally below pre-recession levels. For example, during 2013, private sector employment in most market areas served by the Company rose by 1.4%, trailing the 2.0% U.S. average. Private sector employment in 2013 increased 0.8% in upstate New York, 1.3% in areas of Pennsylvania served by the Company, 1.6% in Maryland, 1.4% in Greater Washington D.C. and 2.2% in the State of Delaware. In New York City, private sector employment increased by 2.4% in 2013, however, unemployment rates there remain elevated and are expected to continue at above historical levels during 2014. At the end of 2013 there remained significant concerns about the pace of national economic recovery from the recession, high unemployment, real estate valuations, high levels of consumer indebtedness, volatile energy prices, federal fiscal policy and emerging markets growth prospects that weigh on the global economic outlook. Those factors are expected to act as headwinds for the national economy in 2014.</w:t>
      </w:r>
    </w:p>
    <w:p>
      <w:pPr>
        <w:spacing w:after="0" w:line="10"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4" w:lineRule="exact"/>
        <w:rPr>
          <w:sz w:val="20"/>
          <w:szCs w:val="20"/>
          <w:color w:val="auto"/>
        </w:rPr>
      </w:pPr>
    </w:p>
    <w:p>
      <w:pPr>
        <w:ind w:firstLine="685"/>
        <w:spacing w:after="0" w:line="285" w:lineRule="auto"/>
        <w:rPr>
          <w:sz w:val="20"/>
          <w:szCs w:val="20"/>
          <w:color w:val="auto"/>
        </w:rPr>
      </w:pPr>
      <w:r>
        <w:rPr>
          <w:rFonts w:ascii="Arial" w:cs="Arial" w:eastAsia="Arial" w:hAnsi="Arial"/>
          <w:sz w:val="16"/>
          <w:szCs w:val="16"/>
          <w:color w:val="auto"/>
        </w:rPr>
        <w:t>A comparative allocation of the allowance for credit losses for each of the past five year-ends is presented in table 15.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were $889 million and $1.1 billion at December 31, 2013 and December 31, 2012, respectively. The allocated portion of the allowance for credit losses related to impaired loans totaled $93 million at December 31, 2013 and $133 million at December 31, 2012. The unallocated portion of the allowance for credit losses was equal to .12% and ..11% of gross loans outstanding at December 31, 2013 and 2012, respectively.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 OF THE ALLOWANCE FOR CREDIT LOSSES TO LOAN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$273,383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$246,759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$234,022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$212,579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403,634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425,908</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459,552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486,913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164,644</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179,418</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143,121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133,067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Unallocated</w:t>
            </w:r>
          </w:p>
        </w:tc>
        <w:tc>
          <w:tcPr>
            <w:tcW w:w="13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75,015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73,775</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71,595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70,382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916,676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902,941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878,022</w:t>
            </w:r>
          </w:p>
        </w:tc>
        <w:tc>
          <w:tcPr>
            <w:tcW w:w="0" w:type="dxa"/>
            <w:vAlign w:val="bottom"/>
          </w:tcPr>
          <w:p>
            <w:pPr>
              <w:spacing w:after="0"/>
              <w:rPr>
                <w:sz w:val="1"/>
                <w:szCs w:val="1"/>
                <w:color w:val="auto"/>
              </w:rPr>
            </w:pPr>
          </w:p>
        </w:tc>
      </w:tr>
      <w:tr>
        <w:trPr>
          <w:trHeight w:val="20"/>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a Percentage of Gross Loans</w:t>
            </w: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840" w:type="dxa"/>
            <w:vAlign w:val="bottom"/>
            <w:gridSpan w:val="4"/>
            <w:vMerge w:val="continue"/>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and Leases Outstanding</w:t>
            </w: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1.47%</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440" w:type="dxa"/>
            <w:vAlign w:val="bottom"/>
            <w:gridSpan w:val="3"/>
          </w:tcPr>
          <w:p>
            <w:pPr>
              <w:jc w:val="right"/>
              <w:ind w:right="420"/>
              <w:spacing w:after="0"/>
              <w:rPr>
                <w:sz w:val="20"/>
                <w:szCs w:val="20"/>
                <w:color w:val="auto"/>
              </w:rPr>
            </w:pPr>
            <w:r>
              <w:rPr>
                <w:rFonts w:ascii="Arial" w:cs="Arial" w:eastAsia="Arial" w:hAnsi="Arial"/>
                <w:sz w:val="18"/>
                <w:szCs w:val="18"/>
                <w:color w:val="auto"/>
              </w:rPr>
              <w:t>1.15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1.14</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1.42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Management believes that the allowance for credit losses at December 31, 2013 appropriately reflected credit losses inherent in the portfolio as of that date. The allowance for credit losses was $917 million or 1.43% of total loans and leases at December 31, 2013, compared with $926 million or 1.39% at December 31, 2012 and $908 million or 1.51% at December 31, 2011. The ratio of the allowance to total loans and leases at each respective year-end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During the third quarter of 2013, the allowance for credit losses was reduced by $11 million as a result of the $1.4 billion automobile loan securitization previously noted. The increase in the ratio of the allowance to total loans and leases from the 2012 year-end to December 31, 2013 was largely due to the automobile loan securitization and the securitization of $1.3 billion of FHA guaranteed residential real estate loans. The decline in the ratio of the allowance to total loans and leases from December 31, 2011 to the 2012 year end reflects the impact of newly originated loans for which significant losses had not been incurred as of December 31, 2012 as well as improvement in the levels of criticized and nonaccrual loans.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the end of 2013, 2012 and 2011 was 105%, 91% and 83%, respectively. Given the Company’s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5" w:lineRule="exact"/>
        <w:rPr>
          <w:sz w:val="20"/>
          <w:szCs w:val="20"/>
          <w:color w:val="auto"/>
        </w:rPr>
      </w:pPr>
    </w:p>
    <w:p>
      <w:pPr>
        <w:ind w:right="300" w:firstLine="685"/>
        <w:spacing w:after="0" w:line="281" w:lineRule="auto"/>
        <w:rPr>
          <w:sz w:val="20"/>
          <w:szCs w:val="20"/>
          <w:color w:val="auto"/>
        </w:rPr>
      </w:pPr>
      <w:r>
        <w:rPr>
          <w:rFonts w:ascii="Arial" w:cs="Arial" w:eastAsia="Arial" w:hAnsi="Arial"/>
          <w:sz w:val="16"/>
          <w:szCs w:val="16"/>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ind w:left="460"/>
        <w:spacing w:after="0" w:line="18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consumer loans and leases considered smaller balance homogenous loans and evaluated collectively, a 50 basis point increase in loss factors;</w:t>
      </w:r>
    </w:p>
    <w:p>
      <w:pPr>
        <w:ind w:left="700" w:right="2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residential real estate loans and home equity loans and lines of credit, also considered smaller balance homogenous loans and evaluated collectively, a 25% increase in estimated inherent losses; and</w:t>
      </w:r>
    </w:p>
    <w:p>
      <w:pPr>
        <w:spacing w:after="0" w:line="1" w:lineRule="exact"/>
        <w:rPr>
          <w:sz w:val="20"/>
          <w:szCs w:val="20"/>
          <w:color w:val="auto"/>
        </w:rPr>
      </w:pP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lower-ranked risk grades resulting in a 25% increase in the balance of classified credits in each risk grade.</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possible improvement in credit quality factors, the scenarios assumed were:</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consumer loans and leases, a 20 basis point decrease in loss factors;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residential real estate loans and home equity loans and lines of credit, a 10% decrease in estimated inherent losses; and</w:t>
      </w:r>
    </w:p>
    <w:p>
      <w:pPr>
        <w:ind w:left="700" w:right="2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higher-ranked risk grades resulting in a 5% decrease in the balance of classified credits in each risk grade.</w:t>
      </w:r>
    </w:p>
    <w:p>
      <w:pPr>
        <w:spacing w:after="0" w:line="77" w:lineRule="exact"/>
        <w:rPr>
          <w:sz w:val="20"/>
          <w:szCs w:val="20"/>
          <w:color w:val="auto"/>
        </w:rPr>
      </w:pPr>
    </w:p>
    <w:p>
      <w:pPr>
        <w:ind w:right="80" w:firstLine="685"/>
        <w:spacing w:after="0" w:line="284" w:lineRule="auto"/>
        <w:rPr>
          <w:sz w:val="20"/>
          <w:szCs w:val="20"/>
          <w:color w:val="auto"/>
        </w:rPr>
      </w:pPr>
      <w:r>
        <w:rPr>
          <w:rFonts w:ascii="Arial" w:cs="Arial" w:eastAsia="Arial" w:hAnsi="Arial"/>
          <w:sz w:val="16"/>
          <w:szCs w:val="16"/>
          <w:color w:val="auto"/>
        </w:rPr>
        <w:t>The scenario analyses resulted in an additional $75 million that could be identifiable under the assumptions for credit deterioration, whereas under the assumptions for credit improvement a $25 million reduction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right="40" w:firstLine="685"/>
        <w:spacing w:after="0" w:line="302" w:lineRule="auto"/>
        <w:rPr>
          <w:sz w:val="20"/>
          <w:szCs w:val="20"/>
          <w:color w:val="auto"/>
        </w:rPr>
      </w:pPr>
      <w:r>
        <w:rPr>
          <w:rFonts w:ascii="Arial" w:cs="Arial" w:eastAsia="Arial" w:hAnsi="Arial"/>
          <w:sz w:val="16"/>
          <w:szCs w:val="16"/>
          <w:color w:val="auto"/>
        </w:rPr>
        <w:t>Investor-owned commercial real estate loans secured by retail properties in the New York City metropolitan area represented 3% of loans outstanding at December 31, 2013. The Company had no concentrations of credit extended to any specific industry that exceeded 10% of total loans at December 31, 2013. Outstanding loans to foreign borrowers were $192 million at December 31, 2013, or .3% of total loans and leases.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Other income totaled $1.87 billion in 2013, up 12% from $1.67 billion in 2012. Reflected in such income were net gains and losses on investment securities (including other-than-temporary impairment losses), which totaled to a net gain of $47 million in 2013 and to a net loss of $48 million in 2012. Also reflected in noninterest income in 2013 were gains from securitization activities of $63 million. Excluding the specific items mentioned above, noninterest income was $1.76 billion in 2013, up $40 million from $1.72 billion in 2012. Higher trust, brokerage services and credit card interchange income in 2013 was partially offset by lower mortgage banking revenues.</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Other income in 2012 was 5% higher than the $1.58 billion earned in 2011. As noted above, reflected in other income in 2012 were net losses from bank investment securities of $48 million, compared with net gains of $73 million in 2011. Excluding the impact of securities gains and losses from both years, as well as the $55 million CDO litigation settlement and the $65 million gain recognized on the acquisition of Wilmington Trust in 2011, other income of</w:t>
      </w:r>
    </w:p>
    <w:p>
      <w:pPr>
        <w:spacing w:after="0" w:line="2"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$1.72 billion in 2012 was up $325 million from $1.39 billion in 2011. The predominant contributors to that rise in noninterest income were higher levels of mortgage banking revenues and trust income, the latter reflecting the full-year impact of the acquisition of Wilmington Trust.</w:t>
      </w:r>
    </w:p>
    <w:p>
      <w:pPr>
        <w:spacing w:after="0" w:line="1"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Mortgage banking revenues totaled $331 million in 2013, $349 million in 2012 and $166 million in 2011.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$251 million in 2013, $264 million in 2012 and $103 million in 2011. The decline in residential mortgage banking revenues from 2012 to 2013 was due to narrower margins on loans originated for sale. The significantly higher level of residential mortgage banking revenues in 2012 as compared with 2011 resulted from increased volumes of loans originated for sale and wider margins related to such loans. Those higher volumes reflected increased refinancing activities by consumers in light of the low interest rate environment and included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was set to expire December 31, 2013, but was extended and will now be available to borrowers through December 31, 2015. Nevertheless, volumes associated with that program have curtailed as mortgage loan interest rates have risen and following the significant re-financing activity that has already taken place.</w:t>
      </w:r>
    </w:p>
    <w:p>
      <w:pPr>
        <w:spacing w:after="0" w:line="7" w:lineRule="exact"/>
        <w:rPr>
          <w:sz w:val="20"/>
          <w:szCs w:val="20"/>
          <w:color w:val="auto"/>
        </w:rPr>
      </w:pPr>
    </w:p>
    <w:p>
      <w:pPr>
        <w:ind w:firstLine="685"/>
        <w:spacing w:after="0" w:line="323" w:lineRule="auto"/>
        <w:rPr>
          <w:sz w:val="20"/>
          <w:szCs w:val="20"/>
          <w:color w:val="auto"/>
        </w:rPr>
      </w:pPr>
      <w:r>
        <w:rPr>
          <w:rFonts w:ascii="Arial" w:cs="Arial" w:eastAsia="Arial" w:hAnsi="Arial"/>
          <w:sz w:val="16"/>
          <w:szCs w:val="16"/>
          <w:color w:val="auto"/>
        </w:rPr>
        <w:t>New commitments to originate residential real estate loans to be sold totaled approximately $5.6 billion in 2013, compared with $5.1 billion in 2012 and $1.9 billion in 2011. Included in those commitments to originate residential real estate loans to be sold were HARP 2.0 commitments of $1.1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billion in 2013 and $1.8 billion in 2012. The HARP 2.0 program began in December 2011. Realized gains from sales of residential real estate loans and loan servicing rights (net of the impact of costs associated with obligations to repurchase real estate loans originated for sale) and recognized net unrealized gains or losses attributable to residential real estate loans held for sale, commitments to originate loans for sale and commitments to sell loans totaled to a gain of $123 million in 2013, compared with gains of $157 million in 2012 and $17 million in 2011.</w:t>
      </w:r>
    </w:p>
    <w:p>
      <w:pPr>
        <w:spacing w:after="0" w:line="1"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2013, 2012 and 2011 were reduced by approximately $17 million, $28 million and $23 million, respectively, related to the actual or anticipated settlement of repurchase obligations.</w:t>
      </w:r>
    </w:p>
    <w:p>
      <w:pPr>
        <w:spacing w:after="0" w:line="4"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For much of 2011 and 2012, the Company originated certain residential real estate loans to be held in its loan portfolio, rather than selling such loans. The retained loans conformed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The decision to retain for portfolio the majority of such loans originated rather than selling them resulted in a reduction of residential mortgage banking revenues of approximately $53 million and $27 million in 2012 and 2011, respectively. Due to the significant growth in the Company’s residential real estate loan portfolio and the pending Hudson City acquisition, beginning in September 2012 the majority of the Company’s commitments are to originate residential real estate loans for sale.</w:t>
      </w:r>
    </w:p>
    <w:p>
      <w:pPr>
        <w:spacing w:after="0" w:line="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Loans held for sale that are secured by residential real estate totaled $401 million and $1.2 billion at December 31, 2013 and 2012, respectively. Commitments to sell residential real estate loans and commitments to originate residential real estate loans for sale at pre-determined rates were $725 million and $470 million, respectively, at December 31, 2013, $2.3 billion and $1.6 billion, respectively, at December 31, 2012 and $296 million and $182 million, respectively, at December 31, 2011. Net unrealized gains on residential real estate loans held for sale, commitments to sell loans, and commitments to originate loans for sale were $20 million and $83 million at December 31, 2013 and 2012, respectively, and $6 million at December 31, 2011. Changes in such net unrealized gains and losses are recorded in mortgage banking revenues and resulted in net decreases in revenue of $63 million and $4 million in 2013 and 2011, respectively, and a net increase in revenue of $77 million in 2012.</w:t>
      </w:r>
    </w:p>
    <w:p>
      <w:pPr>
        <w:spacing w:after="0" w:line="5" w:lineRule="exact"/>
        <w:rPr>
          <w:sz w:val="20"/>
          <w:szCs w:val="20"/>
          <w:color w:val="auto"/>
        </w:rPr>
      </w:pPr>
    </w:p>
    <w:p>
      <w:pPr>
        <w:ind w:right="40" w:firstLine="685"/>
        <w:spacing w:after="0" w:line="285" w:lineRule="auto"/>
        <w:rPr>
          <w:sz w:val="20"/>
          <w:szCs w:val="20"/>
          <w:color w:val="auto"/>
        </w:rPr>
      </w:pPr>
      <w:r>
        <w:rPr>
          <w:rFonts w:ascii="Arial" w:cs="Arial" w:eastAsia="Arial" w:hAnsi="Arial"/>
          <w:sz w:val="16"/>
          <w:szCs w:val="16"/>
          <w:color w:val="auto"/>
        </w:rPr>
        <w:t>Revenues from servicing residential real estate loans for others were $128 million in 2013, up from $107 million in 2012 and $86 million in 2011. Residential real estate loans serviced for others totaled $72.4 billion at December 31, 2013, $35.9 billion a year earlier and $40.7 billion at December 31, 2011, including certain small-balance commercial real estate loans of approximately $3.2 billion, $3.8 billion and $4.4 billion at December 31, 2013, 2012 and 2011, respectively. Reflected in residential real estate loans serviced for others were loans sub-serviced for others of $46.6 billion, $12.5 billion and $14.3 billion at December 31, 2013, 2012 and 2011, respectively. Included in residential real estate loans sub-serviced for others were loans sub-serviced for affiliates of BLG of $45.6 billion, $11.4 billion and $13.1 billion at December 31, 2013, 2012, and 2011, respectively. During the third quarter of 2013, the Company added approximately $38 billion of residential real estate loans to its portfolio of loans sub-serviced for affiliates of BLG. That additional sub-servicing added approximately $20 million of revenue in 2013. On September 30, 2011, the Company purchased servicing rights associated with residential real estate loans having an outstanding principal balance of approximately $6.7 billion. Approximately $15 million, $19 million and $5 million of servicing fees related to that portfolio of loans were included in mortgage banking revenues during 2013, 2012 and 2011, respectively. Capitalized residential mortgage servicing assets, net of any applicable valuation allowance for possible impairment, totaled $129 million at December 31, 2013, compared with $108 million and $145 million at December 31, 2012 and 2011, respectively. Included in capitalized residential mortgage servicing assets noted above were purchased servicing rights associated with the small-balance commercial real estate loans. Additional information about the Company’s capitalized residential mortgage servicing assets, including information about the calculation of estimated fair value, is presented in note 7 of Notes to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Commercial mortgage banking revenues were $80 million in 2013, $85 million in 2012 and $63 million in 2011. Included in such amounts were revenues from loan origination and sales activities of $48 million in 2013, $59 million in 2012 and $41 million in 2011. Commercial real estate loans originated for sale to other investors totaled approximately $1.9 billion in 2013, compared with $2.5 billion in 2012 and $1.5 billion in 2011. Loan servicing revenues totaled $32 million in 2013, $26 million in 2012 and $22 million in 2011. Capitalized commercial mortgage servicing assets aggregated $72 million at December 31, 2013, $60 million at December 31, 2012 and $51 million at December 31, 2011. Commercial real estate loans serviced for other investors totaled $11.4 billion, $10.6 billion and $9.0 billion at December 31, 2013, 2012 and 2011, respectively, and included $2.3 billion, $2.0 billion and $1.8 billion, respectively, of loan balances for which investors had recourse to the Company if such balances are ultimately uncollectible. Commitments to sell commercial real estate loans and commitments to originate commercial real estate loans for sale were $130 million and $62 million, respectively, at December 31, 2013, $340 million and</w:t>
      </w:r>
    </w:p>
    <w:p>
      <w:pPr>
        <w:spacing w:after="0" w:line="6"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$140 million, respectively, at December 31, 2012 and $339 million and $178 million, respectively, at December 31, 2011. Commercial real estate loans held for sale totaled $68 million, $200 million and $161 million at December 31, 2013, 2012 and 2011, respectively.</w:t>
      </w:r>
    </w:p>
    <w:p>
      <w:pPr>
        <w:spacing w:after="0" w:line="1"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Service charges on deposit accounts were $447 million in each of 2013 and 2012. Deposit account service charges in 2011 were $455 million. The decline from 2011 to 2012 reflected new regulations that were enacted as part of the Dodd-Frank Act related to limiting debit card interchange fees that financial institutions are able to assess. Those regulations were effective October 1, 2011. The Company estimates that the impact of that change resulted in a reduction of service charges on deposit accounts of approximately $75 million and $17 million in 2012 and 2011, respectively. Partially offsetting the impact of those new regulations in 2012 was the full-year impact of service charges on deposit accounts obtained in the Wilmington Trust acquisition.</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ICS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increased 5% in 2013 to $496 million from $472 million in 2012. During 2011, trust income totaled $332 million. The increase in such income from 2012 to 2013 was largely due to higher fees from the WAS business. The significant rise in trust income from 2011 to 2012 was due to the full-year impact in 2012 of the May 2011 Wilmington Trust acquisition. Adversely impacting trust income in 2013, 2012 and 2011 were fee waivers by the Company in order to enable proprietary money-market funds to pay customers a yield on their investments in such funds. Those waived fees were approximately $70 million in 2013, $57 million in 2012 and $33 million in 2011. Revenues associated with the ICS and WAS business in 2013 were $234 million and $214 million, respectively. Prior to 2013, certain other trust operations of the Company were not combined with the respective ICS and WAS activities. Trust income attributable to the ICS business was approximately $193 million in 2012 and $119 million in 2011. Revenues attributable to WAS were approximately $153 million and $87 million in 2012 and 2011, respectively. Total trust assets, which include assets under management and assets under administration, aggregated $266.1 billion at December 31, 2013, compared with $255.9 billion at December 31, 2012. Trust assets under management were $65.1 billion and $61.5 billion at December 31, 2013 and 2012, respectively. In addition to the asset amounts noted above, trust assets under management of affiliates totaled $17.1 billion and $15.4 billion at December 31, 2013 and 2012, respectively. The Company’s proprietary mutual funds had assets of $12.7 billion and $13.9 billion at December 31, 2013 and 2012, respectively.</w:t>
      </w:r>
    </w:p>
    <w:p>
      <w:pPr>
        <w:spacing w:after="0" w:line="11" w:lineRule="exact"/>
        <w:rPr>
          <w:sz w:val="20"/>
          <w:szCs w:val="20"/>
          <w:color w:val="auto"/>
        </w:rPr>
      </w:pPr>
    </w:p>
    <w:p>
      <w:pPr>
        <w:ind w:right="240" w:firstLine="685"/>
        <w:spacing w:after="0" w:line="290"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$66 million in 2013, $59 million in 2012 and $56 million in 2011. The improvement from 2012 to 2013 reflects higher sales of annuity products, while the rise from 2011 to 2012 was due to higher revenues earned from the sale of mutual funds. Trading account and foreign exchange activity resulted in gains of $41 million in 2013, $36 million in 2012 and $27 million in 2011. The rise in such gains in 2013 as compared with 2012 was largely due to increased new volumes of interest rate swap agreement transactions executed on behalf of commercial customers. The higher gains in 2012 as compared 2011 were due to increased market values of trading account assets held in connection with deferred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compensation arrangements and to higher new volumes of interest rate swap agreement transactions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ind w:right="80" w:firstLine="685"/>
        <w:spacing w:after="0" w:line="281" w:lineRule="auto"/>
        <w:rPr>
          <w:sz w:val="20"/>
          <w:szCs w:val="20"/>
          <w:color w:val="auto"/>
        </w:rPr>
      </w:pPr>
      <w:r>
        <w:rPr>
          <w:rFonts w:ascii="Arial" w:cs="Arial" w:eastAsia="Arial" w:hAnsi="Arial"/>
          <w:sz w:val="16"/>
          <w:szCs w:val="16"/>
          <w:color w:val="auto"/>
        </w:rPr>
        <w:t>Including other-than-temporary impairment losses, the Company recognized net gains on investment securities of $47 million and $73 million during 2013 and 2011, respectively, compared with net losses of $48 million in 2012. During 2013, the Company sold its holdings of Visa Class B shares for a gain of approximately $90 million and its holdings of MasterCard Class B shares for a gain of $13 million. The shares of Visa and MasterCard were sold as a result of favorable market conditions and to enhance the Company’s capital and liquidity. In addition, the Company sold substantially all of its privately issued MBS held in the available-for-sale investment securities portfolio. In total, $1.0 billion of such securities were sold for a net loss of approximately $46 million. The MBS were sold to reduce the Company’s exposure to such relatively higher risk securities in favor of lower risk Ginnie Mae securities in response to changing regulatory capital and liquidity standards. During 2011, the Company realized gains of $150 million from the sale of investment securities available for sale, predominantly residential mortgage-backed securities guaranteed by Fannie Mae and Freddie Mac, CDOs and trust preferred securities, having an amortized cost of $1.75 billion. Realized gains and losses from sales of investment securities were not significant in 2012. Other-than-temporary impairment charges of</w:t>
      </w:r>
    </w:p>
    <w:p>
      <w:pPr>
        <w:spacing w:after="0" w:line="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$10 million, $48 million and $77 million were recorded in 2013, 2012 and 2011, respectively. The charges related to certain privately issued CMOs backed by residential and commercial real estate loans.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8" w:lineRule="exact"/>
        <w:rPr>
          <w:sz w:val="20"/>
          <w:szCs w:val="20"/>
          <w:color w:val="auto"/>
        </w:rPr>
      </w:pPr>
    </w:p>
    <w:p>
      <w:pPr>
        <w:ind w:right="100" w:firstLine="685"/>
        <w:spacing w:after="0" w:line="285" w:lineRule="auto"/>
        <w:rPr>
          <w:sz w:val="20"/>
          <w:szCs w:val="20"/>
          <w:color w:val="auto"/>
        </w:rPr>
      </w:pPr>
      <w:r>
        <w:rPr>
          <w:rFonts w:ascii="Arial" w:cs="Arial" w:eastAsia="Arial" w:hAnsi="Arial"/>
          <w:sz w:val="16"/>
          <w:szCs w:val="16"/>
          <w:color w:val="auto"/>
        </w:rPr>
        <w:t>M&amp;T’s share of the operating losses of BLG was $16 million in 2013, compared with $22 million and $24 million in 2012 and 2011, respectively. The operating losses of BLG in the respective years resulted from disruptions in the residential and commercial real estate markets and reflected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ultimately be charged-down resulting in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affiliates. During the fourth quarter of 2011, the Company recognized a $79 million other-than-temporary impairment charge related to M&amp;T’s 20% investment in BLG. While the small business commercial real estate securitization market that BLG previously operated in continues to be stagnant, its affiliated asset management and loan servicing operations continue to grow and perform well. BLG is entitled to receive, if and when made, cash distributions from affiliates, a portion of which is contractually required to be distributed to M&amp;T. Nevertheless, in consideration of the passage of time since M&amp;T’s original investment in BLG in 2007, the prospects of ongoing loan losses at BLG and the inability to accurately predict the timing of potential distributions to M&amp;T, management concluded that the investment was other-than-temporarily impaired and wrote it down to its estimated fair value of $115 million. The impairment charge of $79 million was recorded in “other costs of operations” in 2011. The Company believes that the value of its investment in BLG as of December 31, 2013 has not changed significantly from when the impairment charge was recognized and that no additional other-than-temporary impairment charge is required. Information about the Company’s relationship with BLG and its affiliates is included in note 24 of Notes to Financial Statements.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Other revenues from operations aggregated $454 million in 2013, compared with $374 million in 2012. Reflected in such revenues in 2013 were gains from securitization transactions, which totaled $63 million. During 2013, the Company securitized approximately $1.3 billion of one-to-four family residential real estate loans held in the Company’s loan portfolio in guaranteed mortgage securitizations with Ginnie Mae and recognized gains of $42 million. In addition, during the third quarter of 2013 the Company securitized and sold approximately $1.4 billion of automobile loans held in its loan portfolio, resulting in a gain of $21 million. The Company securitized those loans to improve its regulatory capital ratios and strengthen its liquidity and risk profile as a result of changing regulatory requirements. Other revenues from operations were $497 million in 2011. Reflected in other revenues from operations in that year were the $65 million gain realized on the acquisition of Wilmington Trust and the $55 million CDO litigation settlement. Excluding those two items, other revenues from operations were little changed in 2012 as compared with 2011, but nevertheless reflected higher merchant discount and credit card fees in 2012 offset by a decline in gains from the sale of previously leased equipment.</w:t>
      </w:r>
    </w:p>
    <w:p>
      <w:pPr>
        <w:spacing w:after="0" w:line="6" w:lineRule="exact"/>
        <w:rPr>
          <w:sz w:val="20"/>
          <w:szCs w:val="20"/>
          <w:color w:val="auto"/>
        </w:rPr>
      </w:pPr>
    </w:p>
    <w:p>
      <w:pPr>
        <w:ind w:right="120" w:firstLine="685"/>
        <w:spacing w:after="0" w:line="288" w:lineRule="auto"/>
        <w:rPr>
          <w:sz w:val="20"/>
          <w:szCs w:val="20"/>
          <w:color w:val="auto"/>
        </w:rPr>
      </w:pPr>
      <w:r>
        <w:rPr>
          <w:rFonts w:ascii="Arial" w:cs="Arial" w:eastAsia="Arial" w:hAnsi="Arial"/>
          <w:sz w:val="16"/>
          <w:szCs w:val="16"/>
          <w:color w:val="auto"/>
        </w:rPr>
        <w:t>Included in other revenues from operations were the following significant components. Letter of credit and other credit-related fees were $132 million, $127 million and $130 million in 2013, 2012 and 2011, respectively. Tax-exempt income earned from bank owned life insurance totaled $56 million in 2013 and $51 million in each of 2012 and 2011. Such income includes increases in cash surrender value of life insurance policies and benefits received. Revenues from merchant discount and credit card fees were $84 million in 2013, $77 million in 2012 and $60 million in 2011. The higher revenues in 2013 as compared with 2012 and in 2012 as compared with 2011 were largely attributable to increased transaction volumes related to merchant activity and usage of the Company’s credit card products. Insurance-related sales commissions and other revenues totaled $42 million in 2013, compared with $44 million in 2012 and $40 million in 2011. Automated teller machine usage fees aggregated $17 million in 2013 and $19 million in each of 2012 and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Other expense totaled $2.64 billion in 2013, compared with $2.51 billion in 2012 and $2.48 billion in 2011. Included in such amounts are expenses considered to be “nonoperating” in nature consisting of amortization of core deposit and other intangible assets of $47 million, $61 million and $62 million in 2013, 2012 and 2011, respectively, and merger-related expenses of $12 million in 2013, $10 million in 2012 and $84 million in 2011. Exclusive of those nonoperating expenses, noninterest operating expenses aggregated $2.58 billion in 2013, $2.44 billion in 2012 and $2.33 billion in 2011. The rise in such expenses in 2013 as compared with 2012 was largely attributable to higher costs for professional services and salaries, partially offset by lower FDIC assessments and the reversal of the $26 million accrual for a contingent compensation obligation at Wilmington Trust that expired. In addition, the Company reached a legal settlement of a previously disclosed lawsuit (</w:t>
      </w:r>
      <w:r>
        <w:rPr>
          <w:rFonts w:ascii="Arial" w:cs="Arial" w:eastAsia="Arial" w:hAnsi="Arial"/>
          <w:sz w:val="16"/>
          <w:szCs w:val="16"/>
          <w:i w:val="1"/>
          <w:iCs w:val="1"/>
          <w:color w:val="auto"/>
        </w:rPr>
        <w:t>i.e. Mennen, et al v. Mennen, Wilmington Trust Company, et al</w:t>
      </w:r>
      <w:r>
        <w:rPr>
          <w:rFonts w:ascii="Arial" w:cs="Arial" w:eastAsia="Arial" w:hAnsi="Arial"/>
          <w:sz w:val="16"/>
          <w:szCs w:val="16"/>
          <w:color w:val="auto"/>
        </w:rPr>
        <w:t>) related to issues that were alleged to occur at Wilmington Trust Company prior to its acquisition by M&amp;T that led to a $40 million increase in the Company’s reserve for litigation as of December 31, 2013. The increase in noninterest operating expenses in 2012 as compared with 2011 was largely attributable to the full-year impact of the operations obtained in the Wilmington Trust acquisition. Reflected in 2011 noninterest operating expenses was the previously discussed $79 million impairment charge related to BLG.</w:t>
      </w:r>
    </w:p>
    <w:p>
      <w:pPr>
        <w:spacing w:after="0" w:line="7" w:lineRule="exact"/>
        <w:rPr>
          <w:sz w:val="20"/>
          <w:szCs w:val="20"/>
          <w:color w:val="auto"/>
        </w:rPr>
      </w:pPr>
    </w:p>
    <w:p>
      <w:pPr>
        <w:ind w:right="40" w:firstLine="685"/>
        <w:spacing w:after="0" w:line="323" w:lineRule="auto"/>
        <w:rPr>
          <w:sz w:val="20"/>
          <w:szCs w:val="20"/>
          <w:color w:val="auto"/>
        </w:rPr>
      </w:pPr>
      <w:r>
        <w:rPr>
          <w:rFonts w:ascii="Arial" w:cs="Arial" w:eastAsia="Arial" w:hAnsi="Arial"/>
          <w:sz w:val="16"/>
          <w:szCs w:val="16"/>
          <w:color w:val="auto"/>
        </w:rPr>
        <w:t>Salaries and employee benefits expense in 2013 totaled $1.36 billion, compared with $1.31 billion and $1.20 billion in 2012 and 2011, respectively. The increase in such expenses in 2013 from 2012 was predominantly due to higher salaries expenses that reflect an increase in the Company’s loan servicing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capacity to accommodate the sub-servicing arrangements entered into during 2013 and costs related to BSA/AML compliance, capital planning and stress testing, risk management and other operational initiatives. Those factors were partially offset by lower pension-related costs. The higher expense level in 2012 as compared with 2011 reflects the full-year impact of the operations obtained in the acquisition of Wilmington Trust. Also contributing to the higher expense level in 2012 were increased incentive compensation costs and expenses related to pension and postretirement benefits. Stock-based compensation totaled $55 million in 2013, $57 million in 2012 and $56 million in 2011. The number of full-time equivalent employees was 15,368 at December 31, 2013, compared with 14,404 and 15,072 at December 31, 2012 and 2011, respectively.</w:t>
      </w:r>
    </w:p>
    <w:p>
      <w:pPr>
        <w:spacing w:after="0" w:line="1"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provides pension and other postretirement benefits (including a retirement savings plan) for its employees. Expenses related to such benefits totaled $87 million in 2013, $105 million in 2012 and $86 million in 2011. The Company sponsors both defined benefit and defined contribution pension plans. Pension benefit expense for those plans was $53 million in each of 2013 and 2011, and $69 million in 2012. Included in those amounts are $21 million in 2013, $17 million in 2012 and $13 million in 2011 for a defined contribution pension plan that the Company began on January 1, 2006. The decline in pension and other postretirement benefits expense in 2013 as compared with 2012 reflects the impact on the qualified defined benefit pension plan of favorable investment returns and higher balances of invested assets. The Company made a $200 million contribution to that plan in the third quarter of 2012. The rise in pension and other postretirement benefits expense in 2012 as compared with 2011 was largely reflective of a $17 million increase in amortization of actuarial losses accumulated in the defined benefit pension plans.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age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12"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Company’s 2013 pension expense for its defined benefit plans was determined using the following assumptions: a long-term rate of return on assets of 6.50%; a rate of future compensation increase of 4.50%; and a discount rate of 3.75%. To demonstrate the sensitivity of pension expense to changes in the Company’s pension plan assumptions, 25 basis point increases in: the rate of return on plan assets would have resulted in a decrease in pension expense of</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$3 million; the rate of increase in compensation would have resulted in an increase in pension expense of $400,000; and the discount rate would have resulted in a decrease in pension expense of $6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2013, the Company had cumulative unrecognized actuarial losses of approximately $191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800" w:hanging="684"/>
        <w:spacing w:after="0" w:line="286" w:lineRule="auto"/>
        <w:rPr>
          <w:sz w:val="20"/>
          <w:szCs w:val="20"/>
          <w:color w:val="auto"/>
        </w:rPr>
      </w:pPr>
      <w:r>
        <w:rPr>
          <w:rFonts w:ascii="Arial" w:cs="Arial" w:eastAsia="Arial" w:hAnsi="Arial"/>
          <w:sz w:val="16"/>
          <w:szCs w:val="16"/>
          <w:color w:val="auto"/>
        </w:rPr>
        <w:t>had the effect of increasing the Company’s pension expense by approximately $41 million in 2013, $37 million in 2012 and $21 million in 2011. GAAP requires an employer to recognize in its balance sheet as an asset or liability the overfunded or underfunded status of a defined benefit</w:t>
      </w:r>
    </w:p>
    <w:p>
      <w:pPr>
        <w:spacing w:after="0" w:line="281" w:lineRule="auto"/>
        <w:rPr>
          <w:sz w:val="20"/>
          <w:szCs w:val="20"/>
          <w:color w:val="auto"/>
        </w:rPr>
      </w:pPr>
      <w:r>
        <w:rPr>
          <w:rFonts w:ascii="Arial" w:cs="Arial" w:eastAsia="Arial" w:hAnsi="Arial"/>
          <w:sz w:val="16"/>
          <w:szCs w:val="16"/>
          <w:color w:val="auto"/>
        </w:rPr>
        <w:t>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2013, the combined benefit obligations of the Company’s defined benefit postretirement plans exceeded the fair value of the assets of such plans by approximately $38 million. Of that amount, $178 million was related to the non-qualified pension and other postretirement benefit plans that are generally not funded until benefits are paid. In the Company’s qualified defined benefit pension plan, the fair value of assets exceeded the projected benefit obligation by approximately $140 million as of December 31, 2013. At the prior year-end, the projected benefit obligation exceeded the fair value of that plan’s assets by approximately $105 million. The main factors contributing to that improvement in the funded status were the increase in the discount rate used to measure the projected benefit obligation to 4.75% at December 31, 2013 from 3.75% at December 31, 2012 and better than expected returns on plan assets. The Company was required to have a net pension and postretirement benefit liability for the non-qualified pension and other postretirement benefit plans that was equal to $178 million and a net prepaid asset for the qualified pension plan that was equal to $140 million at December 31, 2013. Accordingly, as of December 31, 2013 the Company recorded an additional postretirement benefit adjustment of $162 million. After applicable tax effect, that additional adjustment reduced accumulated other comprehensive income (and thereby shareholders’ equity) by $98 million. The result of this was a year-over-year decrease of $294 million to the additional minimum postretirement benefit liability from the $455 million recorded at December 31, 2012. After applicable tax effect, the $294 million decrease in the additional required liability adjustment increased accumulated other comprehensive income in 2013 by $179 million from the prior year-end amount of $277 million. The main factors contributing to the change in the minimum liability from December 31, 2012 were the impact of actual experience during 2013 that differed from the actuarial assumptions used and from changes in those assumptions. As previously noted, gains were realized from higher than expected investment returns in 2013 in addition to gains realized in the remeasurement of the benefit obligations that resulted from an increase in the discount rate used in that measurement. In determining the benefit obligation for defined benefit postretirement plans the Company used a discount rate of 4.75% at December 31, 2013 and 3.75% at December 31, 2012. A 25 basis point decrease in the assumed discount rate as of December 31, 2013 to 4.50% would have resulted in increases in the combined benefit obligations of all defined benefit postretirement plans (including pension and other plans) of $53 million. Under that scenario, the minimum postretirement liability adjustment at December 31, 2013 would have been $215 million, rather than the $162 million that was actually recorded, and the corresponding after tax-effect charge to accumulated other comprehensive income at December 31, 2013 would have been $131 million, rather than the $98 million that was actually recorded. A 25 basis point increase in the assumed discount rate to 5.00% would have decreased the combined benefit obligations of all defined benefit postretirement plans by $51 million. Under this latter scenario, the aggregate minimum liability adjustment at December 31, 2013 would have been $111 million rather than the $162 million actually recorded and the corresponding after tax-effect charge to accumulated other comprehensive income would have been $67 million rather than $98 million. The Company was not required to make any contributions to its qualified defined benefit pension plan in 2013, 2012 or 2011. However, during 2012 and 2011 the Company elected to make cash contributions of $200 million and $70 million, respectively. The Company did not make any contributions to its qualified defined benefit pension plan in 2013. Information about the Company’s pension plans, including significant assumptions utilized in completing actuarial calculations for the plans, is included in note 12 of Notes to Financial Statements.</w:t>
      </w:r>
    </w:p>
    <w:p>
      <w:pPr>
        <w:spacing w:after="0" w:line="2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$32 million in 2013, $31 million in 2012 and $28 million in 2011.</w:t>
      </w:r>
    </w:p>
    <w:p>
      <w:pPr>
        <w:spacing w:after="0" w:line="2" w:lineRule="exact"/>
        <w:rPr>
          <w:sz w:val="20"/>
          <w:szCs w:val="20"/>
          <w:color w:val="auto"/>
        </w:rPr>
      </w:pPr>
    </w:p>
    <w:p>
      <w:pPr>
        <w:ind w:right="80" w:firstLine="685"/>
        <w:spacing w:after="0" w:line="261" w:lineRule="auto"/>
        <w:rPr>
          <w:sz w:val="20"/>
          <w:szCs w:val="20"/>
          <w:color w:val="auto"/>
        </w:rPr>
      </w:pPr>
      <w:r>
        <w:rPr>
          <w:rFonts w:ascii="Arial" w:cs="Arial" w:eastAsia="Arial" w:hAnsi="Arial"/>
          <w:sz w:val="18"/>
          <w:szCs w:val="18"/>
          <w:color w:val="auto"/>
        </w:rPr>
        <w:t>Expenses associated with the defined benefit and defined contribution pension plans and the RSP totaled $85 million in 2013, $100 million in 2012 and $81 million in 2011. Expenses associated with</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providing medical and other postretirement benefits were $2 million in 2013, $5 million in 2012 and $4 million in 2011.</w:t>
      </w:r>
    </w:p>
    <w:p>
      <w:pPr>
        <w:spacing w:after="0" w:line="15"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Excluding the nonoperating expense items already noted, nonpersonnel operating expenses totaled $1.22 billion in 2013, compared with $1.13 billion in 2012. That higher level of such expenses was predominantly the result of increased costs for professional services, reflecting the Company’s investments in BSA/AML compliance, capital planning and stress testing, risk management, and operational initiatives, and the previously noted increase in the legal settlement accrual. Those higher expenses were partially offset by lower FDIC assessments and the previously noted reversal of the contingent compensation accrual related to Wilmington Trust. Nonpersonnel operating expenses were $1.14 billion in 2011. Higher expenses in 2012 related to the full-year impact of the operations obtained in the acquisition of Wilmington Trust and professional services were predominantly offset by the impairment charge related to BLG and higher charitable contributions in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provision for income taxes was $579 million in 2013, compared with $523 million in 2012 and $365 million in 2011. The effective tax rates were 33.7% in each of 2013 and 2012 and 29.8% in 2011.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the recognition of the non-taxable gain of $65 million on the Wilmington Trust acquisition served to lower the effective tax rate in 2011. Income taxes in 2011 also reflect the resolution of previously uncertain tax positions that allowed the Company to reduce its accrual for income taxes in total by $12 million. Excluding the impact of (i) the non-taxable gain of $65 million on the Wilmington Trust acquisition and (ii) the $12 million accrual reversal related to the resolution with taxing authorities of previously uncertain tax positions, the Company’s effective tax rate for 2011 would have been 32.5%.</w:t>
      </w:r>
    </w:p>
    <w:p>
      <w:pPr>
        <w:spacing w:after="0" w:line="5"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net investment in international assets totaled $226 million at December 31, 2013 and $179 million at December 31, 2012. Such assets included $192 million and $149 million, respectively, of loans to foreign borrowers. Deposits in the Company’s office in the Cayman Islands totaled $323 million at December 31, 2013 and $1.0 billion at December 31, 2012. The Company uses such deposits to facilitate customer demand and as an alternative to short-term borrowings when the costs of such deposits seem reasonable. Loans and deposits at M&amp;T Bank’s commercial branch in Ontario, Canada as of December 31, 2013 were $94 million and $25 million, respectively, compared with $139 million and $22 million, respectively, at December 31, 2012. The Company also offers trust-related services in Europe and the Cayman Islands. Revenues from providing such services during 2013, 2012 and 2011 were approximately $26 million, $24 million and $15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Market Risk, and Interest Rate Sensitivity</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2"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Core deposits financed 88% of the Company’s earning assets at December 31, 2013, compared with 86% and 83% at December 31, 2012 and 2011, respectively. The increases in the amount of earning assets financed by core deposits at the 2013 and 2012 year-ends as compared with December 31, 2011 reflect higher levels of core deposits, largely due to higher noninterest-bearing deposits.</w:t>
      </w:r>
    </w:p>
    <w:p>
      <w:pPr>
        <w:ind w:right="20" w:firstLine="685"/>
        <w:spacing w:after="0" w:line="281" w:lineRule="auto"/>
        <w:rPr>
          <w:sz w:val="20"/>
          <w:szCs w:val="20"/>
          <w:color w:val="auto"/>
        </w:rPr>
      </w:pPr>
      <w:r>
        <w:rPr>
          <w:rFonts w:ascii="Arial" w:cs="Arial" w:eastAsia="Arial" w:hAnsi="Arial"/>
          <w:sz w:val="16"/>
          <w:szCs w:val="16"/>
          <w:color w:val="auto"/>
        </w:rPr>
        <w:t>The Company supplements funding provided through core deposits with various short-term and long-term wholesale borrowings, including federal funds purchased and securities sold under agreements to repurchase, brokered certificates of deposit, Cayman Islands office deposits and longer-term borrowings. At December 31, 2013, M&amp;T Bank had short-term and long-term credit facilities with the FHLBs aggregating $8.3 billion. Outstanding borrowings under FHLB credit facilities totaled $29 million and $30 million at December 31, 2013 and 2012, respectively. Such borrowings were secured by loans and investment securities. M&amp;T Bank and Wilmington Trust, N.A. had available lines of credit with the Federal Reserve Bank that aggregated approximately $11.8 billion at December 31, 2013. The amounts of those lines are dependent upon the balances of loans and securities pledged as collateral. There were no borrowings outstanding under such lines of credit at December 31, 2013 or December 31, 2012. During the first quarter of 2013, M&amp;T Bank instituted a Bank Note Program whereby M&amp;T Bank may offer up to $5 billion in unsecured senior and subordinated notes. During March 2013, three-year floating rate senior notes due March 2016 were issued for $300 million and five-year 1.45% fixed rate senior notes due March 2018 were issued for $500 million. The floating rate notes pay interest quarterly at rates that are indexed to the three-month LIBOR. The rate at December 31, 2013 was .54%. In addition, in January 2014 M&amp;T Bank issued an additional $1.5 billion of senior notes, of which $750 million mature in 2017 and $750 million mature in 2019.</w:t>
      </w:r>
    </w:p>
    <w:p>
      <w:pPr>
        <w:spacing w:after="0" w:line="7"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The Company has, from time to time, issued subordinated capital notes and junior subordinated debentures associated with trust preferred securities to provide liquidity and enhance regulatory capital ratios. Such notes generally qualify under the Federal Reserve Board’s current risk-based capital guidelines for inclusion in the Company’s capital. However, in July 2013, Federal regulators issued a final rule to comprehensively revise the capital framework for the U.S. banking sector. Under that rule, trust preferred securities will be phased out from inclusion in Tier 1 capital such that in 2015 only 25% of then-outstanding securities will be included in Tier 1 capital and beginning in 2016 none of the securities will be included in Tier 1 capital. The amounts excluded from Tier 1 capital will be includable in total capital. Information about the Company’s borrowings is included in note 9 of Notes to Financial Statements. In February 2014, the Company will redeem $350 million of 8.50% junior subordinated debentures associated with trust preferred securities and issued $350 million of preferred stock that qualifies as regulatory capital.</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$169 million and $939 million at December 31, 2013 and 2012, respectively. In general, those borrowings were unsecured and matured on the next business day. In addition to satisfying customer demand, Cayman Islands office deposits and brokered certificates of deposit may be used by the Company as an alternative to short-term borrowings. Cayman Islands office deposits also generally mature on the next business day and totaled $323 million and $1.0 billion at December 31, 2013 and 2012, respectively. Outstanding brokered time deposits at December 31, 2013 and December 31, 2012 were $26 million and $462 million, respectively. At December 31, 2013, the weighted-average remaining term to maturity of brokered time deposits was 2 months. The Company also has brokered NOW and brokered money-market deposit accounts which totaled $1.0 billion and $1.1 billion at December 31, 2013 and 2012, respectively.</w:t>
      </w:r>
    </w:p>
    <w:p>
      <w:pPr>
        <w:spacing w:after="0" w:line="5" w:lineRule="exact"/>
        <w:rPr>
          <w:sz w:val="20"/>
          <w:szCs w:val="20"/>
          <w:color w:val="auto"/>
        </w:rPr>
      </w:pPr>
    </w:p>
    <w:p>
      <w:pPr>
        <w:ind w:right="140" w:firstLine="685"/>
        <w:spacing w:after="0" w:line="287"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16.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RATINGS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Standard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Moody’s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and Poor’s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Fitch</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M&amp;T Bank Corporation</w:t>
            </w: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Senior debt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debt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Baa1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BBB+</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BBB+</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M&amp;T Bank</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deposits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Prime-1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F1</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Long-term deposits</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debt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8700" w:type="dxa"/>
            <w:vAlign w:val="bottom"/>
          </w:tcPr>
          <w:p>
            <w:pPr>
              <w:ind w:left="220"/>
              <w:spacing w:after="0"/>
              <w:rPr>
                <w:sz w:val="20"/>
                <w:szCs w:val="20"/>
                <w:color w:val="auto"/>
              </w:rPr>
            </w:pPr>
            <w:r>
              <w:rPr>
                <w:rFonts w:ascii="Arial" w:cs="Arial" w:eastAsia="Arial" w:hAnsi="Arial"/>
                <w:sz w:val="18"/>
                <w:szCs w:val="18"/>
                <w:color w:val="auto"/>
              </w:rPr>
              <w:t>Subordinated debt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BBB+</w:t>
            </w:r>
          </w:p>
        </w:tc>
      </w:tr>
    </w:tbl>
    <w:p>
      <w:pPr>
        <w:spacing w:after="0" w:line="147" w:lineRule="exact"/>
        <w:rPr>
          <w:sz w:val="20"/>
          <w:szCs w:val="20"/>
          <w:color w:val="auto"/>
        </w:rPr>
      </w:pPr>
    </w:p>
    <w:p>
      <w:pPr>
        <w:ind w:right="180" w:firstLine="685"/>
        <w:spacing w:after="0" w:line="291"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$25 million and $7 million at December 31, 2013 and 2012, respectively. The total amount of VRDBs outstanding backed by M&amp;T Bank letters of credit was $1.7 billion and $1.9 billion at December 31, 2013 and 2012, respectively. M&amp;T Bank also serves as remarketing agent for most of those bonds.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DISTRIBUTION OF SELECTED LOANS(a)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Demand</w:t>
            </w: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2015-2018</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After 2018</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ind w:left="68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$ 6,846,809</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$ 2,529,923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$ 7,041,403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952,949</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128,035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1,789,120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2,074,445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332,725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$ 6,974,844</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$ 4,319,043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$ 9,115,848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1,285,674</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Floating or adjustable interest rates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$ 7,535,569</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883,098</w:t>
            </w:r>
          </w:p>
        </w:tc>
        <w:tc>
          <w:tcPr>
            <w:tcW w:w="0" w:type="dxa"/>
            <w:vAlign w:val="bottom"/>
          </w:tcPr>
          <w:p>
            <w:pPr>
              <w:spacing w:after="0"/>
              <w:rPr>
                <w:sz w:val="1"/>
                <w:szCs w:val="1"/>
                <w:color w:val="auto"/>
              </w:rPr>
            </w:pPr>
          </w:p>
        </w:tc>
      </w:tr>
      <w:tr>
        <w:trPr>
          <w:trHeight w:val="218"/>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or predetermined interest rates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1,580,279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$ 9,115,848</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1,285,674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data do not include nonaccrual loans.</w:t>
      </w:r>
    </w:p>
    <w:p>
      <w:pPr>
        <w:spacing w:after="0" w:line="90" w:lineRule="exact"/>
        <w:rPr>
          <w:sz w:val="20"/>
          <w:szCs w:val="20"/>
          <w:color w:val="auto"/>
        </w:rPr>
      </w:pPr>
    </w:p>
    <w:p>
      <w:pPr>
        <w:ind w:right="120" w:firstLine="685"/>
        <w:spacing w:after="0" w:line="291"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The contractual amounts and timing of those payments as of December 31, 2013 are summarized in table 18.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18 summarizes the Company’s other commitments as of December 31, 2013 and the timing of the expiration of such commitments.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 One</w:t>
            </w: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One to Three</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to Five</w:t>
            </w:r>
          </w:p>
        </w:tc>
        <w:tc>
          <w:tcPr>
            <w:tcW w:w="12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Over Five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10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3"/>
                <w:szCs w:val="13"/>
                <w:color w:val="auto"/>
              </w:rPr>
            </w:pPr>
          </w:p>
        </w:tc>
        <w:tc>
          <w:tcPr>
            <w:tcW w:w="104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3"/>
                <w:szCs w:val="13"/>
                <w:color w:val="auto"/>
              </w:rPr>
            </w:pPr>
          </w:p>
        </w:tc>
        <w:tc>
          <w:tcPr>
            <w:tcW w:w="72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due for contractual obligations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2,618,456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622,611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274,652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8,119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3,523,838</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322,746</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260,455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260,455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1,110,831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1,819,862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2,156,156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5,108,870</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85,923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146,502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96,386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463,967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92,546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3,361,363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1,904,171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2,200,719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2,306,169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9,772,422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commitments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Commitments to extend credit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8,372,289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5,878,613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4,023,245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3,200,638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21,474,785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1,631,044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1,486,078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3,600,528</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Commercial letters of credit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40,736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53,284</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Financial guarantees and indemnification contracts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268,483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1,679,305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2,457,633</w:t>
            </w:r>
          </w:p>
        </w:tc>
        <w:tc>
          <w:tcPr>
            <w:tcW w:w="0" w:type="dxa"/>
            <w:vAlign w:val="bottom"/>
          </w:tcPr>
          <w:p>
            <w:pPr>
              <w:spacing w:after="0"/>
              <w:rPr>
                <w:sz w:val="1"/>
                <w:szCs w:val="1"/>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852,649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854,656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11,005,463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7,675,917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4,792,694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4,966,812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28,440,886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dividends from its banking subsidiaries, which are subject to various regulatory limitations. Dividends from any banking subsidiary to M&amp;T are limited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earnings of the banking subsidiary in the current year and the two preceding years. For purposes of that test, at December 31, 2013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 billion was available for payment of dividends to M&amp;T from banking subsidiaries. These historic sources of cash flow have been augmented in the past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trust preferred securities and senior notes payable. Information regarding trust preferred securities and the related junior subordinated debentures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included in note 9 of Notes to Financial Statements. M&amp;T also maintains a $30 million line of credit with an unaffiliated commercial bank, of which there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borrowings outstanding at December 31, 2013. A similar $30 million line of credit was entirely available for borrowing at December 31, 2012.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AND TAXABLE-EQUIVALENT YIELD OF INVESTMENT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One Year</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One to Five</w:t>
            </w:r>
          </w:p>
        </w:tc>
        <w:tc>
          <w:tcPr>
            <w:tcW w:w="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Five to Ten</w:t>
            </w: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Over Ten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gridSpan w:val="4"/>
            <w:vMerge w:val="continue"/>
          </w:tcPr>
          <w:p>
            <w:pPr>
              <w:spacing w:after="0"/>
              <w:rPr>
                <w:sz w:val="13"/>
                <w:szCs w:val="13"/>
                <w:color w:val="auto"/>
              </w:rPr>
            </w:pPr>
          </w:p>
        </w:tc>
        <w:tc>
          <w:tcPr>
            <w:tcW w:w="1120" w:type="dxa"/>
            <w:vAlign w:val="bottom"/>
            <w:gridSpan w:val="3"/>
          </w:tcPr>
          <w:p>
            <w:pPr>
              <w:jc w:val="right"/>
              <w:ind w:right="640"/>
              <w:spacing w:after="0" w:line="148" w:lineRule="exact"/>
              <w:rPr>
                <w:sz w:val="20"/>
                <w:szCs w:val="20"/>
                <w:color w:val="auto"/>
              </w:rPr>
            </w:pPr>
            <w:r>
              <w:rPr>
                <w:rFonts w:ascii="Arial" w:cs="Arial" w:eastAsia="Arial" w:hAnsi="Arial"/>
                <w:sz w:val="14"/>
                <w:szCs w:val="14"/>
                <w:b w:val="1"/>
                <w:bCs w:val="1"/>
                <w:color w:val="auto"/>
                <w:w w:val="92"/>
              </w:rPr>
              <w:t>or Less</w:t>
            </w:r>
          </w:p>
        </w:tc>
        <w:tc>
          <w:tcPr>
            <w:tcW w:w="100" w:type="dxa"/>
            <w:vAlign w:val="bottom"/>
          </w:tcPr>
          <w:p>
            <w:pPr>
              <w:spacing w:after="0"/>
              <w:rPr>
                <w:sz w:val="13"/>
                <w:szCs w:val="13"/>
                <w:color w:val="auto"/>
              </w:rPr>
            </w:pPr>
          </w:p>
        </w:tc>
        <w:tc>
          <w:tcPr>
            <w:tcW w:w="7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4"/>
              </w:rPr>
              <w:t>Years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9"/>
              </w:rPr>
              <w:t>Years</w:t>
            </w:r>
          </w:p>
        </w:tc>
        <w:tc>
          <w:tcPr>
            <w:tcW w:w="80" w:type="dxa"/>
            <w:vAlign w:val="bottom"/>
          </w:tcPr>
          <w:p>
            <w:pPr>
              <w:spacing w:after="0"/>
              <w:rPr>
                <w:sz w:val="13"/>
                <w:szCs w:val="13"/>
                <w:color w:val="auto"/>
              </w:rPr>
            </w:pPr>
          </w:p>
        </w:tc>
        <w:tc>
          <w:tcPr>
            <w:tcW w:w="8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99"/>
              </w:rPr>
              <w:t>Years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 securities available for sale(a)</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spacing w:after="0" w:line="149" w:lineRule="exact"/>
              <w:rPr>
                <w:sz w:val="20"/>
                <w:szCs w:val="20"/>
                <w:color w:val="auto"/>
              </w:rPr>
            </w:pPr>
            <w:r>
              <w:rPr>
                <w:rFonts w:ascii="Arial" w:cs="Arial" w:eastAsia="Arial" w:hAnsi="Arial"/>
                <w:sz w:val="14"/>
                <w:szCs w:val="14"/>
                <w:color w:val="auto"/>
              </w:rPr>
              <w:t>U.S. Treasury and federal agencies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28,713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7,328</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1,073</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2,137</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4,539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3,062</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 securities(b)</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6"/>
              </w:rPr>
              <w:t>136,714</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581,180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742,076</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2,705,116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4,165,086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4.28%</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7,152</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1,741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174,025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spacing w:after="0" w:line="149" w:lineRule="exact"/>
              <w:rPr>
                <w:sz w:val="20"/>
                <w:szCs w:val="20"/>
                <w:color w:val="auto"/>
              </w:rPr>
            </w:pPr>
            <w:r>
              <w:rPr>
                <w:rFonts w:ascii="Arial" w:cs="Arial" w:eastAsia="Arial" w:hAnsi="Arial"/>
                <w:sz w:val="14"/>
                <w:szCs w:val="14"/>
                <w:color w:val="auto"/>
              </w:rPr>
              <w:t>Equity securities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133,095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3"/>
                <w:szCs w:val="13"/>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investment securities available for sale</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6"/>
              </w:rPr>
              <w:t>166,793</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597,887</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750,100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2,883,911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4,531,786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56"/>
        </w:trPr>
        <w:tc>
          <w:tcPr>
            <w:tcW w:w="5920" w:type="dxa"/>
            <w:vAlign w:val="bottom"/>
            <w:gridSpan w:val="4"/>
          </w:tcPr>
          <w:p>
            <w:pPr>
              <w:spacing w:after="0" w:line="155" w:lineRule="exact"/>
              <w:rPr>
                <w:sz w:val="20"/>
                <w:szCs w:val="20"/>
                <w:color w:val="auto"/>
              </w:rPr>
            </w:pPr>
            <w:r>
              <w:rPr>
                <w:rFonts w:ascii="Arial" w:cs="Arial" w:eastAsia="Arial" w:hAnsi="Arial"/>
                <w:sz w:val="14"/>
                <w:szCs w:val="14"/>
                <w:i w:val="1"/>
                <w:iCs w:val="1"/>
                <w:color w:val="auto"/>
              </w:rPr>
              <w:t>Investment securities held to maturity</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19,485</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68,713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81,486</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 securities(b)</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6"/>
              </w:rPr>
              <w:t>105,577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463,333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683,204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2,315,791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3,567,905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6,970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28,600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146,302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2.53%</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8,913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56"/>
        </w:trPr>
        <w:tc>
          <w:tcPr>
            <w:tcW w:w="5920" w:type="dxa"/>
            <w:vAlign w:val="bottom"/>
            <w:gridSpan w:val="4"/>
          </w:tcPr>
          <w:p>
            <w:pPr>
              <w:spacing w:after="0" w:line="155" w:lineRule="exact"/>
              <w:rPr>
                <w:sz w:val="20"/>
                <w:szCs w:val="20"/>
                <w:color w:val="auto"/>
              </w:rPr>
            </w:pPr>
            <w:r>
              <w:rPr>
                <w:rFonts w:ascii="Arial" w:cs="Arial" w:eastAsia="Arial" w:hAnsi="Arial"/>
                <w:sz w:val="14"/>
                <w:szCs w:val="14"/>
                <w:color w:val="auto"/>
              </w:rPr>
              <w:t>Total investment securities held to maturity</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6"/>
              </w:rPr>
              <w:t>132,032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560,646</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802,446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2,471,006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3,966,130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investment securities</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298,581</w:t>
            </w:r>
          </w:p>
        </w:tc>
        <w:tc>
          <w:tcPr>
            <w:tcW w:w="0" w:type="dxa"/>
            <w:vAlign w:val="bottom"/>
          </w:tcPr>
          <w:p>
            <w:pPr>
              <w:spacing w:after="0"/>
              <w:rPr>
                <w:sz w:val="1"/>
                <w:szCs w:val="1"/>
                <w:color w:val="auto"/>
              </w:rPr>
            </w:pPr>
          </w:p>
        </w:tc>
      </w:tr>
      <w:tr>
        <w:trPr>
          <w:trHeight w:val="156"/>
        </w:trPr>
        <w:tc>
          <w:tcPr>
            <w:tcW w:w="5920" w:type="dxa"/>
            <w:vAlign w:val="bottom"/>
            <w:gridSpan w:val="4"/>
          </w:tcPr>
          <w:p>
            <w:pPr>
              <w:spacing w:after="0" w:line="155"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6"/>
              </w:rPr>
              <w:t>298,825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1,158,533</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1,552,546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5,354,917</w:t>
            </w: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8,796,497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3.35%</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securities available for sale are presented at estimated fair value. Yields on such securities are based on amortized cost.</w:t>
      </w:r>
    </w:p>
    <w:p>
      <w:pPr>
        <w:spacing w:after="0" w:line="63" w:lineRule="exact"/>
        <w:rPr>
          <w:rFonts w:ascii="Arial" w:cs="Arial" w:eastAsia="Arial" w:hAnsi="Arial"/>
          <w:sz w:val="18"/>
          <w:szCs w:val="18"/>
          <w:i w:val="1"/>
          <w:iCs w:val="1"/>
          <w:color w:val="auto"/>
        </w:rPr>
      </w:pPr>
    </w:p>
    <w:p>
      <w:pPr>
        <w:ind w:left="460" w:right="180" w:hanging="452"/>
        <w:spacing w:after="0" w:line="268" w:lineRule="auto"/>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 are reflected based upon contractual payments due. Actual maturities are expected to be significantly shorter as a result of loan repayments in the underlying mortgage pools.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MATURITY OF DOMESTIC CERTIFICATES OF DEPOSIT AND TIME DEPOSITS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BALANCES OF $100,000 OR MORE</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Under 3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 to 6 months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 to 12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12 months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1"/>
          <w:szCs w:val="11"/>
          <w:b w:val="1"/>
          <w:bCs w:val="1"/>
          <w:u w:val="single" w:color="auto"/>
          <w:color w:val="auto"/>
        </w:rPr>
        <w:t>December 31, 2013</w:t>
      </w:r>
    </w:p>
    <w:p>
      <w:pPr>
        <w:spacing w:after="0" w:line="42" w:lineRule="exact"/>
        <w:rPr>
          <w:sz w:val="20"/>
          <w:szCs w:val="20"/>
          <w:color w:val="auto"/>
        </w:rPr>
      </w:pPr>
    </w:p>
    <w:p>
      <w:pPr>
        <w:jc w:val="center"/>
        <w:ind w:right="71"/>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-3175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29" w:hanging="529"/>
        <w:spacing w:after="0"/>
        <w:tabs>
          <w:tab w:leader="none" w:pos="529" w:val="left"/>
        </w:tabs>
        <w:numPr>
          <w:ilvl w:val="0"/>
          <w:numId w:val="35"/>
        </w:numPr>
        <w:rPr>
          <w:rFonts w:ascii="Arial" w:cs="Arial" w:eastAsia="Arial" w:hAnsi="Arial"/>
          <w:sz w:val="15"/>
          <w:szCs w:val="15"/>
          <w:color w:val="auto"/>
        </w:rPr>
      </w:pPr>
      <w:r>
        <w:rPr>
          <w:rFonts w:ascii="Arial" w:cs="Arial" w:eastAsia="Arial" w:hAnsi="Arial"/>
          <w:sz w:val="15"/>
          <w:szCs w:val="15"/>
          <w:color w:val="auto"/>
        </w:rPr>
        <w:t>279,170</w:t>
      </w:r>
    </w:p>
    <w:p>
      <w:pPr>
        <w:spacing w:after="0" w:line="35"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156,120</w:t>
      </w:r>
    </w:p>
    <w:p>
      <w:pPr>
        <w:spacing w:after="0" w:line="43"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213,428</w:t>
      </w:r>
    </w:p>
    <w:p>
      <w:pPr>
        <w:spacing w:after="0" w:line="43"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294,292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-245110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44" w:lineRule="exact"/>
        <w:rPr>
          <w:sz w:val="20"/>
          <w:szCs w:val="20"/>
          <w:color w:val="auto"/>
        </w:rPr>
      </w:pPr>
    </w:p>
    <w:p>
      <w:pPr>
        <w:ind w:left="529" w:hanging="529"/>
        <w:spacing w:after="0"/>
        <w:tabs>
          <w:tab w:leader="none" w:pos="5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943,010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-103505</wp:posOffset>
            </wp:positionV>
            <wp:extent cx="72466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9511" w:space="720"/>
            <w:col w:w="1169"/>
          </w:cols>
          <w:pgMar w:left="240" w:top="459" w:right="259" w:bottom="1440" w:gutter="0" w:footer="0" w:header="0"/>
          <w:type w:val="continuous"/>
        </w:sectPr>
      </w:pPr>
    </w:p>
    <w:p>
      <w:pPr>
        <w:ind w:right="80" w:firstLine="685"/>
        <w:spacing w:after="0" w:line="251"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As noted previously, banking regulators have proposed rules for the U.S. version of the Basel Committee’s LCR that could impact the level of the Company’s liquid assets. The Company has taken steps to improve its liquidity and will take further action, as necessary, to comply with the final regulations when they take effect.</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2013, the aggregate notional amount of interest rate swap agreements entered into for interest rate risk management purposes was $1.4 billion.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9" w:lineRule="exact"/>
        <w:rPr>
          <w:sz w:val="20"/>
          <w:szCs w:val="20"/>
          <w:color w:val="auto"/>
        </w:rPr>
      </w:pPr>
    </w:p>
    <w:p>
      <w:pPr>
        <w:ind w:firstLine="685"/>
        <w:spacing w:after="0" w:line="285"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00"/>
          </w:cols>
          <w:pgMar w:left="240" w:top="459" w:right="2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685"/>
        <w:spacing w:after="0" w:line="332" w:lineRule="auto"/>
        <w:rPr>
          <w:sz w:val="20"/>
          <w:szCs w:val="20"/>
          <w:color w:val="auto"/>
        </w:rPr>
      </w:pPr>
      <w:r>
        <w:rPr>
          <w:rFonts w:ascii="Arial" w:cs="Arial" w:eastAsia="Arial" w:hAnsi="Arial"/>
          <w:sz w:val="16"/>
          <w:szCs w:val="16"/>
          <w:color w:val="auto"/>
        </w:rPr>
        <w:t>Table 21 displays as of December 31, 2013 and 2012 the estimated impact on net interest income from non-trading financial instruments in the base scenario described above resulting from parallel changes in interest rates across repricing categories during the first modeling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SENSITIVITY OF NET INTEREST INCOME TO CHANGES IN INTEREST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Calculated Increase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(Decrease) in Projected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Net Interest Income</w:t>
            </w:r>
          </w:p>
        </w:tc>
        <w:tc>
          <w:tcPr>
            <w:tcW w:w="0" w:type="dxa"/>
            <w:vAlign w:val="bottom"/>
          </w:tcPr>
          <w:p>
            <w:pPr>
              <w:spacing w:after="0"/>
              <w:rPr>
                <w:sz w:val="1"/>
                <w:szCs w:val="1"/>
                <w:color w:val="auto"/>
              </w:rPr>
            </w:pPr>
          </w:p>
        </w:tc>
      </w:tr>
      <w:tr>
        <w:trPr>
          <w:trHeight w:val="16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Interest Rates</w:t>
            </w:r>
          </w:p>
        </w:tc>
        <w:tc>
          <w:tcPr>
            <w:tcW w:w="3940" w:type="dxa"/>
            <w:vAlign w:val="bottom"/>
          </w:tcPr>
          <w:p>
            <w:pPr>
              <w:spacing w:after="0"/>
              <w:rPr>
                <w:sz w:val="14"/>
                <w:szCs w:val="14"/>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December 31</w:t>
            </w:r>
          </w:p>
        </w:tc>
        <w:tc>
          <w:tcPr>
            <w:tcW w:w="0" w:type="dxa"/>
            <w:vAlign w:val="bottom"/>
          </w:tcPr>
          <w:p>
            <w:pPr>
              <w:spacing w:after="0"/>
              <w:rPr>
                <w:sz w:val="1"/>
                <w:szCs w:val="1"/>
                <w:color w:val="auto"/>
              </w:rPr>
            </w:pPr>
          </w:p>
        </w:tc>
      </w:tr>
      <w:tr>
        <w:trPr>
          <w:trHeight w:val="136"/>
        </w:trPr>
        <w:tc>
          <w:tcPr>
            <w:tcW w:w="5420" w:type="dxa"/>
            <w:vAlign w:val="bottom"/>
            <w:gridSpan w:val="2"/>
            <w:vMerge w:val="continue"/>
          </w:tcPr>
          <w:p>
            <w:pPr>
              <w:spacing w:after="0"/>
              <w:rPr>
                <w:sz w:val="11"/>
                <w:szCs w:val="11"/>
                <w:color w:val="auto"/>
              </w:rPr>
            </w:pPr>
          </w:p>
        </w:tc>
        <w:tc>
          <w:tcPr>
            <w:tcW w:w="3940" w:type="dxa"/>
            <w:vAlign w:val="bottom"/>
          </w:tcPr>
          <w:p>
            <w:pPr>
              <w:spacing w:after="0"/>
              <w:rPr>
                <w:sz w:val="11"/>
                <w:szCs w:val="11"/>
                <w:color w:val="auto"/>
              </w:rPr>
            </w:pPr>
          </w:p>
        </w:tc>
        <w:tc>
          <w:tcPr>
            <w:tcW w:w="1020" w:type="dxa"/>
            <w:vAlign w:val="bottom"/>
            <w:tcBorders>
              <w:top w:val="single" w:sz="8" w:color="auto"/>
            </w:tcBorders>
          </w:tcPr>
          <w:p>
            <w:pPr>
              <w:jc w:val="right"/>
              <w:ind w:right="452"/>
              <w:spacing w:after="0" w:line="129"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 basis points</w:t>
            </w:r>
          </w:p>
        </w:tc>
        <w:tc>
          <w:tcPr>
            <w:tcW w:w="49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$ 245,089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$210,030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+ 100 basis points</w:t>
            </w:r>
          </w:p>
        </w:tc>
        <w:tc>
          <w:tcPr>
            <w:tcW w:w="4960" w:type="dxa"/>
            <w:vAlign w:val="bottom"/>
            <w:gridSpan w:val="2"/>
          </w:tcPr>
          <w:p>
            <w:pPr>
              <w:jc w:val="right"/>
              <w:ind w:right="232"/>
              <w:spacing w:after="0"/>
              <w:rPr>
                <w:sz w:val="20"/>
                <w:szCs w:val="20"/>
                <w:color w:val="auto"/>
              </w:rPr>
            </w:pPr>
            <w:r>
              <w:rPr>
                <w:rFonts w:ascii="Arial" w:cs="Arial" w:eastAsia="Arial" w:hAnsi="Arial"/>
                <w:sz w:val="18"/>
                <w:szCs w:val="18"/>
                <w:color w:val="auto"/>
              </w:rPr>
              <w:t>134,188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117,198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4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(72,755)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(69,687)</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 200 basis points</w:t>
            </w:r>
          </w:p>
        </w:tc>
        <w:tc>
          <w:tcPr>
            <w:tcW w:w="4960" w:type="dxa"/>
            <w:vAlign w:val="bottom"/>
            <w:gridSpan w:val="2"/>
          </w:tcPr>
          <w:p>
            <w:pPr>
              <w:jc w:val="right"/>
              <w:ind w:right="172"/>
              <w:spacing w:after="0"/>
              <w:rPr>
                <w:sz w:val="20"/>
                <w:szCs w:val="20"/>
                <w:color w:val="auto"/>
              </w:rPr>
            </w:pPr>
            <w:r>
              <w:rPr>
                <w:rFonts w:ascii="Arial" w:cs="Arial" w:eastAsia="Arial" w:hAnsi="Arial"/>
                <w:sz w:val="18"/>
                <w:szCs w:val="18"/>
                <w:color w:val="auto"/>
              </w:rPr>
              <w:t>(100,543)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(90,333)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5"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Table 22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REPRICING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1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Three Months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Four to Twelve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One to</w:t>
            </w: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rPr>
              <w:t>or Less</w:t>
            </w:r>
          </w:p>
        </w:tc>
        <w:tc>
          <w:tcPr>
            <w:tcW w:w="11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Months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8"/>
              </w:rPr>
              <w:t>Five Years</w:t>
            </w:r>
          </w:p>
        </w:tc>
        <w:tc>
          <w:tcPr>
            <w:tcW w:w="100" w:type="dxa"/>
            <w:vAlign w:val="bottom"/>
          </w:tcPr>
          <w:p>
            <w:pPr>
              <w:spacing w:after="0"/>
              <w:rPr>
                <w:sz w:val="13"/>
                <w:szCs w:val="13"/>
                <w:color w:val="auto"/>
              </w:rPr>
            </w:pPr>
          </w:p>
        </w:tc>
        <w:tc>
          <w:tcPr>
            <w:tcW w:w="11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1"/>
              </w:rPr>
              <w:t>Five Years</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39,467,322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$ 4,249,463</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10,464,608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9,891,766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$64,073,159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426,185</w:t>
            </w:r>
          </w:p>
        </w:tc>
        <w:tc>
          <w:tcPr>
            <w:tcW w:w="860" w:type="dxa"/>
            <w:vAlign w:val="bottom"/>
          </w:tcPr>
          <w:p>
            <w:pPr>
              <w:jc w:val="right"/>
              <w:spacing w:after="0"/>
              <w:rPr>
                <w:sz w:val="20"/>
                <w:szCs w:val="20"/>
                <w:color w:val="auto"/>
              </w:rPr>
            </w:pPr>
            <w:r>
              <w:rPr>
                <w:rFonts w:ascii="Arial" w:cs="Arial" w:eastAsia="Arial" w:hAnsi="Arial"/>
                <w:sz w:val="18"/>
                <w:szCs w:val="18"/>
                <w:color w:val="auto"/>
              </w:rPr>
              <w:t>49,344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213,885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8,107,083</w:t>
            </w:r>
          </w:p>
        </w:tc>
        <w:tc>
          <w:tcPr>
            <w:tcW w:w="3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8,796,497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earning assets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1,835,447</w:t>
            </w:r>
          </w:p>
        </w:tc>
        <w:tc>
          <w:tcPr>
            <w:tcW w:w="6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earning assets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41,728,954</w:t>
            </w:r>
          </w:p>
        </w:tc>
        <w:tc>
          <w:tcPr>
            <w:tcW w:w="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4,299,407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10,678,593</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17,998,849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74,705,803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1,989,441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36,621,580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36,621,580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1,000,415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1,618,041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223,682</w:t>
            </w:r>
          </w:p>
        </w:tc>
        <w:tc>
          <w:tcPr>
            <w:tcW w:w="6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Total interest-bearing deposits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39,835,118</w:t>
            </w:r>
          </w:p>
        </w:tc>
        <w:tc>
          <w:tcPr>
            <w:tcW w:w="6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1,717,105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897,263</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42,457,605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260,455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609,497</w:t>
            </w:r>
          </w:p>
        </w:tc>
        <w:tc>
          <w:tcPr>
            <w:tcW w:w="6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2,886,595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1,593,218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i w:val="1"/>
                <w:iCs w:val="1"/>
                <w:color w:val="auto"/>
              </w:rPr>
              <w:t>Total interest-bearing liabilities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40,705,070</w:t>
            </w:r>
          </w:p>
        </w:tc>
        <w:tc>
          <w:tcPr>
            <w:tcW w:w="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1,736,665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3,783,858</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1,601,337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47,826,930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(1,400,000)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Periodic gap</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(376,116)</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$ 2,562,742</w:t>
            </w:r>
          </w:p>
        </w:tc>
        <w:tc>
          <w:tcPr>
            <w:tcW w:w="2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8,294,735</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16,397,512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gap</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(376,116)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10,481,361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26,878,873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Cumulative gap as a % of total earning assets</w:t>
            </w: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685"/>
        <w:spacing w:after="0" w:line="253"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20 of Notes to Financial Statements.</w:t>
      </w:r>
    </w:p>
    <w:p>
      <w:pPr>
        <w:ind w:right="20" w:firstLine="685"/>
        <w:spacing w:after="0" w:line="281" w:lineRule="auto"/>
        <w:rPr>
          <w:sz w:val="20"/>
          <w:szCs w:val="20"/>
          <w:color w:val="auto"/>
        </w:rPr>
      </w:pPr>
      <w:r>
        <w:rPr>
          <w:rFonts w:ascii="Arial" w:cs="Arial" w:eastAsia="Arial" w:hAnsi="Arial"/>
          <w:sz w:val="16"/>
          <w:szCs w:val="16"/>
          <w:color w:val="auto"/>
        </w:rPr>
        <w:t>The Company engages in trading activities to meet the financial needs of customers and to fund the Company’s obligations under certain deferred compensation plans. Financial instruments utilized in trading activities consist predominantly of interest rate contracts, such as swap agreements, and forward and futures contracts related to foreign currencies, but have also included investments in U.S. Treasury and other government securities,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18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notional amounts of interest rate contracts entered into for trading purposes totaled $17.4 billion at December 31, 2013 and $15.5 billion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notional amounts of foreign currency and other option and futures contracts entered into for trading purposes were $1.4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$869 million at December 31, 2013 and 2012, respectively. Although the notional amounts of these trading contracts are not recorded in the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sheet, the fair values of all financial instruments used for trading activities are recorded in the consolidated balance sheet. The fair values of all trading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were $376 million and $250 million, respectively, at December 31, 2013 and $489 million and $374 million, respectively,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Included in trading account assets at December 31, 2013 and 2012 were $29 million and $36 million, respectively, of assets related to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plans. Changes in the fair value of such assets are recorded as “trading account and foreign exchange gains” in the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Included in “other liabilities” in the consolidated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balance sheet at December 31, 2013 and 2012 were $31 million and $30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ind w:right="280" w:firstLine="685"/>
        <w:spacing w:after="0" w:line="25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18 of Notes to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Shareholders’ equity was $11.3 billion at December 31, 2013 and represented 13.28% of total assets, compared with $10.2 billion or 12.29% at December 31, 2012 and $9.3 billion or 11.90% at December 31, 2011.</w:t>
      </w:r>
    </w:p>
    <w:p>
      <w:pPr>
        <w:spacing w:after="0" w:line="1" w:lineRule="exact"/>
        <w:rPr>
          <w:sz w:val="20"/>
          <w:szCs w:val="20"/>
          <w:color w:val="auto"/>
        </w:rPr>
      </w:pPr>
    </w:p>
    <w:p>
      <w:pPr>
        <w:ind w:right="40" w:firstLine="685"/>
        <w:spacing w:after="0" w:line="300" w:lineRule="auto"/>
        <w:rPr>
          <w:sz w:val="20"/>
          <w:szCs w:val="20"/>
          <w:color w:val="auto"/>
        </w:rPr>
      </w:pPr>
      <w:r>
        <w:rPr>
          <w:rFonts w:ascii="Arial" w:cs="Arial" w:eastAsia="Arial" w:hAnsi="Arial"/>
          <w:sz w:val="15"/>
          <w:szCs w:val="15"/>
          <w:color w:val="auto"/>
        </w:rPr>
        <w:t>Included in shareholders’ equity was preferred stock with financial statement carrying values of $882 million at December 31, 2013 and $873 million at December 31, 2012. As noted earlier, the U.S. Treasury completed a public offering of its holding of M&amp;T Series A and Series C preferred stock in August 2012, resulting in M&amp;T’s exit from the TARP. At December 31, 2013 and 2012, preferred stock included $382 million and $373 million, respectively, for Series A and Series C Fixed Rate Cumulative Perpetual Preferred Stock. The redemption value of those series of stock was $382 million at each of those dates. In conjunction with the U.S. Treasury’s public offering of its holding of M&amp;T Series A and Series C preferred stock, M&amp;T modified certain of the terms of the Series A and Series C Preferred Stock. The modifications related to the dividend rate on the preferred shares at the reset dates, which was originally set to change to 9% on November 15, 2013 for the Series C preferred shares and on February 15, 2014 for the Series A preferred shares. In each case, the dividend rate changed to</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6.375% on November 15, 2013 rather than to the 9% in the original terms.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 On May 31, 2011, M&amp;T issued 50,000 shares of Series D Perpetual 6.875% Non-Cumulative Preferred Stock, par value $1.00 per share and liquidation preference of $10,000 per share. Holders of Series D preferred stock are entitled to receive, only when, as and if declared by the Board of Directors, non-cumulative cash dividends at an annual rate of 6.875%, payable semi-annually in arrears. The Series D preferred stock is redeemable on or after June 15, 2016 in whole or in part at par plus any declared but unpaid dividends. Notwithstanding the redemption provisions noted and subject to regulatory approval, M&amp;T may redeem all of the outstanding shares of Series D preferred stock if a regulatory capital treatment event takes place whereby the full liquidation value of the shares no longer qualifies as Tier 1 capital. During February 2014, M&amp;T issued 350,000 shares of Series E Perpetual Fixed-to-Floating Rate Non-Cumulative Preferred Stock, par value $1.00 per share and liquidation preference of $1,000 per share. Further information concerning M&amp;T’s preferred stock can be found in note 10 of Notes to Financial Statements.</w:t>
      </w:r>
    </w:p>
    <w:p>
      <w:pPr>
        <w:spacing w:after="0" w:line="7"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Common shareholders’ equity was $10.4 billion, or $79.81 per share, at December 31, 2013, compared with $9.3 billion, or $72.73 per share, at December 31, 2012 and $8.4 billion, or $66.82 per share, at December 31, 2011. Tangible equity per common share, which excludes goodwill and core deposit and other intangible assets and applicable deferred tax balances, was $52.45 at December 31, 2013, compared with $44.61 and $37.79 at December 31, 2012 and 2011, respectively. The Company’s ratio of tangible common equity to tangible assets was 8.39% at December 31, 2013, compared with 7.20% and 6.40% at December 31, 2012 and 2011, respectively. Reconciliations of total common shareholders’ equity and tangible common equity and total assets and tangible assets as of December 31, 2013, 2012 and 2011 are presented in table 2. During 2013, 2012 and 2011, the ratio of average total shareholders’ equity to average total assets was 12.82%, 12.13% and 12.17%, respectively. The ratio of average common shareholders’ equity to average total assets was 11.77%, 11.04% and 11.09% in 2013, 2012 and 2011, respectively.</w:t>
      </w:r>
    </w:p>
    <w:p>
      <w:pPr>
        <w:spacing w:after="0" w:line="5" w:lineRule="exact"/>
        <w:rPr>
          <w:sz w:val="20"/>
          <w:szCs w:val="20"/>
          <w:color w:val="auto"/>
        </w:rPr>
      </w:pPr>
    </w:p>
    <w:p>
      <w:pPr>
        <w:ind w:right="120" w:firstLine="685"/>
        <w:spacing w:after="0" w:line="295"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applicable tax effect, were $34 million, or $.26 per common share, at December 31, 2013, compared with net unrealized gains of $37 million, or $.29 per common share, at December 31, 2012, and net unrealized losses of $78 million, or $.62 per common share, at December 31, 2011. Information about unrealized gains and losses as of December 31, 2013 and 2012 is included in note 3 of Notes to Financial Statements.</w:t>
      </w:r>
    </w:p>
    <w:p>
      <w:pPr>
        <w:spacing w:after="0" w:line="1"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Reflected in net unrealized gains at December 31, 2013 were pre-tax effect unrealized losses of $40 million on available-for-sale investment securities with an amortized cost of $1.8 billion and pre-tax effect unrealized gains of $127 million on securities with an amortized cost of $2.6 billion. The pre-tax effect unrealized losses reflect $19 million of losses on trust preferred securities issued by financial institutions having an amortized cost of $123 million and an estimated fair value of $104 million (generally considered Level 2 valuations). Further information concerning the Company’s valuations of available-for-sale investment securities is provided in note 20 of Notes to Financial Statements.</w:t>
      </w:r>
    </w:p>
    <w:p>
      <w:pPr>
        <w:spacing w:after="0" w:line="3"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In the second quarter of 2013, the Company sold substantially all of its privately issued residential MBS that were classified as available for sale and recorded a pre-tax loss of $46 million. Those privately issued MBS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3"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The Company assesses impairment losses on privately issued MBS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MBS in the held-to-maturity portfolio during 2013. In total, at December 31, 2013 and 2012, the Company had in its held-to-maturity portfolio privately issued MBS with an amortized cost basis of $220 million and $242 million, respectively, and a fair value of $159 million and $148 million, respectively. At December 31, 2013, 93% of the MBS were in the most senior tranche of the securitization structure with 36% being independently rated as investment grade. The MBS had a weighted-average credit enhancement of 20% at December 31, 2013,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MBS in the held-to-maturity portfolio had a current payment status as of December 31, 2013.</w:t>
      </w:r>
    </w:p>
    <w:p>
      <w:pPr>
        <w:spacing w:after="0" w:line="6"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During the first quarter of 2013, the Company recognized $10 million (pre-tax) of other-than-temporary impairment losses related to privately issued mortgage-backed securities held in the available-for-sale portfolio. In assessing impairment losses for debt securities, the Company performed internal modeling to estimate bond-specific cash flows, which considered the placement of the bond in the overall securitization structure and the remaining levels of subordination. During 2012 and 2011, the Company recognized $48 million (pre-tax) and $77 million (pre-tax), respectively, of other-than-temporary losses related to privately issued mortgage-backed securities.</w:t>
      </w:r>
    </w:p>
    <w:p>
      <w:pPr>
        <w:spacing w:after="0" w:line="2" w:lineRule="exact"/>
        <w:rPr>
          <w:sz w:val="20"/>
          <w:szCs w:val="20"/>
          <w:color w:val="auto"/>
        </w:rPr>
      </w:pPr>
    </w:p>
    <w:p>
      <w:pPr>
        <w:ind w:firstLine="685"/>
        <w:spacing w:after="0" w:line="285" w:lineRule="auto"/>
        <w:rPr>
          <w:sz w:val="20"/>
          <w:szCs w:val="20"/>
          <w:color w:val="auto"/>
        </w:rPr>
      </w:pPr>
      <w:r>
        <w:rPr>
          <w:rFonts w:ascii="Arial" w:cs="Arial" w:eastAsia="Arial" w:hAnsi="Arial"/>
          <w:sz w:val="16"/>
          <w:szCs w:val="16"/>
          <w:color w:val="auto"/>
        </w:rPr>
        <w:t>As of December 31, 2013,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It is possible that the Company may be required to sell certain of its collateralized debt obligations backed by trust preferred securities held in the available-for-sale portfolio to comply with the provisions of the Volcker Rule. However, the fair value of such securities predominantly exceeded carrying value at December 31, 2013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51"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$98 million, or $.75 per common share, at December 31, 2013, $277 million, or $2.16 per common share, at December 31, 2012, and $278 million, or $2.21 per common share, at December 31, 2011. The decrease in such adjustment at December 31, 2013 as compared with December 31, 2012 and 2011 was predominantly the result of a 100 basis point increase in the discount rate used to measure the benefit obligations of the defined benefit plans at December 31, 2013 as compared with a year earlier and actual investment returns in the qualified defined benefit pension plan that were higher than expected returns. Information about the funded status of the Company’s pension and other postretirement benefit plans is included in note 12 of Notes to Financial Statements.</w:t>
      </w:r>
    </w:p>
    <w:p>
      <w:pPr>
        <w:spacing w:after="0" w:line="4"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Cash dividends declared on M&amp;T’s common stock totaled $365 million in 2013, compared with $358 million and $350 million in 2012 and 2011, respectively. Dividends per common share totaled $2.80 in each of 2013, 2012 and 2011. Cash dividends of $53 million in each of 2013 and 2012 and $48 million in 2011 were declared and paid on preferred stock in accordance with the terms of each series.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repurchase any shares of its common stock in 2013, 2012 or 2011.</w:t>
      </w:r>
    </w:p>
    <w:p>
      <w:pPr>
        <w:spacing w:after="0" w:line="9" w:lineRule="exact"/>
        <w:rPr>
          <w:sz w:val="20"/>
          <w:szCs w:val="20"/>
          <w:color w:val="auto"/>
        </w:rPr>
      </w:pPr>
    </w:p>
    <w:p>
      <w:pPr>
        <w:ind w:right="80" w:firstLine="685"/>
        <w:spacing w:after="0" w:line="290" w:lineRule="auto"/>
        <w:rPr>
          <w:sz w:val="20"/>
          <w:szCs w:val="20"/>
          <w:color w:val="auto"/>
        </w:rPr>
      </w:pPr>
      <w:r>
        <w:rPr>
          <w:rFonts w:ascii="Arial" w:cs="Arial" w:eastAsia="Arial" w:hAnsi="Arial"/>
          <w:sz w:val="16"/>
          <w:szCs w:val="16"/>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At December 31, 2013, Tier 1 capital included trust preferred securities of $1.2 billion as described in note 9 of Notes to Financial Statements and total capital further included subordinated capital notes of $1.4 billion. As previously noted, pursuant to the Dodd-Frank Act, trust preferred securities will be phased-out of the definition of Tier 1 capital of bank holding companies beginning in 2015. The capital ratios of the Company and its banking subsidiaries as of December 31, 2013 and 2012 are presented in note 23 of Notes to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Net income during the fourth quarter of 2013 was $221 million, compared with $296 million in the year-earlier quarter. Diluted and basic earnings per common share were $1.56 and $1.57, respectively, in the final quarter of 2013, compared with $2.16 and $2.18 of diluted and basic earnings per common share, respectively, in the corresponding quarter of 2012. On an annualized basis, the rates of return on average assets and average common shareholders’ equity for the recent quarter were 1.03% and 7.99%, respectively, compared with 1.45% and 12.10%, respectively, in the year-earlier quarter.</w:t>
      </w:r>
    </w:p>
    <w:p>
      <w:pPr>
        <w:spacing w:after="0" w:line="3"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Net operating income totaled $228 million in the recently completed quarter, compared with $305 million in the fourth quarter of 2012. Diluted net operating earnings per common share were $1.61 and $2.23 in the final quarters of 2013 and 2012, respectively. The annualized net operating returns on average tangible assets and average tangible common equity in the fourth quarter of 2013 were 1.11% and 12.67%, respectively, compared with 1.56% and 20.46%, respectively, in the similar quarter of 2012. Core deposit and other intangible asset amortization, after tax effect, totaled $6 million and $8 million in the fourth quarters of 2013 and 2012 ($.05 and $.07 per diluted common share), respectively. Reconciliations of GAAP results with non-GAAP results for the quarterly periods of 2013 and 2012 are provided in table 24.</w:t>
      </w:r>
    </w:p>
    <w:p>
      <w:pPr>
        <w:spacing w:after="0" w:line="4"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Net interest income on a taxable-equivalent basis totaled $673 million in the final 2013 quarter, little changed from $674 million in the year-earlier quarter. An 18 basis point narrowing of the net interest margin, to 3.56% in the recent quarter from 3.74% in 2012’s fourth quarter, was offset by growth in average earning assets of $3.4 billion. The decline in the net interest margin reflects an 11 basis point decrease in the yield on loans and the impact of higher balances of interest-bearing deposits at the Federal Reserve Bank and investment securities which have lower yields than loans. The increase in average earning assets was attributable to a $2.7 billion increase in average interest-bearing deposits held at the Federal Reserve Bank and higher investment securities balances of $2.1 billion, partially offset by a $1.5 billion decrease in average loans and leases. The increase in the investment securities portfolio from the year-earlier quarter reflects the impact of purchases of Ginnie Mae residential mortgage-backed securities and the retention of similar securities resulting from mortgage securitization transactions during 2013, partially offset by maturities and paydowns of mortgage-backed securities and the sale of $1.0 billion of privately issued mortgage-backed securities late in 2013’s second quarter. Average commercial loan and lease balances were $18.1 billion in the recent quarter, up $1.1 billion or 6% from $17.0 billion in the final quarter of 2012. Commercial real estate loans averaged $26.2 billion in the fourth quarter of 2013, up $899 million or 4% from $25.3 billion in the corresponding 2012 quarter. The growth in commercial loans and commercial real estate loans reflects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higher loan demand by customers. Average residential real estate loans outstanding declined $2.1 billion to $9.0 billion in the recent quarter from $11.1 billion in the fourth quarter of 2012. Included in the residential real estate loan portfolio were average balances of loans held for sale, which declined to $463 million in the recent quarter from $997 million in the fourth quarter of 2012, reflecting lower volumes of loans originated for sale. The decrease in average residential real estate loans outstanding also reflected the impact of securitizations in the second and third quarters of 2013 of loans previously held by the Company in its loan portfolio. The Company securitized approximately $1.3 billion of residential real estate loans guaranteed by the FHA, and a substantial majority of the resulting Ginnie Mae mortgage-backed securities were retained by the Company in the investment securities portfolio. Consumer loans averaged $10.2 billion in the recent quarter, down $1.4 billion from $11.6 billion in the last quarter of 2012. That decline was largely due to lower average balances of automobile loans. In September 2013, the Company securitized and sold approximately $1.4 billion of automobile loans held in its loan portfolio to improve its regulatory capital ratios and strengthen its liquidity and risk profile as a result of changing regulatory requirements. Total loans at December 31, 2013 increased $414 million to $64.1 billion from $63.7 billion at September 30, 2013. That growth was attributable to increases in commercial loans, due largely to seasonally-higher automobile dealer floor plan balances. The yield on earning assets in the fourth quarter of 2013 was 3.92%, a 25 basis point decline from the year-earlier quarter. The rate paid on interest-bearing liabilities declined 11 basis points to .56% in the recently completed quarter from .67% in the similar 2012 quarter. The resulting net interest spread was 3.36% in the final quarter of 2013, 14 basis points lower than 3.50% in the year-earlier quarter. That compression was largely due to the changed mix in earning assets already noted and the 11 basis point decline in loan yields. The contribution of net interest-free funds to the Company’s net interest margin was .20% in the recent quarter, down from .24% in the year-earlier quarter. As a result, the Company’s net interest margin narrowed to 3.56% in the fourth quarter of 2013 from 3.74% in the corresponding 2012 period.</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provision for credit losses was $42 million during the three-month period ended December 31, 2013, compared with $49 million in the year-earlier period. Net charge-offs of loans totaled $42 million in the final quarter of 2013, representing an annualized ..26% of average loans and leases outstanding, compared with $44 million or .27% during the fourth quarter of 2012. Net charge-offs included: residential real estate loans of $3 million in the recently completed quarter, compared with $10 million in 2012’s fourth quarter; net recoveries on loans to builders and developers of residential real estate properties of $2 million in the final 2013 quarter, compared with net charge-offs of $8 million in the year-earlier quarter; other commercial real estate loans of $10 million in 2013, compared with $1 million a year earlier; commercial loans of $21 million and $3 million in 2013 and 2012, respectively; and consumer loans of $10 million in the recent quarter, compared with $22 million in the 2012’s fourth quarter. The higher level of commercial loan charge-offs in the recent quarter reflected a higher volume of charge-offs, none of which individually exceeded $5 million. Reflected in net charge-offs of consumer loans for the fourth quarter of 2013 were recoveries of previously charged-off home equity line of credit balances of $9 million related to a portfolio acquired in 2007.</w:t>
      </w:r>
    </w:p>
    <w:p>
      <w:pPr>
        <w:spacing w:after="0" w:line="6"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Other income aggregated $446 million in the recent quarter, compared with $453 million in the year-earlier quarter. Net losses on investment securities during the fourth quarter of 2012 were $14 million, due to other-than-temporary impairment charges related to certain of the Company’s privately issued mortgage-backed securities. There were no gains or losses on investment securities in the fourth quarter of 2013. Excluding the impact of the losses on investment securities in the final 2012 quarter, the recent quarter’s decline in noninterest income was predominantly due to lower mortgage banking revenues, partially offset by higher trust income.</w:t>
      </w:r>
    </w:p>
    <w:p>
      <w:pPr>
        <w:spacing w:after="0" w:line="2"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Other expense in the fourth quarter of 2013 totaled $743 million, compared with $626 million in the year-earlier quarter. Included in such amounts are expenses considered to be “nonoperating” in nature consisting of amortization of core deposit and other intangible assets of $10 million and $14 million in the fourth quarters of 2013 and 2012, respectively. Exclusive of those nonoperating expenses, noninterest operating expenses were $733 million in the fourth quarter of 2013, up from $612 million in the corresponding quarter of 2012. The higher operating expenses in the recently completed quarter reflect increased costs for professional services largely associated with investments in the Company’s infrastructure related to BSA/AML compliance, capital planning and stress testing, risk management, and other operational initiatives. Those increases amounted to approximately $50 million as compared with the fourth quarter of 2012. In addition, the Company reached a legal settlement of a previously disclosed lawsuit related to issues that were alleged to occur at Wilmington Trust Company prior to its acquisition by M&amp;T that led to a $40 million increase in the Company’s reserve for litigation as of December 31, 2013. The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higher level of expenses in the recent quarter as compared with the year-earlier quarter also reflects salaries associated with the Company’s expanded residential real estate loan sub-servicing activities. The Company’s efficiency ratio during the fourth quarter of 2013 and 2012 was 65.5% and 53.6%, respectively. Table 24 includes a reconciliation of other expense to noninterest operating expense and the calculation of the efficiency ratio for each of the quarters of 2013 and 2012.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3"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3"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Net income for the Business Banking segment declined 24% to $111 million in 2013 from $147 million in 2012. That decrease reflects: lower net interest income of $22 million; increased costs associated with the allocation of operating expenses related to BSA/AML compliance, risk management, and other operational initiatives across the Company; a $6 million increase in personnel costs; and a $4 million increase in the provision for credit losses. The lower net interest income reflects a 43 basis point narrowing of the net interest margin on deposits, partially offset by a $418 million increase in average outstanding deposit balances (predominantly noninterest-bearing). Net income contributed by the Business Banking segment totaled $123 million in 2011. The 20% increase in net income in 2012 as compared with 2011 reflected a $23 million decline in the provision for credit losses, higher net interest income of $12 million and increased merchant discount and credit card revenues of $5 million. The higher net interest income reflected a $1.0 billion increase in average outstanding deposit balances (predominantly noninterest-bearing), offset, in part, by a 9 basis point narrowing of the net interest margin on deposits.</w:t>
      </w:r>
    </w:p>
    <w:p>
      <w:pPr>
        <w:spacing w:after="0" w:line="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recorded net income of $391 million in 2013, down 9% from $431 million in 2012. That decline was largely due to a $61 million increase in the provision for credit losses, the result of higher net charge-offs predominantly related to $49 million of loans charged-off for a relationship with a motor vehicle-related parts wholesaler. Net income for the Commercial Banking segment in 2011 was $369 million. The 17% increase in net income in 2012 as compared with 2011 reflects a $98 million rise in net interest income, largely due to higher average loan and deposit balances of $2.3 billion and $1.2 billion, respectively, and a $14 million decline in the provision for credit losses.</w:t>
      </w:r>
    </w:p>
    <w:p>
      <w:pPr>
        <w:spacing w:after="0" w:line="5"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The Commercial Real Estate segment earned $322 million in 2013,</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4% above the $309 million recorded in 2012. That improvement was largely attributable to a $39 million increase in net interest income, resulting from growth in average loan and deposit balances of $694 million and $466 million, respectively, and a 17 basis point widening of the net interest margin on loans, partially offset by a 31 basis point narrowing of the net interest margin on deposits. The higher net interest income was offset, in part, by: a $3 million increase in the provision for credit losses; a $3 million decrease in mortgage banking revenues; and increased other operating expenses that reflect costs associated with the allocation of operating expenses relating to BSA/AML compliance, risk management, and other operational initiatives across the Company. Net income for the Commercial Real Estate segment in 2012 rose 29% from $240 million in 2011. Factors contributing to that higher net income include: a $64 million increase in net interest income resulting primarily from growth in average loan and deposit balances of $1.4 billion and $486 million, respectively, and a 9 basis point widening of the net interest margin on loans; a $54 million reduction in the provision for credit losses; and a $22 million increase in mortgage banking revenues. Those favorable factors were offset, in part, by increased FDIC assessments, personnel costs and other operating expenses.</w:t>
      </w:r>
    </w:p>
    <w:p>
      <w:pPr>
        <w:spacing w:after="0" w:line="5"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The Discretionary Portfolio segment includes investment and trading securities, residential mortgage loans and other assets; short-term and long-term borrowed funds; brokered certificates of deposit and interest rate swap agreements related thereto; and Cayman Islands office deposits. This segment also provides foreign exchange services to customers. Included in the assets of the Discretionary Portfolio segment are the Company’s portfolio of Alt-A mortgage loans and, prior to the second quarter of 2013, were most of the investment securities for which the Company had recognized other-than-temporary impairment charges in each of the last three years. The Discretionary Portfolio segment contributed net income of $30 million in 2013 and $59 million in 2011, compared with a net loss of $33 million in 2012. Included in this segment’s results for 2013 were net pre-tax losses of $46 million associated with the second quarter sale of approximately $1.0 billion of privately issued MBS that had been held in the available-for-sale investment securities portfolio and $149 million of net realized gains in 2011 on the sale of investment securities, predominantly comprised of residential mortgage-backed securities guaranteed by Fannie Mae and Freddie Mac, CDOs and trust preferred securities. Also reflected in securities gains or losses were other-than-temporary impairment charges, predominantly related to certain privately issued MBS, of $10 million in 2013, $48 million in 2012 and $77 million in 2011. Excluding securities gains and losses, the Discretionary Portfolio segment recorded net income of $63 million in 2013 and $16 million in 2011, compared with a net loss of $5 million in 2012. The most significant contributors to the favorable performance in 2013 as compared with 2012 include: $42 million of gains from securitization transactions associated with one-to-four family residential real estate loans previously held in the Company’s loan portfolio; a $28 million decline in the provision for credit losses, predominantly the result of lower net charge-offs; and a $31 million decrease in intersegment costs due to a lower proportion of residential real estate loans being retained for portfolio rather than being sold. On that same basis, the unfavorable performance in 2012 as compared with 2011 reflects a $48 million rise in intersegment costs related to a higher proportion of residential real estate loans being retained for portfolio rather than being sold, offset, in part, by a $15 million decrease in the provision for credit losses.</w:t>
      </w:r>
    </w:p>
    <w:p>
      <w:pPr>
        <w:spacing w:after="0" w:line="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Residential Mortgage Banking segment originates and services residential mortgage loans and sells substantially all of those loans in the secondary market to investors or to the Discretionary Portfolio segment. This segment had also originated and serviced loans to developers of residential real estate properties, although that origination activity has been significantly curtailed. In addition to the geographic regions served by or contiguous with the Company’s branch network, the Company maintains mortgage loan origination offices in several states throughout the western United States. The Company periodically purchases the rights to service mortgage loans and also sub-services residential mortgage loans for others. Residential mortgage loans held for sale are included in this segment. Net income for the Residential Mortgage Banking segment was $99 million in 2013, down 26% from $135 million in 2012. The decrease in net income was largely due to a $97 million decline in revenues from residential mortgage origination and sales activities (including intersegment revenues), due to lower origination volumes on loans originated for sale and increased personnel and professional services costs associated with expanded residential mortgage loan sub-servicing activities. Those unfavorable factors were offset, in part, by: a $29 million decline in the provision for credit losses reflecting net recoveries in 2013 of previously charged-off loans to real estate builders and developers of $12 million; a $20 million rise in net interest income, the result of a $139 million increase in average loan balances and a 63 basis point widening of the net interest margin on loans due to higher loan yields; and a $16 million rise in revenues from servicing residential real estate loans (including intersegment revenues). Net income for this segment totaled $13 million in 2011. The 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improvement in 2012’s results as compared with 2011 was attributable to a $177 million increase in revenues from residential mortgage origination and sales activities (including intersegment revenues), due to higher origination volumes and wider margins on loans originated for sale, and a $25 million rise in revenues from servicing residential real estate loans. Also contributing to the increase in net income were a $19 million decline in the provision for credit losses and a $14 million rise in net interest income, the result of an increase in average loan balances of $445 million. Those positive factors were offset, in part, by an increase in personnel costs of $23 million.</w:t>
      </w:r>
    </w:p>
    <w:p>
      <w:pPr>
        <w:ind w:right="80" w:firstLine="456"/>
        <w:spacing w:after="0" w:line="281" w:lineRule="auto"/>
        <w:rPr>
          <w:sz w:val="20"/>
          <w:szCs w:val="20"/>
          <w:color w:val="auto"/>
        </w:rPr>
      </w:pPr>
      <w:r>
        <w:rPr>
          <w:rFonts w:ascii="Arial" w:cs="Arial" w:eastAsia="Arial" w:hAnsi="Arial"/>
          <w:sz w:val="16"/>
          <w:szCs w:val="16"/>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and Delaware.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The Retail Banking segment’s net income declined 17% to $182 million in 2013 from $221 million in 2012. The main factor for that decline was a $93 million decrease in net interest income, largely due to a 33 basis point narrowing of the net interest margin on deposits and a decrease in average outstanding loans of $682 million, partially offset by a 16 basis point widening of the net interest margin on loans and a $720 million increase in average outstanding deposit balances. Also contributing to the lower net income in 2013 were higher noninterest operating expenses, including costs related to BSA/AML compliance, risk management, and other operational initiatives. Those unfavorable factors were offset, in part, by a $21 million gain on the securitization and sale of approximately $1.4 billion of automobile loans previously held in the Company’s loan portfolio and a $23 million decline in the provision for credit losses, largely due to lower net charge-offs. This segment’s net income rose</w:t>
      </w:r>
    </w:p>
    <w:p>
      <w:pPr>
        <w:spacing w:after="0" w:line="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10% in 2012 from $200 million in 2011. The most significant factors contributing to that improvement were: a $52 million increase in net interest income, due largely to a $1.8 billion increase in average outstanding deposit balances and an 8 basis point widening of the net interest margin on deposits; a $6 million decrease in the provision for credit losses; and a $5 million rise in merchant discount and credit card revenues. Those favorable factors were offset, in part, by a $24 million decrease in fees earned for providing deposit account services and a $6 million increase in other operating expenses.</w:t>
      </w:r>
    </w:p>
    <w:p>
      <w:pPr>
        <w:spacing w:after="0" w:line="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ICS, WAS and other trust activities of the Company. The various components of the “All Other” category resulted in net income of $3 million in 2013, compared with net losses of $181 million and $145 million 2012 and 2011, respectively. The improved performance in 2013 as compared with the previous year resulted largely from the realized gains on the sale of the Company’s holdings of Visa and MasterCard shares totaling $103 million and the reversal of an accrual for a contingent compensation obligation of $26 million assumed in the May 2011 acquisition of Wilmington Trust that expired, each of which was recorded in 2013. Also contributing to the improvement were increased trust income of $24 million and the favorable impact from the Company’s allocation methodologies for internal transfers for funding and other charges of the Company’s reportable segments and the provision for credit losses. Partially offsetting those favorable factors was the previously noted increase of $40 million in the legal settlement accrual at December 31, 2013. The most significant contributors to the higher net loss in 2012 as compared with 2011 were: higher personnel-related expenses and professional services costs of $84 million and $57 million, respectively (due, in part, to the full-year impact of the Wilmington Trust acquisition); the impact on 2011’s results of the $65 million non-taxable gain on the Wilmington Trust acquisition and the $55 million of income from the CDO litigation settlement; and the impact from the Company’s allocation methodologies for internal transfers for funding charges and credits associated with the earning assets and interest-bearing liabilities of the Company’s reportable segments and the provision for credit losses. Partially offsetting those factors were: increases in trust income of $139 million (reflecting the full-year impact of the acquisition of Wilmington Trust); the $79 million other-than-temporary impairment charge related to M&amp;T’s 20% investment in BLG and cash contributions made to The M&amp;T Charitable Foundation, each of which was recorded in 2011; and merger-related expenses of $10 million in 2012, compared with $84 million in 2011.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January 2014, the Financial Accounting Standards Board (“FASB”) issued amended accounting and disclosure guidance for reclassification of residential real estate collateralized consumer mortgage loans upon foreclosure. The amended guidance clarifies that an in 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 real estate property that are in the process of foreclosure according to local requirements of the applicable jurisdiction. This guidance is effective for annual periods, and interim periods within those annual periods, beginning after December 15, 2014. This guidance should be applied using a prospective transition method or a modified retrospective transition method. The Company does not expect the guidance to have a material impact on its financial position or results of operations.</w:t>
      </w:r>
    </w:p>
    <w:p>
      <w:pPr>
        <w:spacing w:after="0" w:line="7"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In January 2014, the FASB issued amended accounting guidance permitting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The decision to apply the proportional amortization method of accounting is an accounting policy election that should be applied consistently to all qualifying affordable housing project investments. This guidance is effective for annual periods, and interim reporting periods within those annual periods, beginning after December 15, 2014. This guidance should be applied retrospectively to all periods presented. The Company is still evaluating the impact the guidance could have on its consolidated financial statements.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July 2013, the FASB issued amended accounting guidance permitting the Overnight Index Swap Rate (also referred to as the Fed Funds Effective Swap Rate) to be used as a U.S. benchmark interest rate for hedge accounting purposes, in addition to the interest rate on direct Treasury obligations of the U.S. government and the London Interbank Offered Rate. The amendments also remove the restriction on using different benchmark rates for similar hedges. The guidance was effective prospectively for qualifying new or redesignated hedging relationships entered into on or after July 17, 2013. In the past, the Company has not attempted to hedge its assets or its liabilities for changes in the Overnight Index Swap Rate, but could do so in the future.</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October 2012, the FASB issued amended accounting guidance relating to subsequent accounting for an indemnification asset recognized at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acquisition date as a result of a government-assisted acquisition of a financial institution. The amendment clarifies the existing subsequent measurement guidance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for indemnification assets recognized as a result of a government-assisted acquisition of a financial institution that includes a loss-sharing agreement. Specifically,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when an entity recognizes an indemnification asset as a result of a government-assisted acquisition of a financial institution and subsequently a change in the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flows expected to be collected on the indemnification asset occurs (as a result of a change in cash flows expected to be collected on the assets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indemnification), the entity should account for the change in the measurement of the indemnification asset on the same basis as the change in the assets subject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The period for any amortization of changes in value would be limited to the lesser of the contractual term of the indemnification agreement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life of the indemnified assets. The guidance was effective for fiscal years, and interim periods within those years, beginning on or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2012. The guidance should be applied prospectively to any new indemnification assets recognized after the date of adoption and to indemnification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assets existing as of the date of adoption. The adoption of this guidance did not have a significant effect on the Company’s financial position or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9" w:lineRule="exact"/>
        <w:rPr>
          <w:sz w:val="20"/>
          <w:szCs w:val="20"/>
          <w:color w:val="auto"/>
        </w:rPr>
      </w:pPr>
    </w:p>
    <w:p>
      <w:pPr>
        <w:ind w:right="180" w:firstLine="685"/>
        <w:spacing w:after="0" w:line="295"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was effective for annual reporting periods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beginning on or after January 1, 2013, and interim periods within those annual periods. The new required disclosures should be applied retrospectively for all comparable periods presented. The Company’s disclosures relating to offsetting assets and liabilities can be found in notes 9 and 18 of Notes to Financial Statements.</w:t>
      </w:r>
    </w:p>
    <w:p>
      <w:pPr>
        <w:ind w:right="140" w:firstLine="685"/>
        <w:spacing w:after="0" w:line="286"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The presentation guidance was effective for fiscal years, and interim periods within those years, beginning after December 15, 2011 and was to be applied retrospectively. The Company has complied with the new presentation guidance using separate but consecutive statements. In February 2013, the FASB again amended presentation guidance relating to comprehensive income to require disclosures of significant amounts reclassified out of accumulated other comprehensive income by component for reporting periods beginning after December 15, 2012. The Company’s disclosures relating to accumulated other comprehensive income can be found in note 15 of Notes to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9" w:lineRule="exact"/>
        <w:rPr>
          <w:sz w:val="20"/>
          <w:szCs w:val="20"/>
          <w:color w:val="auto"/>
        </w:rPr>
      </w:pPr>
    </w:p>
    <w:p>
      <w:pPr>
        <w:ind w:right="220" w:firstLine="685"/>
        <w:spacing w:after="0" w:line="254"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TRENDS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and dividends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2013 Quarters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2012 Quarters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Third</w:t>
            </w: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Amounts in thousands, except per share</w:t>
            </w: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740,665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748,791</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756,424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736,425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751,860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751,385</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744,031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720,800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67,982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69,578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73,925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77,931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82,129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89,403</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93,706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interest income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672,683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679,213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683,804</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662,500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673,929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669,256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654,628</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627,094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48,000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38,000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49,000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60,000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446,246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477,388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508,689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432,882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453,164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445,733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391,650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376,723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other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743,072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658,626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598,591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635,596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626,146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616,027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627,392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639,695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333,857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449,975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536,902</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421,786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451,947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452,962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358,886</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315,122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Applicable income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106,236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149,391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182,219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141,223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149,247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152,966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118,861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101,954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6,217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6,645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221,422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294,479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348,466</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274,113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296,193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293,462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233,380</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206,463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income available to common shareholders-diluted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203,451</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275,356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86"/>
              </w:rPr>
              <w:t>328,557</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255,096</w:t>
            </w:r>
          </w:p>
        </w:tc>
        <w:tc>
          <w:tcPr>
            <w:tcW w:w="2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276,605</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273,896</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214,716</w:t>
            </w: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188,241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common share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129,497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129,171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128,252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127,669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126,918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125,819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125,488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125,220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130,464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130,265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129,017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128,636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127,800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126,292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125,897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125,616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Performance ratios, annualized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13.78%</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interest margin on average earning assets (taxable-equivalent basis)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3.71%</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3.77%</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Nonaccrual loans to total 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(tangible) results(a)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227,797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300,968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360,734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285,136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304,657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302,060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247,433</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218,360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Diluted net operating income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22.72%</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18.54%</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Efficiency ratio(b)</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56.03%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50.92%</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55.88%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53.73%</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56.86%</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85,330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84,011</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83,352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81,913</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81,366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80,432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80,087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81,754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80,427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79,760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78,311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77,755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76,810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76,455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75,049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74,667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73,960</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72,339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71,679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70,662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70,450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5,293</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63,550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64,858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65,979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65,852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63,455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61,826</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67,212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66,232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65,680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64,540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62,743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61,530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10,228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10,003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9,687</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9,448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8,668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6,095</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At end of quarter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85,162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84,427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83,229</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82,812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83,009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81,085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80,808</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81,589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80,847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79,641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79,215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79,402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77,469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77,181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74,706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74,085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73,927</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73,543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72,859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71,220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71,065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5,211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7,057</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64,073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63,659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65,972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65,924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66,571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64,112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62,851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67,119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66,552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65,661</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65,090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65,611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64,007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62,549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 net of undeclared cumulative preferred dividends(c)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10,421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10,133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9,836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8,758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6,553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6,248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5,131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75.98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69.15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equity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50.32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48.26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price per common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117.29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119.54</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105.90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105.33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95.98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109.23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109.47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95.68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76.92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Closing</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116.42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111.92</w:t>
            </w: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111.75</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103.16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98.47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82.57</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43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0"/>
          <w:szCs w:val="20"/>
          <w:color w:val="auto"/>
        </w:rPr>
      </w:pPr>
    </w:p>
    <w:p>
      <w:pPr>
        <w:ind w:left="340" w:right="100" w:hanging="332"/>
        <w:spacing w:after="0" w:line="239" w:lineRule="auto"/>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24.</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expenses and net securities transactions.</w:t>
      </w:r>
    </w:p>
    <w:p>
      <w:pPr>
        <w:spacing w:after="0" w:line="41" w:lineRule="exact"/>
        <w:rPr>
          <w:rFonts w:ascii="Arial" w:cs="Arial" w:eastAsia="Arial" w:hAnsi="Arial"/>
          <w:sz w:val="14"/>
          <w:szCs w:val="14"/>
          <w:i w:val="1"/>
          <w:iCs w:val="1"/>
          <w:color w:val="auto"/>
        </w:rPr>
      </w:pPr>
    </w:p>
    <w:p>
      <w:pPr>
        <w:ind w:left="340" w:right="20" w:hanging="332"/>
        <w:spacing w:after="0" w:line="239" w:lineRule="auto"/>
        <w:tabs>
          <w:tab w:leader="none" w:pos="34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24.</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QUARTERLY GAAP TO NON-GAAP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2013 Quarters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2012 Quarters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0"/>
              </w:rPr>
              <w:t>Fourth</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2"/>
              </w:rPr>
              <w:t>Second</w:t>
            </w:r>
          </w:p>
        </w:tc>
        <w:tc>
          <w:tcPr>
            <w:tcW w:w="160" w:type="dxa"/>
            <w:vAlign w:val="bottom"/>
          </w:tcPr>
          <w:p>
            <w:pPr>
              <w:spacing w:after="0"/>
              <w:rPr>
                <w:sz w:val="12"/>
                <w:szCs w:val="12"/>
                <w:color w:val="auto"/>
              </w:rPr>
            </w:pPr>
          </w:p>
        </w:tc>
        <w:tc>
          <w:tcPr>
            <w:tcW w:w="5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Fourth</w:t>
            </w: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221,422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294,479</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348,466</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274,113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296,193</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293,462</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233,380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6,375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7,632</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operating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227,797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300,968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360,734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285,136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304,657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302,060</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247,433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218,360</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4"/>
                <w:szCs w:val="14"/>
                <w:color w:val="auto"/>
              </w:rPr>
              <w:t>Diluted net operating earnings per common share</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1.61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2.16</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2.23</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2.24</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1.82</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743,072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658,626</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598,591</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635,596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626,146</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616,027</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627,392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639,695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(10,439)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(10,628)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(12,502)</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(14,085)</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(7,632)</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732,633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647,998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578,457</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617,521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612,281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601,942</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604,334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620,193</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3,024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Equipment and net occupancy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Other costs of operations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7,632</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7,151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732,633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647,998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578,457</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617,521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612,281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601,942</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604,334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620,193</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w w:val="98"/>
              </w:rPr>
              <w:t>672,683</w:t>
            </w: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679,213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683,804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662,500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673,929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669,256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654,628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627,094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446,246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477,388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508,689</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432,882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453,164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445,733</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391,650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376,723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Less: Gain (loss) on bank investment 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56,457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OTTI losses recognized in earnings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(14,491)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(5,672)</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(16,173)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color w:val="auto"/>
              </w:rPr>
              <w:t>Denominator</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0"/>
              </w:rPr>
              <w:t>1,118,929</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1,156,601</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1,136,036</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1,105,182</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1,141,584</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1,120,289</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1,062,859</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1,015,258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Efficiency ratio</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65.48%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56.03%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50.92%</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55.88%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53.63%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53.73%</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56.86%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assets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85,330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83,352</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81,913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81,366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80,432</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80,087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81,754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79,760</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78,311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76,810</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76,455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74,381</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common equity</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total equity</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10,563</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10,322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9,789</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(878)</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(876)</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(872)</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(870)</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10,228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9,687</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8,919</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6,095</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5,846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5,297</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end of quarter</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85,162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84,427</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83,229</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82,812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83,009</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81,085</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80,808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tangible assets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81,589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80,847</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79,641</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79,215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79,402</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77,469</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77,181</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75,548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common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equity</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11,306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11,016</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10,716</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10,423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10,203</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9,945</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9,630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(882)</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(879)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(873)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(870)</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Undeclared dividends-cumulative 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Common equity, net of undeclared cumulative preferred dividends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10,421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9,836</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9,071</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tangible common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5,948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i w:val="1"/>
          <w:iCs w:val="1"/>
          <w:color w:val="auto"/>
        </w:rPr>
        <w:t>(a)</w:t>
        <w:tab/>
        <w:t>After any related tax effect.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Incorporated by reference to the discussion contained in Part II, Item 7, “Management’s Discussion and Analysis of Financial Condition and Results of Operations,” under the captions “Liquidity, Market Risk, and Interest Rate Sensitivity” (including Table 21) and “Capital.”</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 and Financial Statement Schedules</w:t>
            </w:r>
          </w:p>
        </w:tc>
        <w:tc>
          <w:tcPr>
            <w:tcW w:w="1820" w:type="dxa"/>
            <w:vAlign w:val="bottom"/>
          </w:tcPr>
          <w:p>
            <w:pPr>
              <w:spacing w:after="0"/>
              <w:rPr>
                <w:sz w:val="19"/>
                <w:szCs w:val="19"/>
                <w:color w:val="auto"/>
              </w:rPr>
            </w:pPr>
          </w:p>
        </w:tc>
      </w:tr>
      <w:tr>
        <w:trPr>
          <w:trHeight w:val="171"/>
        </w:trPr>
        <w:tc>
          <w:tcPr>
            <w:tcW w:w="3720" w:type="dxa"/>
            <w:vAlign w:val="bottom"/>
            <w:tcBorders>
              <w:top w:val="single" w:sz="8" w:color="auto"/>
              <w:bottom w:val="single" w:sz="8" w:color="0000EE"/>
            </w:tcBorders>
            <w:gridSpan w:val="2"/>
          </w:tcPr>
          <w:p>
            <w:pPr>
              <w:spacing w:after="0" w:line="171"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Report on Internal Control Over Financial Reporting</w:t>
              </w:r>
            </w:hyperlink>
          </w:p>
        </w:tc>
        <w:tc>
          <w:tcPr>
            <w:tcW w:w="1040" w:type="dxa"/>
            <w:vAlign w:val="bottom"/>
            <w:tcBorders>
              <w:top w:val="single" w:sz="8" w:color="auto"/>
            </w:tcBorders>
            <w:gridSpan w:val="3"/>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right"/>
              <w:spacing w:after="0" w:line="171" w:lineRule="exact"/>
              <w:rPr>
                <w:sz w:val="20"/>
                <w:szCs w:val="20"/>
                <w:color w:val="auto"/>
              </w:rPr>
            </w:pPr>
            <w:r>
              <w:rPr>
                <w:rFonts w:ascii="Arial" w:cs="Arial" w:eastAsia="Arial" w:hAnsi="Arial"/>
                <w:sz w:val="18"/>
                <w:szCs w:val="18"/>
                <w:color w:val="auto"/>
              </w:rPr>
              <w:t>97</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2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Consolidated Balance Sheet — December 31, 2013 and 2012</w:t>
              </w:r>
            </w:hyperlink>
          </w:p>
        </w:tc>
        <w:tc>
          <w:tcPr>
            <w:tcW w:w="518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 of Income — Years ended December 31, 2013, 2012 and 2011</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2100" w:type="dxa"/>
            <w:vAlign w:val="bottom"/>
            <w:shd w:val="clear" w:color="auto" w:fill="0000EE"/>
          </w:tcPr>
          <w:p>
            <w:pPr>
              <w:spacing w:after="0" w:line="20" w:lineRule="exact"/>
              <w:rPr>
                <w:sz w:val="1"/>
                <w:szCs w:val="1"/>
                <w:color w:val="auto"/>
              </w:rPr>
            </w:pPr>
          </w:p>
        </w:tc>
        <w:tc>
          <w:tcPr>
            <w:tcW w:w="40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2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Consolidated Statement of Comprehensive Income — Years ended December 31, 2013, 2012 and 2011</w:t>
              </w:r>
            </w:hyperlink>
          </w:p>
        </w:tc>
        <w:tc>
          <w:tcPr>
            <w:tcW w:w="22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 of Cash Flows — Years ended December 31, 2013, 2012 and 2011</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2100" w:type="dxa"/>
            <w:vAlign w:val="bottom"/>
            <w:shd w:val="clear" w:color="auto" w:fill="0000EE"/>
          </w:tcPr>
          <w:p>
            <w:pPr>
              <w:spacing w:after="0" w:line="20" w:lineRule="exact"/>
              <w:rPr>
                <w:sz w:val="1"/>
                <w:szCs w:val="1"/>
                <w:color w:val="auto"/>
              </w:rPr>
            </w:pPr>
          </w:p>
        </w:tc>
        <w:tc>
          <w:tcPr>
            <w:tcW w:w="4300" w:type="dxa"/>
            <w:vAlign w:val="bottom"/>
            <w:gridSpan w:val="6"/>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 of Changes in Shareholders’ Equity — Years ended December 31, 2013, 2012 and 2011</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7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Notes to Financial Statements</w:t>
              </w:r>
            </w:hyperlink>
          </w:p>
        </w:tc>
        <w:tc>
          <w:tcPr>
            <w:tcW w:w="156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331"/>
        </w:trPr>
        <w:tc>
          <w:tcPr>
            <w:tcW w:w="2100" w:type="dxa"/>
            <w:vAlign w:val="bottom"/>
            <w:tcBorders>
              <w:top w:val="single" w:sz="8" w:color="0000EE"/>
            </w:tcBorders>
          </w:tcPr>
          <w:p>
            <w:pPr>
              <w:spacing w:after="0"/>
              <w:rPr>
                <w:sz w:val="20"/>
                <w:szCs w:val="20"/>
                <w:color w:val="auto"/>
              </w:rPr>
            </w:pPr>
            <w:r>
              <w:rPr>
                <w:rFonts w:ascii="Arial" w:cs="Arial" w:eastAsia="Arial" w:hAnsi="Arial"/>
                <w:sz w:val="14"/>
                <w:szCs w:val="14"/>
                <w:color w:val="auto"/>
              </w:rPr>
              <w:t>96</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2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2013 based on criteria described in “Internal Control — Integrated Framework (1992)” issued by the Committee of Sponsoring Organizations of the Treadway Commission. Based on that assessment, management concluded that the Company maintained effective internal control over financial reporting as of December 31, 2013.</w:t>
      </w:r>
    </w:p>
    <w:p>
      <w:pPr>
        <w:spacing w:after="0" w:line="3"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15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191135</wp:posOffset>
            </wp:positionV>
            <wp:extent cx="2452370" cy="394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523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187325</wp:posOffset>
            </wp:positionV>
            <wp:extent cx="1320800" cy="677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208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M&amp;T Bank Corporation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comprehensive income, cash flows, and changes in shareholders’ equity present fairly, in all material respects, the financial position of M&amp;T Bank Corporation and its subsidiaries (the “Company”) at December 31, 2013 and December 31, 2012, and the results of its operations and its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Internal Control — Integrated Framework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075180"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751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00" w:type="dxa"/>
            <w:vAlign w:val="bottom"/>
          </w:tcPr>
          <w:p>
            <w:pPr>
              <w:spacing w:after="0"/>
              <w:rPr>
                <w:sz w:val="14"/>
                <w:szCs w:val="14"/>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1,573,361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1,983,615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1,651,138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5"/>
              </w:rPr>
              <w:t>Investment securities (includes pledged securities that can be sold or repledged of $1,696,438 at December 31, 2013;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$1,801,842 at December 31, 2012)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 (cost: $4,444,365 at December 31, 2013; $4,643,070 at December 31, 2012)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4,531,786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4,739,437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Held to maturity (fair value: $3,860,127 at December 31, 2013; $976,883 at December 31, 2012)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3,966,130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1,032,276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(fair value: $298,581 at December 31, 2013; $302,648 at December 31, 2012)</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8,796,497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6,074,361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64,325,783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66,790,186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(252,624)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(219,229)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64,073,159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66,570,957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(916,676)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(925,860)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63,156,483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65,645,097</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633,520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594,652</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115,763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5,282,212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4,448,779</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85,162,391</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83,008,803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24,661,007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24,240,802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1,989,441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1,979,619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36,621,580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33,783,947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3,523,838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4,562,366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1,044,519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67,118,612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65,611,253</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260,455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1,074,482</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1,368,922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1,512,717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5,108,870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4,607,758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73,856,859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72,806,210</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$1.00 par, 1,000,000 shares authorized; Issued and outstanding: Liquidation preference of $1,000 per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share: 381,500 shares at December 31, 2013 and December 31, 2012; Liquidation preference of $10,000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50,000 shares at December 31, 2013 and December 31, 2012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872,500</w:t>
            </w:r>
          </w:p>
        </w:tc>
        <w:tc>
          <w:tcPr>
            <w:tcW w:w="1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Common stock, $.50 par, 250,000,000 shares authorized, 130,516,364 shares issued at December 31, 2013; 128,176,912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shares issued at December 31, 2012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64,088</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47,231 shares at December 31, 2013; 57,409 shares at December 31, 2012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3,232,014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3,025,520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7,188,004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6,477,276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(64,159)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(240,264)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11,305,532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10,202,593</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85,162,391</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83,008,803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2,734,708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2,704,156</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2,522,567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Fully taxable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209,244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227,116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Exempt from federal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2,957,334</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2,941,685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2,792,087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26,439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199,983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284,105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343,169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402,331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2,673,229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2,598,516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2,389,756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2,488,229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2,394,516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2,119,756</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446,941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446,698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65,647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40,828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56,457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(15,755)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(47,822)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(16,126)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(21,511)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1,865,205</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1,667,270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1,355,178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1,314,540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1,203,993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39,557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FDIC assessments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69,584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2,635,885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2,509,260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2,478,068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1,717,549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1,552,526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579,069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523,028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1,138,480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1,029,498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859,479</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1,062,429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1,062,496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953,429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Year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8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$1,138,480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$1,029,498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$ 859,479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(losses) on investment securities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(2,865)</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114,825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(112)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Defined benefit plans liability adjustment</w:t>
            </w:r>
          </w:p>
        </w:tc>
        <w:tc>
          <w:tcPr>
            <w:tcW w:w="800" w:type="dxa"/>
            <w:vAlign w:val="bottom"/>
          </w:tcPr>
          <w:p>
            <w:pPr>
              <w:jc w:val="right"/>
              <w:spacing w:after="0"/>
              <w:rPr>
                <w:sz w:val="20"/>
                <w:szCs w:val="20"/>
                <w:color w:val="auto"/>
              </w:rPr>
            </w:pPr>
            <w:r>
              <w:rPr>
                <w:rFonts w:ascii="Arial" w:cs="Arial" w:eastAsia="Arial" w:hAnsi="Arial"/>
                <w:sz w:val="18"/>
                <w:szCs w:val="18"/>
                <w:color w:val="auto"/>
              </w:rPr>
              <w:t>178,589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945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(156,824)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116,177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(151,221)</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1,314,585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1,145,675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$ 708,258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9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$ 1,138,480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1,029,498</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credit losses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185,000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204,000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91,469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84,375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65,354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59,555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46,912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60,631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deferred income taxes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139,785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131,858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Asset write-downs</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17,918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63,790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assets</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(127,890)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(6,868)</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(10,523)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(13,898)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71,523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(200,704)</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loans originated for sale</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(674,062)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(924,839)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1960" w:type="dxa"/>
            <w:vAlign w:val="bottom"/>
          </w:tcPr>
          <w:p>
            <w:pPr>
              <w:spacing w:after="0"/>
              <w:rPr>
                <w:sz w:val="12"/>
                <w:szCs w:val="12"/>
                <w:color w:val="auto"/>
              </w:rPr>
            </w:pP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(11,642)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12,583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932,324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499,981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1,772,246</w:t>
            </w:r>
          </w:p>
        </w:tc>
        <w:tc>
          <w:tcPr>
            <w:tcW w:w="0" w:type="dxa"/>
            <w:vAlign w:val="bottom"/>
          </w:tcPr>
          <w:p>
            <w:pPr>
              <w:spacing w:after="0"/>
              <w:rPr>
                <w:sz w:val="1"/>
                <w:szCs w:val="1"/>
                <w:color w:val="auto"/>
              </w:rPr>
            </w:pPr>
          </w:p>
        </w:tc>
      </w:tr>
      <w:tr>
        <w:trPr>
          <w:trHeight w:val="156"/>
        </w:trPr>
        <w:tc>
          <w:tcPr>
            <w:tcW w:w="6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1,081,802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49,528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1,909,829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13,172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78,071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1,034,564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1,585,260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1,307,567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Held to maturity</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287,837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329,279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investment securities</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(197,931)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(28,161)</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6"/>
              </w:rPr>
              <w:t>(3,491,759)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Held to maturity</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(1,977,064)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(285,125)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(9,105)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(13,833)</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decrease in agreements to resell securities</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Net (increase) decrease in loans and leases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123,120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6"/>
              </w:rPr>
              <w:t>(5,672,747)</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6"/>
              </w:rPr>
              <w:t>(2,233,600)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in interest-bearing deposits at banks</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(1,521,193)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2,552,527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(129,563)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(91,519)</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Banks and bank holding companies</w:t>
            </w:r>
          </w:p>
        </w:tc>
        <w:tc>
          <w:tcPr>
            <w:tcW w:w="1960" w:type="dxa"/>
            <w:vAlign w:val="bottom"/>
          </w:tcPr>
          <w:p>
            <w:pPr>
              <w:spacing w:after="0"/>
              <w:rPr>
                <w:sz w:val="12"/>
                <w:szCs w:val="12"/>
                <w:color w:val="auto"/>
              </w:rPr>
            </w:pP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Wilmington Trust Corporation preferred stock</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Net (increase) decrease in loan servicing advances</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(1,004,923)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(69,084)</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95,706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32,458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20"/>
              <w:spacing w:after="0"/>
              <w:rPr>
                <w:sz w:val="20"/>
                <w:szCs w:val="20"/>
                <w:color w:val="auto"/>
              </w:rPr>
            </w:pPr>
            <w:r>
              <w:rPr>
                <w:rFonts w:ascii="Arial" w:cs="Arial" w:eastAsia="Arial" w:hAnsi="Arial"/>
                <w:sz w:val="14"/>
                <w:szCs w:val="14"/>
                <w:color w:val="auto"/>
              </w:rPr>
              <w:t>Net cash provided (used) by investing activities</w:t>
            </w:r>
          </w:p>
        </w:tc>
        <w:tc>
          <w:tcPr>
            <w:tcW w:w="1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52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gridSpan w:val="2"/>
          </w:tcPr>
          <w:p>
            <w:pPr>
              <w:jc w:val="right"/>
              <w:ind w:right="132"/>
              <w:spacing w:after="0" w:line="155" w:lineRule="exact"/>
              <w:rPr>
                <w:sz w:val="20"/>
                <w:szCs w:val="20"/>
                <w:color w:val="auto"/>
              </w:rPr>
            </w:pPr>
            <w:r>
              <w:rPr>
                <w:rFonts w:ascii="Arial" w:cs="Arial" w:eastAsia="Arial" w:hAnsi="Arial"/>
                <w:sz w:val="14"/>
                <w:szCs w:val="14"/>
                <w:color w:val="auto"/>
                <w:w w:val="94"/>
              </w:rPr>
              <w:t>(2,203,578)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86"/>
              </w:rPr>
              <w:t>(4,060,858)</w:t>
            </w:r>
          </w:p>
        </w:tc>
        <w:tc>
          <w:tcPr>
            <w:tcW w:w="8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368,932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9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Net increase in deposits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1,513,884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6,230,391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742,653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in short-term borrowings</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(814,027)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292,422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long-term borrowings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799,760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on long-term borrowings</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(261,212)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(2,080,167)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(1,809,984)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 common</w:t>
            </w:r>
          </w:p>
        </w:tc>
        <w:tc>
          <w:tcPr>
            <w:tcW w:w="2860" w:type="dxa"/>
            <w:vAlign w:val="bottom"/>
            <w:gridSpan w:val="3"/>
          </w:tcPr>
          <w:p>
            <w:pPr>
              <w:jc w:val="right"/>
              <w:ind w:right="132"/>
              <w:spacing w:after="0" w:line="149" w:lineRule="exact"/>
              <w:rPr>
                <w:sz w:val="20"/>
                <w:szCs w:val="20"/>
                <w:color w:val="auto"/>
              </w:rPr>
            </w:pPr>
            <w:r>
              <w:rPr>
                <w:rFonts w:ascii="Arial" w:cs="Arial" w:eastAsia="Arial" w:hAnsi="Arial"/>
                <w:sz w:val="14"/>
                <w:szCs w:val="14"/>
                <w:color w:val="auto"/>
              </w:rPr>
              <w:t>(365,349)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(357,717)</w:t>
            </w: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 preferred</w:t>
            </w:r>
          </w:p>
        </w:tc>
        <w:tc>
          <w:tcPr>
            <w:tcW w:w="286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(53,450)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(53,450)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1960" w:type="dxa"/>
            <w:vAlign w:val="bottom"/>
          </w:tcPr>
          <w:p>
            <w:pPr>
              <w:spacing w:after="0"/>
              <w:rPr>
                <w:sz w:val="12"/>
                <w:szCs w:val="12"/>
                <w:color w:val="auto"/>
              </w:rPr>
            </w:pP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Redemption of preferred stock</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Other, net</w:t>
            </w:r>
          </w:p>
        </w:tc>
        <w:tc>
          <w:tcPr>
            <w:tcW w:w="1960" w:type="dxa"/>
            <w:vAlign w:val="bottom"/>
          </w:tcPr>
          <w:p>
            <w:pPr>
              <w:spacing w:after="0"/>
              <w:rPr>
                <w:sz w:val="12"/>
                <w:szCs w:val="12"/>
                <w:color w:val="auto"/>
              </w:rPr>
            </w:pP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137,967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63,616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(used) by financing activities</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957,573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4,095,095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(1,622,536)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1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900" w:type="dxa"/>
            <w:vAlign w:val="bottom"/>
            <w:gridSpan w:val="2"/>
          </w:tcPr>
          <w:p>
            <w:pPr>
              <w:jc w:val="right"/>
              <w:ind w:right="132"/>
              <w:spacing w:after="0" w:line="155" w:lineRule="exact"/>
              <w:rPr>
                <w:sz w:val="20"/>
                <w:szCs w:val="20"/>
                <w:color w:val="auto"/>
              </w:rPr>
            </w:pPr>
            <w:r>
              <w:rPr>
                <w:rFonts w:ascii="Arial" w:cs="Arial" w:eastAsia="Arial" w:hAnsi="Arial"/>
                <w:sz w:val="14"/>
                <w:szCs w:val="14"/>
                <w:color w:val="auto"/>
              </w:rPr>
              <w:t>(313,681)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534,218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518,642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1,986,615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1,452,397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933,755</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1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4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90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w w:val="86"/>
              </w:rPr>
              <w:t>$ 1,672,934</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1,986,615</w:t>
            </w:r>
          </w:p>
        </w:tc>
        <w:tc>
          <w:tcPr>
            <w:tcW w:w="4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3"/>
              </w:rPr>
              <w:t>1,452,397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Interest received during the year</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$ 2,894,699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2,931,409</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2,807,071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 during the year</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301,734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371,887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Income taxes paid during the year</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389,008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405,598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Securitization of residential mortgage loans allocated to</w:t>
            </w: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Available-for-sale investment securities</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$ 1,690,490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Held-to-maturity investment securities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1,245,444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Capitalized servicing rights</w:t>
            </w:r>
          </w:p>
        </w:tc>
        <w:tc>
          <w:tcPr>
            <w:tcW w:w="2860" w:type="dxa"/>
            <w:vAlign w:val="bottom"/>
            <w:gridSpan w:val="3"/>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30,879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00"/>
              <w:spacing w:after="0" w:line="149" w:lineRule="exact"/>
              <w:rPr>
                <w:sz w:val="20"/>
                <w:szCs w:val="20"/>
                <w:color w:val="auto"/>
              </w:rPr>
            </w:pPr>
            <w:r>
              <w:rPr>
                <w:rFonts w:ascii="Arial" w:cs="Arial" w:eastAsia="Arial" w:hAnsi="Arial"/>
                <w:sz w:val="14"/>
                <w:szCs w:val="14"/>
                <w:color w:val="auto"/>
              </w:rPr>
              <w:t>Real estate acquired in settlement of loans</w:t>
            </w:r>
          </w:p>
        </w:tc>
        <w:tc>
          <w:tcPr>
            <w:tcW w:w="286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44,804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48,932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w:t>
            </w:r>
          </w:p>
        </w:tc>
        <w:tc>
          <w:tcPr>
            <w:tcW w:w="1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420"/>
              <w:spacing w:after="0" w:line="149" w:lineRule="exact"/>
              <w:rPr>
                <w:sz w:val="20"/>
                <w:szCs w:val="20"/>
                <w:color w:val="auto"/>
              </w:rPr>
            </w:pPr>
            <w:r>
              <w:rPr>
                <w:rFonts w:ascii="Arial" w:cs="Arial" w:eastAsia="Arial" w:hAnsi="Arial"/>
                <w:sz w:val="14"/>
                <w:szCs w:val="14"/>
                <w:color w:val="auto"/>
              </w:rPr>
              <w:t>Fair value of</w:t>
            </w:r>
          </w:p>
        </w:tc>
        <w:tc>
          <w:tcPr>
            <w:tcW w:w="1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Assets acquired (noncash)</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10,666,102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640"/>
              <w:spacing w:after="0" w:line="149" w:lineRule="exact"/>
              <w:rPr>
                <w:sz w:val="20"/>
                <w:szCs w:val="20"/>
                <w:color w:val="auto"/>
              </w:rPr>
            </w:pPr>
            <w:r>
              <w:rPr>
                <w:rFonts w:ascii="Arial" w:cs="Arial" w:eastAsia="Arial" w:hAnsi="Arial"/>
                <w:sz w:val="14"/>
                <w:szCs w:val="14"/>
                <w:color w:val="auto"/>
              </w:rPr>
              <w:t>Liabilities assumed</w:t>
            </w:r>
          </w:p>
        </w:tc>
        <w:tc>
          <w:tcPr>
            <w:tcW w:w="1960" w:type="dxa"/>
            <w:vAlign w:val="bottom"/>
          </w:tcPr>
          <w:p>
            <w:pPr>
              <w:spacing w:after="0"/>
              <w:rPr>
                <w:sz w:val="12"/>
                <w:szCs w:val="12"/>
                <w:color w:val="auto"/>
              </w:rPr>
            </w:pP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2"/>
              </w:rPr>
              <w:t>10,044,555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Common stock issued</w:t>
            </w:r>
          </w:p>
        </w:tc>
        <w:tc>
          <w:tcPr>
            <w:tcW w:w="19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Common</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6"/>
              </w:rPr>
              <w:t>Preferred</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Common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Retained</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Treasury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Issuable</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Earnings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Balance — January 1, 2011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$ 740,657</w:t>
            </w:r>
          </w:p>
        </w:tc>
        <w:tc>
          <w:tcPr>
            <w:tcW w:w="2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60,198</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4,189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2,398,615</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5,426,701</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(205,220)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(67,445)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8,357,695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859,479</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(151,221)</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708,258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Acquisition of Wilmington Trust Corporation — common stock issued</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2,348</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403,209</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Series A preferred stock</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(370,000)</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w w:val="93"/>
              </w:rPr>
              <w:t>Conversion of Series B preferred stock into 433,144 shares of common stock</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(26,500)</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21,754</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4,554</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(48,203)</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20,428</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(20,428)</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12,196</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31,666</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(4,300)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30,106</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(164)</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(350,196)</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2011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$ 864,585</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62,842</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2,828,986</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5,867,165</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(356,441)</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9,271,209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1,029,498</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116,177</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1,145,675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(53,450)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(7,915)</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229</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928</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135,017</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purchase plan</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10,042</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1,471</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1,474</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(357,862)</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(357,862)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Balance — December 31, 2012</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$ 872,500</w:t>
            </w:r>
          </w:p>
        </w:tc>
        <w:tc>
          <w:tcPr>
            <w:tcW w:w="2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64,088</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3,473</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3,025,520</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6,477,276</w:t>
            </w:r>
          </w:p>
        </w:tc>
        <w:tc>
          <w:tcPr>
            <w:tcW w:w="260" w:type="dxa"/>
            <w:vAlign w:val="bottom"/>
          </w:tcPr>
          <w:p>
            <w:pPr>
              <w:spacing w:after="0"/>
              <w:rPr>
                <w:sz w:val="13"/>
                <w:szCs w:val="13"/>
                <w:color w:val="auto"/>
              </w:rPr>
            </w:pPr>
          </w:p>
        </w:tc>
        <w:tc>
          <w:tcPr>
            <w:tcW w:w="11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(240,264)</w:t>
            </w:r>
          </w:p>
        </w:tc>
        <w:tc>
          <w:tcPr>
            <w:tcW w:w="8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10,202,593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1,138,480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176,105</w:t>
            </w:r>
          </w:p>
        </w:tc>
        <w:tc>
          <w:tcPr>
            <w:tcW w:w="26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1,314,585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(53,450)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2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Exercise of 407,542 Series C stock warrants into 186,589 shares of common</w:t>
            </w: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8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93</w:t>
            </w: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(93)</w:t>
            </w:r>
          </w:p>
        </w:tc>
        <w:tc>
          <w:tcPr>
            <w:tcW w:w="8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w w:val="90"/>
              </w:rPr>
              <w:t>Exercise of 69,127 Series A stock warrants into 25,427 shares of common stock</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Compensation expense, net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37,890</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Exercises of stock options, net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914</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163,891</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Directors’ stock plan</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1,636</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2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(365,171)</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(365,171)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Balance — December 31, 2013</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$ 881,500</w:t>
            </w:r>
          </w:p>
        </w:tc>
        <w:tc>
          <w:tcPr>
            <w:tcW w:w="2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65,258</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2,915</w:t>
            </w:r>
          </w:p>
        </w:tc>
        <w:tc>
          <w:tcPr>
            <w:tcW w:w="2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3,232,014</w:t>
            </w:r>
          </w:p>
        </w:tc>
        <w:tc>
          <w:tcPr>
            <w:tcW w:w="2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7,188,004</w:t>
            </w:r>
          </w:p>
        </w:tc>
        <w:tc>
          <w:tcPr>
            <w:tcW w:w="260" w:type="dxa"/>
            <w:vAlign w:val="bottom"/>
          </w:tcPr>
          <w:p>
            <w:pPr>
              <w:spacing w:after="0"/>
              <w:rPr>
                <w:sz w:val="13"/>
                <w:szCs w:val="13"/>
                <w:color w:val="auto"/>
              </w:rPr>
            </w:pPr>
          </w:p>
        </w:tc>
        <w:tc>
          <w:tcPr>
            <w:tcW w:w="11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(64,159)</w:t>
            </w:r>
          </w:p>
        </w:tc>
        <w:tc>
          <w:tcPr>
            <w:tcW w:w="8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11,305,532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Significant accounting policies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Delaware, Virginia and the District of Columbia and on small and medium-size businesses based in those areas. Banking services are also provided in West Virginia and New Jersey, while certain subsidiaries also conduct activities in other areas.</w:t>
      </w:r>
    </w:p>
    <w:p>
      <w:pPr>
        <w:spacing w:after="0" w:line="3"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5"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statement, cash and due from banks and federal funds sold are considered cash and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securities are stated at cost and include stock of the Federal Reserve Bank of New York and the Federal Home Loan Bank (“FHLB”)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methods for loans depends on whether the loans were originated by the Company or were acquired in a business combination.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Originated loans and leases</w:t>
      </w:r>
    </w:p>
    <w:p>
      <w:pPr>
        <w:spacing w:after="0" w:line="1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1" w:lineRule="exact"/>
        <w:rPr>
          <w:sz w:val="20"/>
          <w:szCs w:val="20"/>
          <w:color w:val="auto"/>
        </w:rPr>
      </w:pPr>
    </w:p>
    <w:p>
      <w:pPr>
        <w:ind w:right="60" w:firstLine="685"/>
        <w:spacing w:after="0" w:line="309" w:lineRule="auto"/>
        <w:rPr>
          <w:sz w:val="20"/>
          <w:szCs w:val="20"/>
          <w:color w:val="auto"/>
        </w:rPr>
      </w:pPr>
      <w:r>
        <w:rPr>
          <w:rFonts w:ascii="Arial" w:cs="Arial" w:eastAsia="Arial" w:hAnsi="Arial"/>
          <w:sz w:val="15"/>
          <w:szCs w:val="15"/>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ind w:right="420" w:firstLine="685"/>
        <w:spacing w:after="0" w:line="323" w:lineRule="auto"/>
        <w:rPr>
          <w:sz w:val="20"/>
          <w:szCs w:val="20"/>
          <w:color w:val="auto"/>
        </w:rPr>
      </w:pPr>
      <w:r>
        <w:rPr>
          <w:rFonts w:ascii="Arial" w:cs="Arial" w:eastAsia="Arial" w:hAnsi="Arial"/>
          <w:sz w:val="16"/>
          <w:szCs w:val="16"/>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and leases acquired in a business combination</w:t>
      </w:r>
    </w:p>
    <w:p>
      <w:pPr>
        <w:spacing w:after="0" w:line="1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Loans acquired in a business combination subsequent to December 31, 2008 are recorded at fair value with no carry-over of an acquired entity’s previously established allowance for credit losses.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3" w:lineRule="exact"/>
        <w:rPr>
          <w:sz w:val="20"/>
          <w:szCs w:val="20"/>
          <w:color w:val="auto"/>
        </w:rPr>
      </w:pPr>
    </w:p>
    <w:p>
      <w:pPr>
        <w:ind w:right="260" w:firstLine="685"/>
        <w:spacing w:after="0" w:line="261" w:lineRule="auto"/>
        <w:rPr>
          <w:sz w:val="20"/>
          <w:szCs w:val="20"/>
          <w:color w:val="auto"/>
        </w:rPr>
      </w:pPr>
      <w:r>
        <w:rPr>
          <w:rFonts w:ascii="Arial" w:cs="Arial" w:eastAsia="Arial" w:hAnsi="Arial"/>
          <w:sz w:val="18"/>
          <w:szCs w:val="18"/>
          <w:color w:val="auto"/>
        </w:rPr>
        <w:t>Purchased impaired loans represent specifically identified loans with evidence of credit deterioration for which it was probable at acquisition that the Company would be unable to collect all contractual principal and interest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costs of operations”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Premises and equipment are stated at cost less accumulated depreciation. Depreciation expense is computed principally using the straight-line method over the estimated useful lives of the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685"/>
        <w:spacing w:after="0" w:line="310" w:lineRule="auto"/>
        <w:rPr>
          <w:sz w:val="20"/>
          <w:szCs w:val="20"/>
          <w:color w:val="auto"/>
        </w:rPr>
      </w:pPr>
      <w:r>
        <w:rPr>
          <w:rFonts w:ascii="Arial" w:cs="Arial" w:eastAsia="Arial" w:hAnsi="Arial"/>
          <w:sz w:val="15"/>
          <w:szCs w:val="15"/>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securitizations of financial assets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3" w:lineRule="exact"/>
        <w:rPr>
          <w:sz w:val="20"/>
          <w:szCs w:val="20"/>
          <w:color w:val="auto"/>
        </w:rPr>
      </w:pPr>
    </w:p>
    <w:p>
      <w:pPr>
        <w:ind w:right="120" w:firstLine="685"/>
        <w:spacing w:after="0" w:line="254" w:lineRule="auto"/>
        <w:rPr>
          <w:sz w:val="20"/>
          <w:szCs w:val="20"/>
          <w:color w:val="auto"/>
        </w:rPr>
      </w:pPr>
      <w:r>
        <w:rPr>
          <w:rFonts w:ascii="Arial" w:cs="Arial" w:eastAsia="Arial" w:hAnsi="Arial"/>
          <w:sz w:val="18"/>
          <w:szCs w:val="18"/>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and other intangible assets</w:t>
      </w:r>
    </w:p>
    <w:p>
      <w:pPr>
        <w:spacing w:after="0" w:line="1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6"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w:t>
      </w:r>
    </w:p>
    <w:p>
      <w:pPr>
        <w:spacing w:after="0" w:line="1" w:lineRule="exact"/>
        <w:rPr>
          <w:sz w:val="20"/>
          <w:szCs w:val="20"/>
          <w:color w:val="auto"/>
        </w:rPr>
      </w:pPr>
    </w:p>
    <w:p>
      <w:pPr>
        <w:jc w:val="both"/>
        <w:ind w:right="160" w:firstLine="685"/>
        <w:spacing w:after="0" w:line="302" w:lineRule="auto"/>
        <w:rPr>
          <w:sz w:val="20"/>
          <w:szCs w:val="20"/>
          <w:color w:val="auto"/>
        </w:rPr>
      </w:pPr>
      <w:r>
        <w:rPr>
          <w:rFonts w:ascii="Arial" w:cs="Arial" w:eastAsia="Arial" w:hAnsi="Arial"/>
          <w:sz w:val="16"/>
          <w:szCs w:val="16"/>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right="100" w:firstLine="685"/>
        <w:spacing w:after="0" w:line="295" w:lineRule="auto"/>
        <w:rPr>
          <w:sz w:val="20"/>
          <w:szCs w:val="20"/>
          <w:color w:val="auto"/>
        </w:rPr>
      </w:pPr>
      <w:r>
        <w:rPr>
          <w:rFonts w:ascii="Arial" w:cs="Arial" w:eastAsia="Arial" w:hAnsi="Arial"/>
          <w:sz w:val="16"/>
          <w:szCs w:val="16"/>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5"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Repurchases of shares of M&amp;T common stock are recorded at cost as a reduction of shareholders’ equity. Reissuances of shares of treasury stock are recorded at average cost.</w:t>
      </w:r>
    </w:p>
    <w:p>
      <w:pPr>
        <w:spacing w:after="0" w:line="21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December 31, 2013 total consideration to be paid was valued at approximately $5.0 billion.</w:t>
      </w:r>
    </w:p>
    <w:p>
      <w:pPr>
        <w:spacing w:after="0" w:line="3" w:lineRule="exact"/>
        <w:rPr>
          <w:sz w:val="20"/>
          <w:szCs w:val="20"/>
          <w:color w:val="auto"/>
        </w:rPr>
      </w:pPr>
    </w:p>
    <w:p>
      <w:pPr>
        <w:ind w:right="180" w:firstLine="685"/>
        <w:spacing w:after="0" w:line="250" w:lineRule="auto"/>
        <w:rPr>
          <w:sz w:val="20"/>
          <w:szCs w:val="20"/>
          <w:color w:val="auto"/>
        </w:rPr>
      </w:pPr>
      <w:r>
        <w:rPr>
          <w:rFonts w:ascii="Arial" w:cs="Arial" w:eastAsia="Arial" w:hAnsi="Arial"/>
          <w:sz w:val="18"/>
          <w:szCs w:val="18"/>
          <w:color w:val="auto"/>
        </w:rPr>
        <w:t>At December 31, 2013, Hudson City had $38.6 billion of assets, including $24.2 billion of loans and $9.3 billion of investment securities, and $33.9 billion of liabilities, including $21.5 billion of deposits. The merger has received the approval of the common shareholders of M&amp;T and Hudson City. However, the merger is subject to a number of other conditions, including regulatory approvals.</w:t>
      </w:r>
    </w:p>
    <w:p>
      <w:pPr>
        <w:spacing w:after="0" w:line="1" w:lineRule="exact"/>
        <w:rPr>
          <w:sz w:val="20"/>
          <w:szCs w:val="20"/>
          <w:color w:val="auto"/>
        </w:rPr>
      </w:pPr>
    </w:p>
    <w:p>
      <w:pPr>
        <w:ind w:right="280" w:firstLine="685"/>
        <w:spacing w:after="0" w:line="255" w:lineRule="auto"/>
        <w:rPr>
          <w:sz w:val="20"/>
          <w:szCs w:val="20"/>
          <w:color w:val="auto"/>
        </w:rPr>
      </w:pPr>
      <w:r>
        <w:rPr>
          <w:rFonts w:ascii="Arial" w:cs="Arial" w:eastAsia="Arial" w:hAnsi="Arial"/>
          <w:sz w:val="18"/>
          <w:szCs w:val="18"/>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to the Federal Reserve Bank a revised compliance risk management program designed to ensure compliance with the Bank Secrecy Act and anti-money-laundering laws and regulations and to take certain other steps to enhance their compliance practices. The Company has commenced a major initiative, including the hiring of outside consulting firms, intended to fully address the Federal Reserve Bank’s concerns. In view of the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there can be no assurances that the merger will be completed by that date.</w:t>
      </w:r>
    </w:p>
    <w:p>
      <w:pPr>
        <w:spacing w:after="0" w:line="1"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(“TARP”) of the U.S. Department of Treasury (“U.S. Treasury”). In connection with the acquisition, the Company recorded $112 million of core deposit and other intangible assets. The core deposit and other intangible assets are generally being amortized over periods of 5 to 7 years using accelerated methods.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the leading deposit market share in Delaware.</w:t>
      </w:r>
    </w:p>
    <w:p>
      <w:pPr>
        <w:spacing w:after="0" w:line="7"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following table discloses the impact of Wilmington Trust (excluding the impact of the merger-related gain and expenses) since the acquisition on May 16, 2011 through the end of 2011. The table also presents certain pro forma information as if Wilmington Trust had been included in the Company’s consolidated financial results for all of 2011.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earlier than indicated. In particular, no adjustments have been made to eliminate the amount of Wilmington Trust’s provision for credit losses of $42 million in 2011 or the impact of other-than-temporary impairment losses recognized by Wilmington Trust of $5 million in 2011 that may not have been necessary had the acquired loans and investment securities been recorded at fair value as of the beginning of 2011. Expenses related to systems conversions and other costs of integration of $84 million and the $65 million gain recorded in connection with the acquisition are included in the 2011 pro forma results. Additionally, the Company has achieved further operating cost savings and other business synergies as a result of the acquisition which are not reflected in the pro forma amounts that follow.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b w:val="1"/>
                <w:bCs w:val="1"/>
                <w:color w:val="auto"/>
                <w:w w:val="88"/>
              </w:rPr>
              <w:t>Actual Since</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Pro Forma</w:t>
            </w:r>
          </w:p>
        </w:tc>
      </w:tr>
      <w:tr>
        <w:trPr>
          <w:trHeight w:val="149"/>
        </w:trPr>
        <w:tc>
          <w:tcPr>
            <w:tcW w:w="8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Through</w:t>
            </w:r>
          </w:p>
        </w:tc>
        <w:tc>
          <w:tcPr>
            <w:tcW w:w="1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61"/>
        </w:trPr>
        <w:tc>
          <w:tcPr>
            <w:tcW w:w="80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2180" w:type="dxa"/>
            <w:vAlign w:val="bottom"/>
            <w:gridSpan w:val="3"/>
          </w:tcPr>
          <w:p>
            <w:pPr>
              <w:jc w:val="center"/>
              <w:ind w:left="826"/>
              <w:spacing w:after="0"/>
              <w:rPr>
                <w:sz w:val="20"/>
                <w:szCs w:val="20"/>
                <w:color w:val="auto"/>
              </w:rPr>
            </w:pPr>
            <w:r>
              <w:rPr>
                <w:rFonts w:ascii="Arial" w:cs="Arial" w:eastAsia="Arial" w:hAnsi="Arial"/>
                <w:sz w:val="14"/>
                <w:szCs w:val="14"/>
                <w:b w:val="1"/>
                <w:bCs w:val="1"/>
                <w:color w:val="auto"/>
                <w:w w:val="85"/>
              </w:rPr>
              <w:t>December 31, 2011</w:t>
            </w:r>
          </w:p>
        </w:tc>
      </w:tr>
      <w:tr>
        <w:trPr>
          <w:trHeight w:val="142"/>
        </w:trPr>
        <w:tc>
          <w:tcPr>
            <w:tcW w:w="8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4,202,109</w:t>
            </w:r>
          </w:p>
        </w:tc>
        <w:tc>
          <w:tcPr>
            <w:tcW w:w="100" w:type="dxa"/>
            <w:vAlign w:val="bottom"/>
            <w:shd w:val="clear" w:color="auto" w:fill="CCEEFF"/>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18,586</w:t>
            </w:r>
          </w:p>
        </w:tc>
        <w:tc>
          <w:tcPr>
            <w:tcW w:w="1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808,696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83" w:lineRule="auto"/>
        <w:rPr>
          <w:sz w:val="20"/>
          <w:szCs w:val="20"/>
          <w:color w:val="auto"/>
        </w:rPr>
      </w:pPr>
      <w:r>
        <w:rPr>
          <w:rFonts w:ascii="Arial" w:cs="Arial" w:eastAsia="Arial" w:hAnsi="Arial"/>
          <w:sz w:val="16"/>
          <w:szCs w:val="16"/>
          <w:color w:val="auto"/>
        </w:rPr>
        <w:t>The Company incurred merger-related expenses in 2013 associated with the pending Hudson City acquisition and in 2012 and 2011 predominantly associated with the Wilmington Trust acquisition related to actual or planned systems conversions and other costs of integrating and conforming acquired operations with and into the Company. Those expenses consisted largely of professional services and other temporary help fees associated with the actual or planned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 severance (for former employees of acquired entities) and incentive compensation costs; travel costs; and printing, postage, supplies and other costs of planning for or completing the transactions and commencing operations in new markets and offices.</w:t>
      </w:r>
    </w:p>
    <w:p>
      <w:pPr>
        <w:ind w:left="700"/>
        <w:spacing w:after="0"/>
        <w:rPr>
          <w:sz w:val="20"/>
          <w:szCs w:val="20"/>
          <w:color w:val="auto"/>
        </w:rPr>
      </w:pPr>
      <w:r>
        <w:rPr>
          <w:rFonts w:ascii="Arial" w:cs="Arial" w:eastAsia="Arial" w:hAnsi="Arial"/>
          <w:sz w:val="16"/>
          <w:szCs w:val="16"/>
          <w:color w:val="auto"/>
        </w:rPr>
        <w:t>A summary of merger-related expenses included in the consolidated statement of income for the years ended December 31, 2013, 2012 and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64,481</w:t>
            </w: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12,364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83,687</w:t>
            </w:r>
          </w:p>
        </w:tc>
        <w:tc>
          <w:tcPr>
            <w:tcW w:w="100" w:type="dxa"/>
            <w:vAlign w:val="bottom"/>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Investment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4,123,435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61,001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4,165,086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21,666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137,828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4,444,365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127,333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4,531,786</w:t>
            </w: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169,684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3,567,905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3,518,916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219,628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3,966,130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125,907</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3,860,127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8,709,076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147,237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165,819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8,690,494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110</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96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Amortized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39,344</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20,901</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3,163,210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208,060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3,371,041</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1,142,287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1,023,886</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19,663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61,869</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111,950</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4,643,070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253,619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4,739,437</w:t>
            </w: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189,723</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629,067</w:t>
            </w: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242,378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94,900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147,638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1,032,276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94,927</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5,977,994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293,153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252,179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6,018,968</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20" w:firstLine="685"/>
        <w:spacing w:after="0" w:line="254" w:lineRule="auto"/>
        <w:rPr>
          <w:sz w:val="20"/>
          <w:szCs w:val="20"/>
          <w:color w:val="auto"/>
        </w:rPr>
      </w:pPr>
      <w:r>
        <w:rPr>
          <w:rFonts w:ascii="Arial" w:cs="Arial" w:eastAsia="Arial" w:hAnsi="Arial"/>
          <w:sz w:val="18"/>
          <w:szCs w:val="18"/>
          <w:color w:val="auto"/>
        </w:rPr>
        <w:t>No investment in securities of a single non-U.S. Government or government agency issuer exceeded ten percent of shareholders’ equity at December 31, 2013.</w:t>
      </w:r>
    </w:p>
    <w:p>
      <w:pPr>
        <w:ind w:right="40" w:firstLine="685"/>
        <w:spacing w:after="0" w:line="261" w:lineRule="auto"/>
        <w:rPr>
          <w:sz w:val="20"/>
          <w:szCs w:val="20"/>
          <w:color w:val="auto"/>
        </w:rPr>
      </w:pPr>
      <w:r>
        <w:rPr>
          <w:rFonts w:ascii="Arial" w:cs="Arial" w:eastAsia="Arial" w:hAnsi="Arial"/>
          <w:sz w:val="18"/>
          <w:szCs w:val="18"/>
          <w:color w:val="auto"/>
        </w:rPr>
        <w:t>As of December 31, 2013, the latest available investment ratings of all obligations of states and political subdivisions, privately issued mortgage-backed securities, collateralized debt obligations and other debt securities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Estimated</w:t>
            </w:r>
          </w:p>
        </w:tc>
        <w:tc>
          <w:tcPr>
            <w:tcW w:w="3340" w:type="dxa"/>
            <w:vAlign w:val="bottom"/>
            <w:tcBorders>
              <w:bottom w:val="single" w:sz="8" w:color="auto"/>
            </w:tcBorders>
            <w:gridSpan w:val="12"/>
          </w:tcPr>
          <w:p>
            <w:pPr>
              <w:ind w:left="680"/>
              <w:spacing w:after="0"/>
              <w:rPr>
                <w:sz w:val="20"/>
                <w:szCs w:val="20"/>
                <w:color w:val="auto"/>
              </w:rPr>
            </w:pPr>
            <w:r>
              <w:rPr>
                <w:rFonts w:ascii="Arial" w:cs="Arial" w:eastAsia="Arial" w:hAnsi="Arial"/>
                <w:sz w:val="14"/>
                <w:szCs w:val="14"/>
                <w:b w:val="1"/>
                <w:bCs w:val="1"/>
                <w:color w:val="auto"/>
                <w:w w:val="90"/>
              </w:rPr>
              <w:t>Average Credit Rating of Fair Value Amount</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88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A or Better</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BBB</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BB</w:t>
            </w:r>
          </w:p>
        </w:tc>
        <w:tc>
          <w:tcPr>
            <w:tcW w:w="8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B or Less</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Not Rated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ind w:left="6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$180,168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$184,104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221,096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160,855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56,731</w:t>
            </w: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104,000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63,083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146,741</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128,998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56,481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28,966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590,279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537,040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232,513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66,524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38,070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164,790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$ 35,143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estimated fair value of collateralized mortgage obligations included in mortgage-backed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80" w:type="dxa"/>
            <w:vAlign w:val="bottom"/>
            <w:gridSpan w:val="3"/>
          </w:tcPr>
          <w:p>
            <w:pPr>
              <w:ind w:lef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80" w:type="dxa"/>
            <w:vAlign w:val="bottom"/>
            <w:gridSpan w:val="2"/>
          </w:tcPr>
          <w:p>
            <w:pPr>
              <w:jc w:val="right"/>
              <w:ind w:right="53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3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Amortized cost</w:t>
            </w:r>
          </w:p>
        </w:tc>
        <w:tc>
          <w:tcPr>
            <w:tcW w:w="4300" w:type="dxa"/>
            <w:vAlign w:val="bottom"/>
            <w:gridSpan w:val="2"/>
          </w:tcPr>
          <w:p>
            <w:pPr>
              <w:jc w:val="right"/>
              <w:ind w:right="192"/>
              <w:spacing w:after="0"/>
              <w:rPr>
                <w:sz w:val="20"/>
                <w:szCs w:val="20"/>
                <w:color w:val="auto"/>
              </w:rPr>
            </w:pPr>
            <w:r>
              <w:rPr>
                <w:rFonts w:ascii="Arial" w:cs="Arial" w:eastAsia="Arial" w:hAnsi="Arial"/>
                <w:sz w:val="18"/>
                <w:szCs w:val="18"/>
                <w:color w:val="auto"/>
              </w:rPr>
              <w:t>$ 231,040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$ 1,414,691</w:t>
            </w: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fair value</w:t>
            </w:r>
          </w:p>
        </w:tc>
        <w:tc>
          <w:tcPr>
            <w:tcW w:w="43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171,100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1,202,243</w:t>
            </w:r>
          </w:p>
        </w:tc>
      </w:tr>
    </w:tbl>
    <w:p>
      <w:pPr>
        <w:spacing w:after="0" w:line="154" w:lineRule="exact"/>
        <w:rPr>
          <w:sz w:val="20"/>
          <w:szCs w:val="20"/>
          <w:color w:val="auto"/>
        </w:rPr>
      </w:pPr>
    </w:p>
    <w:p>
      <w:pPr>
        <w:ind w:right="40" w:firstLine="685"/>
        <w:spacing w:after="0" w:line="259" w:lineRule="auto"/>
        <w:rPr>
          <w:sz w:val="20"/>
          <w:szCs w:val="20"/>
          <w:color w:val="auto"/>
        </w:rPr>
      </w:pPr>
      <w:r>
        <w:rPr>
          <w:rFonts w:ascii="Arial" w:cs="Arial" w:eastAsia="Arial" w:hAnsi="Arial"/>
          <w:sz w:val="18"/>
          <w:szCs w:val="18"/>
          <w:color w:val="auto"/>
        </w:rPr>
        <w:t>Gross realized gains from sales of investment securities were $116,490,000 in 2013. During 2013, the Company sold its holdings of Visa Class B shares for a gain of $89,545,000 and its holdings of MasterCard Class B shares for a gain of $13,208,000. Gross realized losses on investment securities were $60,033,000 in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2013. The Company sold substantially all of its privately issued mortgage-backed securities held in the available-for-sale investment securities portfolio during</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2013. In total, $1.0 billion of such securities were sold for a net loss of approximately $46,302,000. In 2011, gross realized gains from sales of investment securities were $150,223,000 and gross realized losses were $36,000. During 2011, the Company sold residential mortgage-backed securities guaranteed by the Federal National Mortgage Association (“Fannie Mae”) and the Federal Home Loan Mortgage Corporation (“Freddie Mac”) having an aggregate amortized cost of approximately $1.5 billion which resulted in a gain of $104 million. The Company also sold trust preferred securities and collateralized debt securities during 2011 having an aggregate amortized cost of $136 million and $100 million, respectively, which resulted in gains of $25 million and $20 million, respectively. Gross realized gains and losses from sales of investment securities were not significant in 2012.</w:t>
      </w:r>
    </w:p>
    <w:p>
      <w:pPr>
        <w:spacing w:after="0" w:line="4"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The Company recognized $10 million, $48 million and $77 million of pre-tax other-than-temporary impairment losses related to privately issued mortgage-backed securities in 2013, 2012 and 2011, respectively. The impairment charges were recognized in light of deterioration of real estate values and a rise in delinquencies and charge-offs of underlying mortgage loans collateralizing those securities. The other-than-temporary impairment losses represented management’s estimate of credit losses inherent in the debt securities considering projected cash flows using assumptions of delinquency rates, loss severities, and other estimates of future collateral performance.</w:t>
      </w:r>
    </w:p>
    <w:p>
      <w:pPr>
        <w:spacing w:after="0" w:line="2" w:lineRule="exact"/>
        <w:rPr>
          <w:sz w:val="20"/>
          <w:szCs w:val="20"/>
          <w:color w:val="auto"/>
        </w:rPr>
      </w:pPr>
    </w:p>
    <w:p>
      <w:pPr>
        <w:ind w:right="500" w:firstLine="685"/>
        <w:spacing w:after="0" w:line="261" w:lineRule="auto"/>
        <w:rPr>
          <w:sz w:val="20"/>
          <w:szCs w:val="20"/>
          <w:color w:val="auto"/>
        </w:rPr>
      </w:pPr>
      <w:r>
        <w:rPr>
          <w:rFonts w:ascii="Arial" w:cs="Arial" w:eastAsia="Arial" w:hAnsi="Arial"/>
          <w:sz w:val="18"/>
          <w:szCs w:val="18"/>
          <w:color w:val="auto"/>
        </w:rPr>
        <w:t>Changes in credit losses during 2013, 2012 and 2011 associated with debt securities for which other-than-temporary impairment losses have been recognized in earnings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197,809</w:t>
            </w:r>
          </w:p>
        </w:tc>
        <w:tc>
          <w:tcPr>
            <w:tcW w:w="1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$ 285,399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$ 327,912</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9,800</w:t>
            </w:r>
          </w:p>
        </w:tc>
        <w:tc>
          <w:tcPr>
            <w:tcW w:w="160" w:type="dxa"/>
            <w:vAlign w:val="bottom"/>
          </w:tcPr>
          <w:p>
            <w:pPr>
              <w:spacing w:after="0"/>
              <w:rPr>
                <w:sz w:val="18"/>
                <w:szCs w:val="18"/>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47,822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77,035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(207,441)</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(135,412)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(114,437)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losses — 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$ 197,809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$ 285,399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2013, the amortized cost and estimated fair value of debt securities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53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29,839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30,036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3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227,982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231,755</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3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4,124,903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4,166,936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20" w:type="dxa"/>
            <w:vAlign w:val="bottom"/>
          </w:tcPr>
          <w:p>
            <w:pPr>
              <w:spacing w:after="0"/>
              <w:rPr>
                <w:sz w:val="19"/>
                <w:szCs w:val="19"/>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4,352,885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4,398,691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19,485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81,486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83,069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3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178,597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182,206</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3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3,787,533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3,677,921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3,966,130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3,860,127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4"/>
                <w:szCs w:val="14"/>
                <w:color w:val="auto"/>
              </w:rPr>
              <w:t>112</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22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268" w:lineRule="auto"/>
        <w:rPr>
          <w:sz w:val="20"/>
          <w:szCs w:val="20"/>
          <w:color w:val="auto"/>
        </w:rPr>
      </w:pPr>
      <w:r>
        <w:rPr>
          <w:rFonts w:ascii="Arial" w:cs="Arial" w:eastAsia="Arial" w:hAnsi="Arial"/>
          <w:sz w:val="18"/>
          <w:szCs w:val="18"/>
          <w:color w:val="auto"/>
        </w:rPr>
        <w:t>A summary of investment securities that as of December 31, 2013 and 2012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94"/>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1,697,094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(19,225)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1,699,426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(19,458)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221"/>
        </w:trPr>
        <w:tc>
          <w:tcPr>
            <w:tcW w:w="70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2,629,950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(65,149)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2,643,467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(65,269)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(60,638)</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4,342,893</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(84,727)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276,893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121,487</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774,328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debt securities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139,295</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(2,053)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888,499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(94,922)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140,321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1,039,330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256" w:lineRule="auto"/>
        <w:rPr>
          <w:sz w:val="20"/>
          <w:szCs w:val="20"/>
          <w:color w:val="auto"/>
        </w:rPr>
      </w:pPr>
      <w:r>
        <w:rPr>
          <w:rFonts w:ascii="Arial" w:cs="Arial" w:eastAsia="Arial" w:hAnsi="Arial"/>
          <w:sz w:val="18"/>
          <w:szCs w:val="18"/>
          <w:color w:val="auto"/>
        </w:rPr>
        <w:t>The Company owned 468 individual investment securities with aggregate gross unrealized losses of $166 million at December 31, 2013. Approximately $61 million of the unrealized losses pertain to privately issued mortgage-backed securities with a cost basis of $220 million. The Company also had $19 million of unrealized losses on available-for-sale trust preferred securities issued by financial institutions having a cost basis of $123 million. Based on a review of each of the securities in the investment securities portfolio at</w:t>
      </w:r>
    </w:p>
    <w:p>
      <w:pPr>
        <w:spacing w:after="0" w:line="127"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December 31, 2013, the Company concluded that it expected to recover the amortized cost basis of its investment. As of December 31, 2013, the Company does not intend to sell nor is it anticipated that it would be required to sell any of its impaired investment securities at a loss. At December 31, 2013, the Company has not identified events or changes in circumstances which may have a significant adverse effect on the fair value of the $299 million of cost method investment securities.</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At December 31, 2013, investment securities with a carrying value of $3,902,317,000, including $2,459,296,000 of investment securities available for sale, were pledged to secure borrowings from various FHLBs, repurchase agreements, governmental deposits, interest rate swap agreements and available lines of credit as described in note 9.</w:t>
      </w:r>
    </w:p>
    <w:p>
      <w:pPr>
        <w:spacing w:after="0" w:line="1"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Investment securities pledged by the Company to secure obligations whereby the secured party is permitted by contract or custom to sell or repledge such collateral totaled $1,696,438,000 at December 31, 2013. The pledged securities included securities of the U.S. Treasury and federal agencies and mortgage-backed securities.</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Loans and leases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loans and leases outstanding were comprised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80" w:type="dxa"/>
            <w:vAlign w:val="bottom"/>
            <w:gridSpan w:val="4"/>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financial, etc.</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$ 17,477,238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$ 16,500,202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8,911,554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11,161,323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21,799,886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22,333,036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4,457,650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3,772,413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10,280,527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11,550,274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62,926,855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65,317,248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8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64,325,783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66,790,186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unearned discount</w:t>
            </w:r>
          </w:p>
        </w:tc>
        <w:tc>
          <w:tcPr>
            <w:tcW w:w="28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(252,624)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(219,229)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 net of unearned discount</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$ 64,073,159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$ 66,570,957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One-to-four family residential mortgage loans held for sale were $401 million at December 31, 2013 and $1.2 billion at December 31,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loans held for sale were $68 million at December 31, 2013 and $200 million at December 31, 2012.</w:t>
      </w:r>
    </w:p>
    <w:p>
      <w:pPr>
        <w:spacing w:after="0" w:line="9"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During the second and third quarters of 2013, the Company securitized approximately $1.3 billion of one-to-four family residential real estate loans previously held in the Company’s loan portfolio into guaranteed mortgage-backed securities with the Government National Mortgage Association (“Ginnie Mae”) and recognized gains of $42,382,000. In addition, the Company securitized and sold in September 2013 approximately $1.4 billion of automobile loans held in its loan portfolio, resulting in a gain of $20,683,000.</w:t>
      </w:r>
    </w:p>
    <w:p>
      <w:pPr>
        <w:spacing w:after="0" w:line="2"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As of December 31, 2013, approximately $2.3 billion of commercial real estate loan balances serviced for others had been sold with recourse in conjunction with the Company’s participation in the Fannie Mae Delegated Underwriting and Servicing (“DUS”) program. At December 31, 2013, the Company estimated that the recourse obligations described above were not material to the Company’s consolidated financial position. There have been no material losses incurred as a result of those credit recourse arrangements.</w:t>
      </w:r>
    </w:p>
    <w:p>
      <w:pPr>
        <w:spacing w:after="0" w:line="2" w:lineRule="exact"/>
        <w:rPr>
          <w:sz w:val="20"/>
          <w:szCs w:val="20"/>
          <w:color w:val="auto"/>
        </w:rPr>
      </w:pPr>
    </w:p>
    <w:p>
      <w:pPr>
        <w:ind w:right="140" w:firstLine="685"/>
        <w:spacing w:after="0" w:line="295" w:lineRule="auto"/>
        <w:rPr>
          <w:sz w:val="20"/>
          <w:szCs w:val="20"/>
          <w:color w:val="auto"/>
        </w:rPr>
      </w:pPr>
      <w:r>
        <w:rPr>
          <w:rFonts w:ascii="Arial" w:cs="Arial" w:eastAsia="Arial" w:hAnsi="Arial"/>
          <w:sz w:val="16"/>
          <w:szCs w:val="16"/>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$17 million, $28 million and $23 million in 2013, 2012 and 2011,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0" w:type="dxa"/>
            <w:vAlign w:val="bottom"/>
            <w:gridSpan w:val="4"/>
          </w:tcPr>
          <w:p>
            <w:pPr>
              <w:jc w:val="right"/>
              <w:ind w:right="5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4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$ 4,656,811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$ 6,705,120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Carrying amount:</w:t>
            </w:r>
          </w:p>
        </w:tc>
        <w:tc>
          <w:tcPr>
            <w:tcW w:w="3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580,685</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928,107</w:t>
            </w: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1,541,368</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2,567,050</w:t>
            </w: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576,473</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707,309</w:t>
            </w:r>
          </w:p>
        </w:tc>
      </w:tr>
      <w:tr>
        <w:trPr>
          <w:trHeight w:val="223"/>
        </w:trPr>
        <w:tc>
          <w:tcPr>
            <w:tcW w:w="5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3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1,308,926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1,637,887</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$ 4,007,452</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$ 5,840,353</w:t>
            </w:r>
          </w:p>
        </w:tc>
      </w:tr>
      <w:tr>
        <w:trPr>
          <w:trHeight w:val="20"/>
        </w:trPr>
        <w:tc>
          <w:tcPr>
            <w:tcW w:w="5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Purchased impaired loans included in the table above totaled $331 million at December 31, 2013 and $447 million at December 31, 2012, representing less than 1% of the Company’s assets as of each date. A summary of changes in the accretable yield for acquired loans for the years ended December 31, 2013, 2012 and 2011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For Year Ended December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2011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2"/>
              <w:spacing w:after="0" w:line="136"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6"/>
              <w:spacing w:after="0" w:line="136" w:lineRule="exact"/>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1"/>
                <w:szCs w:val="11"/>
                <w:color w:val="auto"/>
              </w:rPr>
            </w:pPr>
          </w:p>
        </w:tc>
        <w:tc>
          <w:tcPr>
            <w:tcW w:w="760" w:type="dxa"/>
            <w:vAlign w:val="bottom"/>
            <w:tcBorders>
              <w:top w:val="single" w:sz="8" w:color="auto"/>
            </w:tcBorders>
            <w:gridSpan w:val="3"/>
          </w:tcPr>
          <w:p>
            <w:pPr>
              <w:ind w:left="20"/>
              <w:spacing w:after="0" w:line="136" w:lineRule="exact"/>
              <w:rPr>
                <w:sz w:val="20"/>
                <w:szCs w:val="20"/>
                <w:color w:val="auto"/>
              </w:rPr>
            </w:pPr>
            <w:r>
              <w:rPr>
                <w:rFonts w:ascii="Arial" w:cs="Arial" w:eastAsia="Arial" w:hAnsi="Arial"/>
                <w:sz w:val="14"/>
                <w:szCs w:val="14"/>
                <w:b w:val="1"/>
                <w:bCs w:val="1"/>
                <w:color w:val="auto"/>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Impaired</w:t>
            </w:r>
          </w:p>
        </w:tc>
        <w:tc>
          <w:tcPr>
            <w:tcW w:w="4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Acquired</w:t>
            </w:r>
          </w:p>
        </w:tc>
        <w:tc>
          <w:tcPr>
            <w:tcW w:w="2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Impaired</w:t>
            </w:r>
          </w:p>
        </w:tc>
        <w:tc>
          <w:tcPr>
            <w:tcW w:w="4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Acquired</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Impaired</w:t>
            </w:r>
          </w:p>
        </w:tc>
        <w:tc>
          <w:tcPr>
            <w:tcW w:w="4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$ 42,252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$ 638,272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$ 30,805</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$ 807,960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$ 447,505</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39,358</w:t>
            </w:r>
          </w:p>
        </w:tc>
        <w:tc>
          <w:tcPr>
            <w:tcW w:w="1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648,631</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(36,727)</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(247,295)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(40,551)</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(295,654)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(26,221)</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(268,315)</w:t>
            </w: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Reclassifications from nonaccretable balance, net</w:t>
            </w:r>
          </w:p>
        </w:tc>
        <w:tc>
          <w:tcPr>
            <w:tcW w:w="640" w:type="dxa"/>
            <w:vAlign w:val="bottom"/>
          </w:tcPr>
          <w:p>
            <w:pPr>
              <w:jc w:val="right"/>
              <w:spacing w:after="0"/>
              <w:rPr>
                <w:sz w:val="20"/>
                <w:szCs w:val="20"/>
                <w:color w:val="auto"/>
              </w:rPr>
            </w:pPr>
            <w:r>
              <w:rPr>
                <w:rFonts w:ascii="Arial" w:cs="Arial" w:eastAsia="Arial" w:hAnsi="Arial"/>
                <w:sz w:val="18"/>
                <w:szCs w:val="18"/>
                <w:color w:val="auto"/>
              </w:rPr>
              <w:t>31,705</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149,595</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51,998</w:t>
            </w:r>
          </w:p>
        </w:tc>
        <w:tc>
          <w:tcPr>
            <w:tcW w:w="120" w:type="dxa"/>
            <w:vAlign w:val="bottom"/>
          </w:tcPr>
          <w:p>
            <w:pPr>
              <w:spacing w:after="0"/>
              <w:rPr>
                <w:sz w:val="18"/>
                <w:szCs w:val="18"/>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148,490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8,629</w:t>
            </w:r>
          </w:p>
        </w:tc>
        <w:tc>
          <w:tcPr>
            <w:tcW w:w="1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(22,524)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Balance at end of period</w:t>
            </w: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$ 37,230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$ 538,633</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$ 42,252</w:t>
            </w:r>
          </w:p>
        </w:tc>
        <w:tc>
          <w:tcPr>
            <w:tcW w:w="12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$ 638,272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30,805</w:t>
            </w:r>
          </w:p>
        </w:tc>
        <w:tc>
          <w:tcPr>
            <w:tcW w:w="12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$ 807,960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current, past due and nonaccrual loans as of December 31, 2013 and 2012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90 Days or More Past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7"/>
              </w:rPr>
              <w:t>30-89 Days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Due and Accruing</w:t>
            </w:r>
          </w:p>
        </w:tc>
        <w:tc>
          <w:tcPr>
            <w:tcW w:w="80" w:type="dxa"/>
            <w:vAlign w:val="bottom"/>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Current</w:t>
            </w: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Non-</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1"/>
              </w:rPr>
              <w:t>Nonaccrual</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Past Due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2"/>
              </w:rPr>
              <w:t>acquired</w:t>
            </w: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Acquired(a)</w:t>
            </w:r>
          </w:p>
        </w:tc>
        <w:tc>
          <w:tcPr>
            <w:tcW w:w="80" w:type="dxa"/>
            <w:vAlign w:val="bottom"/>
          </w:tcPr>
          <w:p>
            <w:pPr>
              <w:spacing w:after="0"/>
              <w:rPr>
                <w:sz w:val="12"/>
                <w:szCs w:val="12"/>
                <w:color w:val="auto"/>
              </w:rPr>
            </w:pP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Impaired(b)</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3"/>
              </w:rPr>
              <w:t>$ 18,489,474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77,538</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6,778</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15,706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110,739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18,705,216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21,236,071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145,749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63,353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173,048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21,741,858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1,025,984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137,544</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2,986,598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7,630,368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294,649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283,253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81,122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5,972,365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78,516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6,121,789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1,314,246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2,726,522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5,386</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2,804,825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$ 61,664,881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704,658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368,510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130,162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330,792</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874,156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64,073,159</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December 31, 2012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83"/>
              </w:rPr>
              <w:t>$ 17,511,052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151,908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17,776,953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21,759,997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118,249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132,962</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22,273,173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757,311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187,764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181,865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2,379,953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Residential</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9,811,956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337,969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313,184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249,314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10,794,316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331,021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6,199,591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3,211</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Automobile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2,442,502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2,661,432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2,729,106</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3"/>
            <w:vMerge w:val="continue"/>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3"/>
              </w:rPr>
              <w:t>$ 63,854,815</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730,901</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358,397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166,554</w:t>
            </w:r>
          </w:p>
        </w:tc>
        <w:tc>
          <w:tcPr>
            <w:tcW w:w="24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447,114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1,013,176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66,570,957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90" w:lineRule="exact"/>
        <w:rPr>
          <w:sz w:val="20"/>
          <w:szCs w:val="20"/>
          <w:color w:val="auto"/>
        </w:rPr>
      </w:pPr>
    </w:p>
    <w:p>
      <w:pPr>
        <w:jc w:val="both"/>
        <w:ind w:right="20" w:firstLine="685"/>
        <w:spacing w:after="0" w:line="259" w:lineRule="auto"/>
        <w:rPr>
          <w:sz w:val="20"/>
          <w:szCs w:val="20"/>
          <w:color w:val="auto"/>
        </w:rPr>
      </w:pPr>
      <w:r>
        <w:rPr>
          <w:rFonts w:ascii="Arial" w:cs="Arial" w:eastAsia="Arial" w:hAnsi="Arial"/>
          <w:sz w:val="18"/>
          <w:szCs w:val="18"/>
          <w:color w:val="auto"/>
        </w:rPr>
        <w:t>If nonaccrual and renegotiated loans had been accruing interest at their originally contracted terms, interest income on such loans would have amounted to $62,010,000 in 2013, $69,054,000 in 2012 and $80,278,000 in 2011. The actual amounts included in interest income during 2013, 2012 and 2011 on such loans were $31,987,000, $30,484,000 and $31,301,000,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52"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7"/>
              </w:rPr>
              <w:t>Pre-</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modifica-</w:t>
            </w:r>
          </w:p>
        </w:tc>
        <w:tc>
          <w:tcPr>
            <w:tcW w:w="5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Number</w:t>
            </w: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16,002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50,924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70,854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(1,187)</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258,075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254,352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(3,723)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(4,691)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7"/>
              </w:rPr>
              <w:t>Pre-</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modifica-</w:t>
            </w:r>
          </w:p>
        </w:tc>
        <w:tc>
          <w:tcPr>
            <w:tcW w:w="5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22,456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36,148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79,312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618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256,681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251,018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(5,663)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6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95"/>
              </w:rPr>
              <w:t>Pre-</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79"/>
              </w:rPr>
              <w:t>Post-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modifica-</w:t>
            </w:r>
          </w:p>
        </w:tc>
        <w:tc>
          <w:tcPr>
            <w:tcW w:w="52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Number</w:t>
            </w: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10,778</w:t>
            </w:r>
          </w:p>
        </w:tc>
        <w:tc>
          <w:tcPr>
            <w:tcW w:w="4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65,813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332,160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313,827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(18,333)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90" w:lineRule="exact"/>
        <w:rPr>
          <w:sz w:val="20"/>
          <w:szCs w:val="20"/>
          <w:color w:val="auto"/>
        </w:rPr>
      </w:pPr>
    </w:p>
    <w:p>
      <w:pPr>
        <w:ind w:right="360" w:firstLine="685"/>
        <w:spacing w:after="0" w:line="256"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troubled debt restructurings that have subsequently defaulted. Loans that were modified as troubled debt restructurings during the twelve months ended December 31, 2013, 2012 and 2011 and for which there was a subsequent payment default during the respective period were not material.</w:t>
      </w:r>
    </w:p>
    <w:p>
      <w:pPr>
        <w:ind w:right="20" w:firstLine="685"/>
        <w:spacing w:after="0" w:line="250" w:lineRule="auto"/>
        <w:rPr>
          <w:sz w:val="20"/>
          <w:szCs w:val="20"/>
          <w:color w:val="auto"/>
        </w:rPr>
      </w:pPr>
      <w:r>
        <w:rPr>
          <w:rFonts w:ascii="Arial" w:cs="Arial" w:eastAsia="Arial" w:hAnsi="Arial"/>
          <w:sz w:val="18"/>
          <w:szCs w:val="18"/>
          <w:color w:val="auto"/>
        </w:rPr>
        <w:t>Borrowings by directors and certain officers of M&amp;T and its banking subsidiaries, and by associates of such persons, exclusive of loans aggregating less than $120,000, amounted to $135,512,000 and $99,532,000 at December 31, 2013 and 2012, respectively. During 2013, new borrowings by such persons amounted to $44,799,000 (including any borrowings of new directors or officers that were outstanding at the time of their election) and repayments and other reductions (including reductions resulting from retirements) were $8,819,000.</w:t>
      </w:r>
    </w:p>
    <w:p>
      <w:pPr>
        <w:spacing w:after="0" w:line="2"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At December 31, 2013, approximately $8.9 billion of commercial loans and leases, $9.6 billion of commercial real estate loans, $5.3 billion of one-to-four family residential real estate loans, $4.1 billion of home equity loans and lines of credit and $2.1 billion of other consumer loans were pledged to secure outstanding borrowings from the FHLB of New York and available lines of credit as described in note 9.</w:t>
      </w:r>
    </w:p>
    <w:p>
      <w:pPr>
        <w:spacing w:after="0" w:line="2" w:lineRule="exact"/>
        <w:rPr>
          <w:sz w:val="20"/>
          <w:szCs w:val="20"/>
          <w:color w:val="auto"/>
        </w:rPr>
      </w:pPr>
    </w:p>
    <w:p>
      <w:pPr>
        <w:ind w:right="640" w:firstLine="685"/>
        <w:spacing w:after="0" w:line="323" w:lineRule="auto"/>
        <w:rPr>
          <w:sz w:val="20"/>
          <w:szCs w:val="20"/>
          <w:color w:val="auto"/>
        </w:rPr>
      </w:pPr>
      <w:r>
        <w:rPr>
          <w:rFonts w:ascii="Arial" w:cs="Arial" w:eastAsia="Arial" w:hAnsi="Arial"/>
          <w:sz w:val="16"/>
          <w:szCs w:val="16"/>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5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Direct financings: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payments receivable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1,052,214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1,106,434</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85,595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96,468</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(114,101)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(134,428)</w:t>
            </w:r>
          </w:p>
        </w:tc>
      </w:tr>
      <w:tr>
        <w:trPr>
          <w:trHeight w:val="222"/>
        </w:trPr>
        <w:tc>
          <w:tcPr>
            <w:tcW w:w="6420" w:type="dxa"/>
            <w:vAlign w:val="bottom"/>
          </w:tcPr>
          <w:p>
            <w:pPr>
              <w:ind w:left="660"/>
              <w:spacing w:after="0"/>
              <w:rPr>
                <w:sz w:val="20"/>
                <w:szCs w:val="20"/>
                <w:color w:val="auto"/>
              </w:rPr>
            </w:pPr>
            <w:r>
              <w:rPr>
                <w:rFonts w:ascii="Arial" w:cs="Arial" w:eastAsia="Arial" w:hAnsi="Arial"/>
                <w:sz w:val="18"/>
                <w:szCs w:val="18"/>
                <w:color w:val="auto"/>
              </w:rPr>
              <w:t>Investment in direct financings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1,023,708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1,068,474</w:t>
            </w:r>
          </w:p>
        </w:tc>
        <w:tc>
          <w:tcPr>
            <w:tcW w:w="120" w:type="dxa"/>
            <w:vAlign w:val="bottom"/>
          </w:tcPr>
          <w:p>
            <w:pPr>
              <w:spacing w:after="0"/>
              <w:rPr>
                <w:sz w:val="19"/>
                <w:szCs w:val="19"/>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Leveraged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Lease payments receivable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127,821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132,466</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137,570</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(47,188)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(50,378)</w:t>
            </w: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 in leveraged leases</w:t>
            </w: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219,658</w:t>
            </w:r>
          </w:p>
        </w:tc>
        <w:tc>
          <w:tcPr>
            <w:tcW w:w="12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investment in leases.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1,237,639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1,288,132</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payable arising from leveraged leases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172,296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172,026</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60" w:firstLine="685"/>
        <w:spacing w:after="0" w:line="254" w:lineRule="auto"/>
        <w:rPr>
          <w:sz w:val="20"/>
          <w:szCs w:val="20"/>
          <w:color w:val="auto"/>
        </w:rPr>
      </w:pPr>
      <w:r>
        <w:rPr>
          <w:rFonts w:ascii="Arial" w:cs="Arial" w:eastAsia="Arial" w:hAnsi="Arial"/>
          <w:sz w:val="18"/>
          <w:szCs w:val="18"/>
          <w:color w:val="auto"/>
        </w:rPr>
        <w:t>Included within the estimated residual value of leased assets at December 31, 2013 and 2012 were $54 million and $61 million, respectively, in residual value associated with direct financing leases that are guaranteed by the lessees or others.</w:t>
      </w:r>
    </w:p>
    <w:p>
      <w:pPr>
        <w:ind w:left="700"/>
        <w:spacing w:after="0"/>
        <w:rPr>
          <w:sz w:val="20"/>
          <w:szCs w:val="20"/>
          <w:color w:val="auto"/>
        </w:rPr>
      </w:pPr>
      <w:r>
        <w:rPr>
          <w:rFonts w:ascii="Arial" w:cs="Arial" w:eastAsia="Arial" w:hAnsi="Arial"/>
          <w:sz w:val="18"/>
          <w:szCs w:val="18"/>
          <w:color w:val="auto"/>
        </w:rPr>
        <w:t>At December 31, 2013, the minimum future lease payments to be received from lease financings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2014</w:t>
            </w:r>
          </w:p>
        </w:tc>
        <w:tc>
          <w:tcPr>
            <w:tcW w:w="4420" w:type="dxa"/>
            <w:vAlign w:val="bottom"/>
            <w:gridSpan w:val="2"/>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2016</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4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80" w:type="dxa"/>
            <w:vAlign w:val="bottom"/>
          </w:tcPr>
          <w:p>
            <w:pPr>
              <w:spacing w:after="0"/>
              <w:rPr>
                <w:sz w:val="19"/>
                <w:szCs w:val="19"/>
                <w:color w:val="auto"/>
              </w:rPr>
            </w:pPr>
          </w:p>
        </w:tc>
        <w:tc>
          <w:tcPr>
            <w:tcW w:w="4420" w:type="dxa"/>
            <w:vAlign w:val="bottom"/>
            <w:gridSpan w:val="2"/>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1,180,035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4"/>
                <w:szCs w:val="14"/>
                <w:color w:val="auto"/>
              </w:rPr>
              <w:t>120</w:t>
            </w: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18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Allowance for credit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for the years ended December 31, 2013, 2012 and 2011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20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Financial,</w:t>
            </w:r>
          </w:p>
        </w:tc>
        <w:tc>
          <w:tcPr>
            <w:tcW w:w="2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Leasing, etc.</w:t>
            </w:r>
          </w:p>
        </w:tc>
        <w:tc>
          <w:tcPr>
            <w:tcW w:w="12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7"/>
              </w:rPr>
              <w:t>Commercial</w:t>
            </w:r>
          </w:p>
        </w:tc>
        <w:tc>
          <w:tcPr>
            <w:tcW w:w="9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2"/>
              </w:rPr>
              <w:t>Residential</w:t>
            </w:r>
          </w:p>
        </w:tc>
        <w:tc>
          <w:tcPr>
            <w:tcW w:w="240" w:type="dxa"/>
            <w:vAlign w:val="bottom"/>
          </w:tcPr>
          <w:p>
            <w:pPr>
              <w:spacing w:after="0"/>
              <w:rPr>
                <w:sz w:val="13"/>
                <w:szCs w:val="13"/>
                <w:color w:val="auto"/>
              </w:rPr>
            </w:pPr>
          </w:p>
        </w:tc>
        <w:tc>
          <w:tcPr>
            <w:tcW w:w="12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2"/>
              </w:rPr>
              <w:t>Consumer</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3"/>
                <w:szCs w:val="13"/>
                <w:color w:val="auto"/>
              </w:rPr>
            </w:pP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right"/>
              <w:ind w:right="1060"/>
              <w:spacing w:after="0" w:line="14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246,759</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$ 337,101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$ 88,807</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$ 179,418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73,775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124,180</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275</w:t>
            </w:r>
          </w:p>
        </w:tc>
        <w:tc>
          <w:tcPr>
            <w:tcW w:w="640" w:type="dxa"/>
            <w:vAlign w:val="bottom"/>
          </w:tcPr>
          <w:p>
            <w:pPr>
              <w:jc w:val="right"/>
              <w:spacing w:after="0"/>
              <w:rPr>
                <w:sz w:val="20"/>
                <w:szCs w:val="20"/>
                <w:color w:val="auto"/>
              </w:rPr>
            </w:pPr>
            <w:r>
              <w:rPr>
                <w:rFonts w:ascii="Arial" w:cs="Arial" w:eastAsia="Arial" w:hAnsi="Arial"/>
                <w:sz w:val="18"/>
                <w:szCs w:val="18"/>
                <w:color w:val="auto"/>
              </w:rPr>
              <w:t>3,149</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56,156</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1,240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related to loans sold or securitized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(109,329)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(34,595)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(23,621)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(85,965)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(97,556)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(12,398)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(13,300)</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(59,930)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(183,184)</w:t>
            </w:r>
          </w:p>
        </w:tc>
        <w:tc>
          <w:tcPr>
            <w:tcW w:w="0" w:type="dxa"/>
            <w:vAlign w:val="bottom"/>
          </w:tcPr>
          <w:p>
            <w:pPr>
              <w:spacing w:after="0"/>
              <w:rPr>
                <w:sz w:val="1"/>
                <w:szCs w:val="1"/>
                <w:color w:val="auto"/>
              </w:rPr>
            </w:pPr>
          </w:p>
        </w:tc>
      </w:tr>
      <w:tr>
        <w:trPr>
          <w:trHeight w:val="221"/>
        </w:trPr>
        <w:tc>
          <w:tcPr>
            <w:tcW w:w="37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273,383</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$ 324,978</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$ 78,656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$ 164,644</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75,015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$ 916,676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234,022</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$ 367,637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$ 91,915</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$ 143,121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71,595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42,510</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5,211</w:t>
            </w:r>
          </w:p>
        </w:tc>
        <w:tc>
          <w:tcPr>
            <w:tcW w:w="640" w:type="dxa"/>
            <w:vAlign w:val="bottom"/>
          </w:tcPr>
          <w:p>
            <w:pPr>
              <w:jc w:val="right"/>
              <w:spacing w:after="0"/>
              <w:rPr>
                <w:sz w:val="20"/>
                <w:szCs w:val="20"/>
                <w:color w:val="auto"/>
              </w:rPr>
            </w:pPr>
            <w:r>
              <w:rPr>
                <w:rFonts w:ascii="Arial" w:cs="Arial" w:eastAsia="Arial" w:hAnsi="Arial"/>
                <w:sz w:val="18"/>
                <w:szCs w:val="18"/>
                <w:color w:val="auto"/>
              </w:rPr>
              <w:t>34,864</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119,235</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(41,148)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(41,945)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(44,314)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(103,348)</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(29,773)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(35,747)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(37,972)</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(82,938)</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246,759</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$ 337,101</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$ 88,807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$ 179,418</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$ 925,860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2011</w:t>
            </w: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gridSpan w:val="2"/>
            <w:vMerge w:val="continue"/>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212,579</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$ 400,562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$ 86,351</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$ 133,067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70,382</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66,240</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44,404</w:t>
            </w:r>
          </w:p>
        </w:tc>
        <w:tc>
          <w:tcPr>
            <w:tcW w:w="640" w:type="dxa"/>
            <w:vAlign w:val="bottom"/>
          </w:tcPr>
          <w:p>
            <w:pPr>
              <w:jc w:val="right"/>
              <w:spacing w:after="0"/>
              <w:rPr>
                <w:sz w:val="20"/>
                <w:szCs w:val="20"/>
                <w:color w:val="auto"/>
              </w:rPr>
            </w:pPr>
            <w:r>
              <w:rPr>
                <w:rFonts w:ascii="Arial" w:cs="Arial" w:eastAsia="Arial" w:hAnsi="Arial"/>
                <w:sz w:val="18"/>
                <w:szCs w:val="18"/>
                <w:color w:val="auto"/>
              </w:rPr>
              <w:t>57,081</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101,062</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1,213</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(55,021)</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(86,869)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(58,351)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(109,246)</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(44,797)</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(77,329)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(51,517)</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(91,008)</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(264,651)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234,022</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$ 367,637</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$ 91,915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$ 143,121</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71,595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$ 908,290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loan or lease type.</w:t>
      </w:r>
    </w:p>
    <w:p>
      <w:pPr>
        <w:spacing w:after="0" w:line="113"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December 31, 2013 and 2012 and for the years ended December 31, 2013,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Related</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Recorded</w:t>
            </w:r>
          </w:p>
        </w:tc>
        <w:tc>
          <w:tcPr>
            <w:tcW w:w="32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Investment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Allowance</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Investment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 an allowance recorded:</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90,293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112,092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24,614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127,282</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149,534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113,570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132,325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19,520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121,542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143,846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55,122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4,379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115,306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216,218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86,260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90,515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4,022</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73,544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76,869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96,508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114,521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7,146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103,451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121,819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111,911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124,528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14,000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128,891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141,940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13,672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14,796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3,312</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40,441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11,074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49,210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4,541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14,408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14,408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603,626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92,608</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745,994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927,411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132,682</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color w:val="auto"/>
              </w:rPr>
              <w:t>With no related allowance recorded:</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28,093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32,631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42,199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65,271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78,380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100,337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72,366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104,768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74,307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105,438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7,369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23,018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23,532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84,144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95,358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86,342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96,448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52,211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31,354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58,768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285,600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381,258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326,032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426,722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118,386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145,187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24,614</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191,733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178,841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216,658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19,520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199,922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244,183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105,677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159,890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4,379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189,613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321,656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93,629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102,008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4,022</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96,562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100,401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180,652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209,879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7,146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189,793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218,267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140,268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176,739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14,000</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160,245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13,672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14,796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3,312</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13,567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40,441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11,074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49,210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4,541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14,408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14,408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889,226</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1,083,258</w:t>
            </w:r>
          </w:p>
        </w:tc>
        <w:tc>
          <w:tcPr>
            <w:tcW w:w="3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92,608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1,072,026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1,354,133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8"/>
              </w:rPr>
              <w:t>December 31, 2013</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7"/>
              </w:rPr>
              <w:t>December 31, 2012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4"/>
          </w:tcPr>
          <w:p>
            <w:pPr>
              <w:jc w:val="right"/>
              <w:ind w:right="297"/>
              <w:spacing w:after="0" w:line="129" w:lineRule="exact"/>
              <w:rPr>
                <w:sz w:val="20"/>
                <w:szCs w:val="20"/>
                <w:color w:val="auto"/>
              </w:rPr>
            </w:pPr>
            <w:r>
              <w:rPr>
                <w:rFonts w:ascii="Arial" w:cs="Arial" w:eastAsia="Arial" w:hAnsi="Arial"/>
                <w:sz w:val="14"/>
                <w:szCs w:val="14"/>
                <w:b w:val="1"/>
                <w:bCs w:val="1"/>
                <w:color w:val="auto"/>
              </w:rPr>
              <w:t>Interest Income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5"/>
          </w:tcPr>
          <w:p>
            <w:pPr>
              <w:jc w:val="right"/>
              <w:ind w:right="314"/>
              <w:spacing w:after="0" w:line="129" w:lineRule="exact"/>
              <w:rPr>
                <w:sz w:val="20"/>
                <w:szCs w:val="20"/>
                <w:color w:val="auto"/>
              </w:rPr>
            </w:pPr>
            <w:r>
              <w:rPr>
                <w:rFonts w:ascii="Arial" w:cs="Arial" w:eastAsia="Arial" w:hAnsi="Arial"/>
                <w:sz w:val="14"/>
                <w:szCs w:val="14"/>
                <w:b w:val="1"/>
                <w:bCs w:val="1"/>
                <w:color w:val="auto"/>
              </w:rPr>
              <w:t>Interest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Recognized</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Recorded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3"/>
              </w:rPr>
              <w:t>Cash</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Recorded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94"/>
              <w:spacing w:after="0" w:line="129"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Investment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Basis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6"/>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155,188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151,314</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185,171</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147,288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249,191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99,672</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183,059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132,888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6,784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171,546</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11,322</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44,116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51,650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11,028</w:t>
            </w: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1,001,641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35,560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1,063,782</w:t>
            </w:r>
          </w:p>
        </w:tc>
        <w:tc>
          <w:tcPr>
            <w:tcW w:w="40" w:type="dxa"/>
            <w:vAlign w:val="bottom"/>
          </w:tcPr>
          <w:p>
            <w:pPr>
              <w:spacing w:after="0"/>
              <w:rPr>
                <w:sz w:val="19"/>
                <w:szCs w:val="19"/>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8"/>
                <w:szCs w:val="18"/>
                <w:color w:val="auto"/>
              </w:rPr>
              <w:t>$ 29,419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$ 18,520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Recorded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Investment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3,306</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317,296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1,948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4,271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7,713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1,145,129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25,028</w:t>
            </w:r>
          </w:p>
        </w:tc>
        <w:tc>
          <w:tcPr>
            <w:tcW w:w="4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12,313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685"/>
        <w:spacing w:after="0" w:line="291"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the loan is delinquent 90 days or more. All larger balance criticized commercial loans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Commercial,</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Real Estate</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Residential</w:t>
            </w:r>
          </w:p>
        </w:tc>
        <w:tc>
          <w:tcPr>
            <w:tcW w:w="5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Financial,</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Builder and</w:t>
            </w:r>
          </w:p>
        </w:tc>
        <w:tc>
          <w:tcPr>
            <w:tcW w:w="5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Leasing, etc</w:t>
            </w: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Developer</w:t>
            </w:r>
          </w:p>
        </w:tc>
        <w:tc>
          <w:tcPr>
            <w:tcW w:w="5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$ 17,894,592</w:t>
            </w: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$ 20,972,257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1,107,144</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$ 3,040,106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699,885</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596,553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72,941</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110,739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173,048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96,427</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$ 18,705,216</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$ 21,741,858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1,276,512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$ 3,129,838</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$ 16,889,753</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$ 21,275,182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922,141</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$ 2,307,436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735,292</w:t>
            </w: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804,132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85,520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186,843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193,859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36,812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$ 17,776,953</w:t>
            </w:r>
          </w:p>
        </w:tc>
        <w:tc>
          <w:tcPr>
            <w:tcW w:w="260" w:type="dxa"/>
            <w:vAlign w:val="bottom"/>
          </w:tcPr>
          <w:p>
            <w:pPr>
              <w:spacing w:after="0"/>
              <w:rPr>
                <w:sz w:val="19"/>
                <w:szCs w:val="19"/>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$ 22,273,173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1,189,526</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$ 2,531,091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5" w:lineRule="exact"/>
        <w:rPr>
          <w:sz w:val="20"/>
          <w:szCs w:val="20"/>
          <w:color w:val="auto"/>
        </w:rPr>
      </w:pPr>
    </w:p>
    <w:p>
      <w:pPr>
        <w:ind w:right="80" w:firstLine="685"/>
        <w:spacing w:after="0" w:line="286"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Commercial,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6"/>
              </w:rPr>
              <w:t>Financial,</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Leasing, etc.</w:t>
            </w:r>
          </w:p>
        </w:tc>
        <w:tc>
          <w:tcPr>
            <w:tcW w:w="4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Residential</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24,614</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27,563</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$ 21,127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246,096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296,781</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55,864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144,210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273,383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324,978</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$ 78,656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164,644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75,015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916,676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55,291</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$ 20,502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212,930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280,789</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66,684</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156,661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246,759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337,101</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$ 88,807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179,418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852,085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Commercial,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Real Estate</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Financial,</w:t>
            </w: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gridSpan w:val="4"/>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Leasing, etc.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7"/>
              </w:rPr>
              <w:t>Commercial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Residential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Consumer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118,386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376,339</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320,360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71,773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0"/>
              </w:rPr>
              <w:t>18,571,124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25,488,584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8,578,677</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10,217,124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62,855,509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Purchased impaired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15,706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283,285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29,184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330,792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$ 18,705,216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$ 26,148,208</w:t>
            </w:r>
          </w:p>
        </w:tc>
        <w:tc>
          <w:tcPr>
            <w:tcW w:w="1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$ 8,928,221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10,291,514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64,073,159</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159,761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480,335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349,477</w:t>
            </w:r>
          </w:p>
        </w:tc>
        <w:tc>
          <w:tcPr>
            <w:tcW w:w="3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75,978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17,599,755</w:t>
            </w: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25,123,758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10,854,591</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11,480,188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65,058,292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Purchased impaired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17,437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389,697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$ 17,776,953</w:t>
            </w: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87"/>
              </w:rPr>
              <w:t>$ 25,993,790</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$ 11,240,837</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11,559,377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66,570,957</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126</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Premises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premises and equipment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9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84,545</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Buildings — owned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402,065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393,527</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Buildings — capital leases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208,947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198,498</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 owned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465,113</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Furniture and equipment — 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17,915</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1,261,890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1,160,729</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559,948</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628,370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566,077</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633,520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594,652</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685"/>
        <w:spacing w:after="0" w:line="332" w:lineRule="auto"/>
        <w:rPr>
          <w:sz w:val="20"/>
          <w:szCs w:val="20"/>
          <w:color w:val="auto"/>
        </w:rPr>
      </w:pPr>
      <w:r>
        <w:rPr>
          <w:rFonts w:ascii="Arial" w:cs="Arial" w:eastAsia="Arial" w:hAnsi="Arial"/>
          <w:sz w:val="16"/>
          <w:szCs w:val="16"/>
          <w:color w:val="auto"/>
        </w:rPr>
        <w:t>Net lease expense for all operating leases totaled $103,297,000 in 2013, $102,924,000 in 2012 and $97,098,000 in 2011. Minimum lease payments under noncancelable operating leases are presented in note 21. Minimum lease payments required under capital leases are not material.</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Capitalized servicing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capitalized servicing assets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60" w:type="dxa"/>
            <w:vAlign w:val="bottom"/>
          </w:tcPr>
          <w:p>
            <w:pPr>
              <w:spacing w:after="0"/>
              <w:rPr>
                <w:sz w:val="14"/>
                <w:szCs w:val="14"/>
                <w:color w:val="auto"/>
              </w:rPr>
            </w:pPr>
          </w:p>
        </w:tc>
        <w:tc>
          <w:tcPr>
            <w:tcW w:w="3160" w:type="dxa"/>
            <w:vAlign w:val="bottom"/>
            <w:gridSpan w:val="12"/>
          </w:tcPr>
          <w:p>
            <w:pPr>
              <w:jc w:val="right"/>
              <w:ind w:right="940"/>
              <w:spacing w:after="0"/>
              <w:rPr>
                <w:sz w:val="20"/>
                <w:szCs w:val="20"/>
                <w:color w:val="auto"/>
              </w:rPr>
            </w:pPr>
            <w:r>
              <w:rPr>
                <w:rFonts w:ascii="Arial" w:cs="Arial" w:eastAsia="Arial" w:hAnsi="Arial"/>
                <w:sz w:val="14"/>
                <w:szCs w:val="14"/>
                <w:b w:val="1"/>
                <w:bCs w:val="1"/>
                <w:color w:val="auto"/>
              </w:rPr>
              <w:t>Residential Mortgage Loans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w w:val="87"/>
              </w:rPr>
              <w:t>Commercial Mortgage Loans</w:t>
            </w:r>
          </w:p>
        </w:tc>
        <w:tc>
          <w:tcPr>
            <w:tcW w:w="0" w:type="dxa"/>
            <w:vAlign w:val="bottom"/>
          </w:tcPr>
          <w:p>
            <w:pPr>
              <w:spacing w:after="0"/>
              <w:rPr>
                <w:sz w:val="1"/>
                <w:szCs w:val="1"/>
                <w:color w:val="auto"/>
              </w:rPr>
            </w:pPr>
          </w:p>
        </w:tc>
      </w:tr>
      <w:tr>
        <w:trPr>
          <w:trHeight w:val="136"/>
        </w:trPr>
        <w:tc>
          <w:tcPr>
            <w:tcW w:w="5180" w:type="dxa"/>
            <w:vAlign w:val="bottom"/>
            <w:gridSpan w:val="2"/>
            <w:vMerge w:val="continue"/>
          </w:tcPr>
          <w:p>
            <w:pPr>
              <w:spacing w:after="0"/>
              <w:rPr>
                <w:sz w:val="11"/>
                <w:szCs w:val="11"/>
                <w:color w:val="auto"/>
              </w:rPr>
            </w:pPr>
          </w:p>
        </w:tc>
        <w:tc>
          <w:tcPr>
            <w:tcW w:w="640" w:type="dxa"/>
            <w:vAlign w:val="bottom"/>
            <w:tcBorders>
              <w:top w:val="single" w:sz="8" w:color="auto"/>
            </w:tcBorders>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7"/>
          </w:tcPr>
          <w:p>
            <w:pPr>
              <w:jc w:val="right"/>
              <w:ind w:right="86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$104,855</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$131,264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$ 92,066</w:t>
            </w:r>
          </w:p>
        </w:tc>
        <w:tc>
          <w:tcPr>
            <w:tcW w:w="3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$ 59,978</w:t>
            </w: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$ 51,250</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52,375</w:t>
            </w:r>
          </w:p>
        </w:tc>
        <w:tc>
          <w:tcPr>
            <w:tcW w:w="28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14,577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13,920</w:t>
            </w:r>
          </w:p>
        </w:tc>
        <w:tc>
          <w:tcPr>
            <w:tcW w:w="300" w:type="dxa"/>
            <w:vAlign w:val="bottom"/>
          </w:tcPr>
          <w:p>
            <w:pPr>
              <w:spacing w:after="0"/>
              <w:rPr>
                <w:sz w:val="18"/>
                <w:szCs w:val="18"/>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26,754</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19,653</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17,613</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61,642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Recognized in loan securitization transactions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13,696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(44,821)</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12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(36,364)</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(14,233)</w:t>
            </w: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(10,925)</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126,377</w:t>
            </w: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104,855</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131,264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72,499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59,978</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51,250</w:t>
            </w:r>
          </w:p>
        </w:tc>
        <w:tc>
          <w:tcPr>
            <w:tcW w:w="0" w:type="dxa"/>
            <w:vAlign w:val="bottom"/>
          </w:tcPr>
          <w:p>
            <w:pPr>
              <w:spacing w:after="0"/>
              <w:rPr>
                <w:sz w:val="1"/>
                <w:szCs w:val="1"/>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12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Ending balance, net</w:t>
            </w: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126,077</w:t>
            </w: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100,355</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129,464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$ 72,499</w:t>
            </w:r>
          </w:p>
        </w:tc>
        <w:tc>
          <w:tcPr>
            <w:tcW w:w="320" w:type="dxa"/>
            <w:vAlign w:val="bottom"/>
          </w:tcPr>
          <w:p>
            <w:pPr>
              <w:spacing w:after="0"/>
              <w:rPr>
                <w:sz w:val="19"/>
                <w:szCs w:val="19"/>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$ 59,978</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51,250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1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1"/>
                <w:szCs w:val="11"/>
                <w:color w:val="auto"/>
              </w:rPr>
            </w:pPr>
          </w:p>
        </w:tc>
        <w:tc>
          <w:tcPr>
            <w:tcW w:w="760" w:type="dxa"/>
            <w:vAlign w:val="bottom"/>
            <w:gridSpan w:val="3"/>
          </w:tcPr>
          <w:p>
            <w:pPr>
              <w:jc w:val="right"/>
              <w:ind w:right="75"/>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right"/>
              <w:ind w:right="97"/>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right"/>
              <w:ind w:right="136"/>
              <w:spacing w:after="0" w:line="12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36"/>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jc w:val="right"/>
              <w:ind w:right="13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7"/>
          </w:tcPr>
          <w:p>
            <w:pPr>
              <w:jc w:val="right"/>
              <w:ind w:right="82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$ 8,143</w:t>
            </w:r>
          </w:p>
        </w:tc>
        <w:tc>
          <w:tcPr>
            <w:tcW w:w="2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$15,678</w:t>
            </w:r>
          </w:p>
        </w:tc>
        <w:tc>
          <w:tcPr>
            <w:tcW w:w="1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$ 26,197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$172,976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$198,192</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$160,876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79,129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34,230</w:t>
            </w:r>
          </w:p>
        </w:tc>
        <w:tc>
          <w:tcPr>
            <w:tcW w:w="22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61,642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Recognized in loan securitization transactions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(6,300)</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(7,535)</w:t>
            </w:r>
          </w:p>
        </w:tc>
        <w:tc>
          <w:tcPr>
            <w:tcW w:w="1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(10,519)</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(65,354)</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(59,555)</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(55,859)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11,225</w:t>
            </w:r>
          </w:p>
        </w:tc>
        <w:tc>
          <w:tcPr>
            <w:tcW w:w="280" w:type="dxa"/>
            <w:vAlign w:val="bottom"/>
          </w:tcPr>
          <w:p>
            <w:pPr>
              <w:spacing w:after="0"/>
              <w:rPr>
                <w:sz w:val="19"/>
                <w:szCs w:val="19"/>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8,143</w:t>
            </w:r>
          </w:p>
        </w:tc>
        <w:tc>
          <w:tcPr>
            <w:tcW w:w="180" w:type="dxa"/>
            <w:vAlign w:val="bottom"/>
          </w:tcPr>
          <w:p>
            <w:pPr>
              <w:spacing w:after="0"/>
              <w:rPr>
                <w:sz w:val="19"/>
                <w:szCs w:val="19"/>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15,678</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210,101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172,976</w:t>
            </w:r>
          </w:p>
        </w:tc>
        <w:tc>
          <w:tcPr>
            <w:tcW w:w="22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198,192</w:t>
            </w:r>
          </w:p>
        </w:tc>
        <w:tc>
          <w:tcPr>
            <w:tcW w:w="0" w:type="dxa"/>
            <w:vAlign w:val="bottom"/>
          </w:tcPr>
          <w:p>
            <w:pPr>
              <w:spacing w:after="0"/>
              <w:rPr>
                <w:sz w:val="1"/>
                <w:szCs w:val="1"/>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Ending balance, net</w:t>
            </w: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11,225</w:t>
            </w:r>
          </w:p>
        </w:tc>
        <w:tc>
          <w:tcPr>
            <w:tcW w:w="280" w:type="dxa"/>
            <w:vAlign w:val="bottom"/>
          </w:tcPr>
          <w:p>
            <w:pPr>
              <w:spacing w:after="0"/>
              <w:rPr>
                <w:sz w:val="19"/>
                <w:szCs w:val="19"/>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$ 8,143</w:t>
            </w:r>
          </w:p>
        </w:tc>
        <w:tc>
          <w:tcPr>
            <w:tcW w:w="180" w:type="dxa"/>
            <w:vAlign w:val="bottom"/>
          </w:tcPr>
          <w:p>
            <w:pPr>
              <w:spacing w:after="0"/>
              <w:rPr>
                <w:sz w:val="19"/>
                <w:szCs w:val="19"/>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$ 15,678</w:t>
            </w: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209,801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168,476</w:t>
            </w:r>
          </w:p>
        </w:tc>
        <w:tc>
          <w:tcPr>
            <w:tcW w:w="22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196,392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Residential mortgage loans serviced for others were $69.1 billion at December 31, 2013, $32.1 billion at December 31, 2012 and $36.3 billion at December 31, 2011. Reflected in residential mortgage loans serviced for others were loans sub-serviced for others of $46.6 billion, $12.5 billion and $14.3 billion at December 31, 2013, 2012, and 2011, respectively. Commercial mortgage loans serviced for others were $11.4 billion, $10.6 billion and $9.0 billion at December 31, 2013, 2012 and 2011, respectively. Other loans serviced for others include small-balance commercial mortgage loans and automobile loans totaling $4.4 billion, $3.8 billion and $4.4 billion at December 31, 2013, 2012 and 2011, respectively.</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Changes in the valuation allowance for capitalized residential mortgage servicing assets were not significant in 2013, 2012 or 2011. The estimated fair value of capitalized residential mortgage loan servicing assets was approximately $266 million at December 31, 2013 and $138 million at December 31, 2012. The fair value of capitalized residential mortgage loan servicing assets was estimated using weighted-average discount rates of 9.3% and 10.6% at December 31, 2013 and 2012, respectively, and contemporaneous prepayment assumptions that vary by loan type. At December 31, 2013 and 2012, the discount rate represented a weighted-average option-adjusted spread (“OAS”) of 770 basis points (hundredths of one percent) and 929 basis points, respectively, over market implied forward London Interbank Offered Rates.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$85 million and $71 million at December 31, 2013 and 2012, respectively. An 18% discount rate was used to estimate the fair value of capitalized commercial mortgage loan servicing rights at December 31, 2013 and 2012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8"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The key economic assumptions used to determine the fair value of significant portfolios of capitalized servicing rights at December 31, 2013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Residential</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Borders>
              <w:bottom w:val="single" w:sz="8" w:color="CCEEFF"/>
            </w:tcBorders>
          </w:tcPr>
          <w:p>
            <w:pPr>
              <w:spacing w:after="0"/>
              <w:rPr>
                <w:sz w:val="14"/>
                <w:szCs w:val="14"/>
                <w:color w:val="auto"/>
              </w:rPr>
            </w:pPr>
          </w:p>
        </w:tc>
      </w:tr>
      <w:tr>
        <w:trPr>
          <w:trHeight w:val="210"/>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prepayment speeds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(11,283,000)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(21,664,000)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Weighted-average OAS</w:t>
            </w:r>
          </w:p>
        </w:tc>
        <w:tc>
          <w:tcPr>
            <w:tcW w:w="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(5,714,000)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(11,155,000)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$(3,677,000)</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(7,096,000)</w:t>
            </w:r>
          </w:p>
        </w:tc>
      </w:tr>
    </w:tbl>
    <w:p>
      <w:pPr>
        <w:spacing w:after="0" w:line="154"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As described in note 19, during 2013 the Company securitized approximately $1.3 billion of one-to-four family residential mortgage loans formerly held in the Company’s loan portfolio in guaranteed mortgage securitizations with Ginnie Mae and securitized and sold approximately $1.4 billion of automobile loans. In conjunction with these transactions, the Company retained the servicing rights to the loans.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Goodwill and other intangible assets</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6"/>
              </w:rPr>
              <w:t>Gross Carrying</w:t>
            </w:r>
          </w:p>
        </w:tc>
        <w:tc>
          <w:tcPr>
            <w:tcW w:w="6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755,794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705,518</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158,693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933,062</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864,211</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755,794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670,940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146,359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933,062</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817,299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of core deposit and other intangible assets was generally computed using accelerated methods over original amortization periods of five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ten years. The weighted-average original amortization period was approximately eight years. The remaining weighted-average amortization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was approximately three years. Amortization expense for core deposit and other intangible assets was $46,912,000, $60,631,000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$61,617,000 for the years ended December 31, 2013, 2012 and 2011, respectively. Estimated amortization expense in future years for such intangible assets is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618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6"/>
              </w:rPr>
              <w:t>Year ending December 31:</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2014</w:t>
            </w:r>
          </w:p>
        </w:tc>
        <w:tc>
          <w:tcPr>
            <w:tcW w:w="452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33,825</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jc w:val="right"/>
              <w:ind w:right="5512"/>
              <w:spacing w:after="0"/>
              <w:rPr>
                <w:sz w:val="20"/>
                <w:szCs w:val="20"/>
                <w:color w:val="auto"/>
              </w:rPr>
            </w:pPr>
            <w:r>
              <w:rPr>
                <w:rFonts w:ascii="Arial" w:cs="Arial" w:eastAsia="Arial" w:hAnsi="Arial"/>
                <w:sz w:val="18"/>
                <w:szCs w:val="18"/>
                <w:color w:val="auto"/>
              </w:rPr>
              <w:t>2015</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2016</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jc w:val="right"/>
              <w:ind w:right="5512"/>
              <w:spacing w:after="0"/>
              <w:rPr>
                <w:sz w:val="20"/>
                <w:szCs w:val="20"/>
                <w:color w:val="auto"/>
              </w:rPr>
            </w:pPr>
            <w:r>
              <w:rPr>
                <w:rFonts w:ascii="Arial" w:cs="Arial" w:eastAsia="Arial" w:hAnsi="Arial"/>
                <w:sz w:val="18"/>
                <w:szCs w:val="18"/>
                <w:color w:val="auto"/>
              </w:rPr>
              <w:t>2017</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68,851</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In accordance with GAAP, the Company completed annual goodwill impairment tests as of October 1, 2013, 2012 and 2011.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685"/>
        <w:spacing w:after="0" w:line="268" w:lineRule="auto"/>
        <w:rPr>
          <w:sz w:val="20"/>
          <w:szCs w:val="20"/>
          <w:color w:val="auto"/>
        </w:rPr>
      </w:pPr>
      <w:r>
        <w:rPr>
          <w:rFonts w:ascii="Arial" w:cs="Arial" w:eastAsia="Arial" w:hAnsi="Arial"/>
          <w:sz w:val="18"/>
          <w:szCs w:val="18"/>
          <w:color w:val="auto"/>
        </w:rPr>
        <w:t>A summary of goodwill assigned to each of the Company’s reportable segments as of December 31, 2013 and 2012 for purposes of testing for impairment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748,907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907,524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1,144,404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374,593</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3,524,625</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interest rates of short-term borrowings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Federal Funds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86"/>
              </w:rPr>
              <w:t>Purchased</w:t>
            </w: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88"/>
              </w:rPr>
              <w:t>and</w:t>
            </w:r>
          </w:p>
        </w:tc>
        <w:tc>
          <w:tcPr>
            <w:tcW w:w="560" w:type="dxa"/>
            <w:vAlign w:val="bottom"/>
          </w:tcPr>
          <w:p>
            <w:pPr>
              <w:spacing w:after="0"/>
              <w:rPr>
                <w:sz w:val="12"/>
                <w:szCs w:val="12"/>
                <w:color w:val="auto"/>
              </w:rPr>
            </w:pPr>
          </w:p>
        </w:tc>
        <w:tc>
          <w:tcPr>
            <w:tcW w:w="1080" w:type="dxa"/>
            <w:vAlign w:val="bottom"/>
          </w:tcPr>
          <w:p>
            <w:pPr>
              <w:jc w:val="right"/>
              <w:ind w:right="593"/>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20" w:type="dxa"/>
            <w:vAlign w:val="bottom"/>
            <w:gridSpan w:val="2"/>
          </w:tcPr>
          <w:p>
            <w:pPr>
              <w:jc w:val="center"/>
              <w:ind w:right="195"/>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4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Short-term</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5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86"/>
              </w:rPr>
              <w:t>Agreements</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Borrowings</w:t>
            </w:r>
          </w:p>
        </w:tc>
        <w:tc>
          <w:tcPr>
            <w:tcW w:w="3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2013</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60" w:type="dxa"/>
            <w:vAlign w:val="bottom"/>
            <w:gridSpan w:val="2"/>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260,455</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260,455</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0.04%</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 the year ended December 31, 2013</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563,879</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390,034</w:t>
            </w:r>
          </w:p>
        </w:tc>
        <w:tc>
          <w:tcPr>
            <w:tcW w:w="56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390,034</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At December 31, 2012</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outstanding</w:t>
            </w:r>
          </w:p>
        </w:tc>
        <w:tc>
          <w:tcPr>
            <w:tcW w:w="24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1,074,482</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1,074,482</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0.11%</w:t>
            </w:r>
          </w:p>
        </w:tc>
        <w:tc>
          <w:tcPr>
            <w:tcW w:w="56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2012</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Highest amount at a month-end</w:t>
            </w:r>
          </w:p>
        </w:tc>
        <w:tc>
          <w:tcPr>
            <w:tcW w:w="2460" w:type="dxa"/>
            <w:vAlign w:val="bottom"/>
            <w:gridSpan w:val="2"/>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w w:val="87"/>
              </w:rPr>
              <w:t>1,224,194</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50,016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Daily-average amount outstanding</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822,859</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16,043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838,902</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0.15%</w:t>
            </w:r>
          </w:p>
        </w:tc>
        <w:tc>
          <w:tcPr>
            <w:tcW w:w="560" w:type="dxa"/>
            <w:vAlign w:val="bottom"/>
          </w:tcPr>
          <w:p>
            <w:pPr>
              <w:spacing w:after="0"/>
              <w:rPr>
                <w:sz w:val="18"/>
                <w:szCs w:val="18"/>
                <w:color w:val="auto"/>
              </w:rPr>
            </w:pP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0.57%</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2011</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60" w:type="dxa"/>
            <w:vAlign w:val="bottom"/>
            <w:gridSpan w:val="2"/>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732,059</w:t>
            </w:r>
          </w:p>
        </w:tc>
        <w:tc>
          <w:tcPr>
            <w:tcW w:w="560" w:type="dxa"/>
            <w:vAlign w:val="bottom"/>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413"/>
              <w:spacing w:after="0"/>
              <w:rPr>
                <w:sz w:val="20"/>
                <w:szCs w:val="20"/>
                <w:color w:val="auto"/>
              </w:rPr>
            </w:pPr>
            <w:r>
              <w:rPr>
                <w:rFonts w:ascii="Arial" w:cs="Arial" w:eastAsia="Arial" w:hAnsi="Arial"/>
                <w:sz w:val="18"/>
                <w:szCs w:val="18"/>
                <w:color w:val="auto"/>
              </w:rPr>
              <w:t>50,023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782,082</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0.04%</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 the year ended December 31, 2011</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7"/>
              </w:rPr>
              <w:t>1,389,237</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86"/>
              </w:rPr>
              <w:t>142,927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706,749</w:t>
            </w:r>
          </w:p>
        </w:tc>
        <w:tc>
          <w:tcPr>
            <w:tcW w:w="560" w:type="dxa"/>
            <w:vAlign w:val="bottom"/>
          </w:tcPr>
          <w:p>
            <w:pPr>
              <w:spacing w:after="0"/>
              <w:rPr>
                <w:sz w:val="18"/>
                <w:szCs w:val="18"/>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color w:val="auto"/>
                <w:w w:val="86"/>
              </w:rPr>
              <w:t>120,059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826,808</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bl>
    <w:p>
      <w:pPr>
        <w:spacing w:after="0" w:line="154" w:lineRule="exact"/>
        <w:rPr>
          <w:sz w:val="20"/>
          <w:szCs w:val="20"/>
          <w:color w:val="auto"/>
        </w:rPr>
      </w:pPr>
    </w:p>
    <w:p>
      <w:pPr>
        <w:ind w:right="100" w:firstLine="685"/>
        <w:spacing w:after="0" w:line="335" w:lineRule="auto"/>
        <w:rPr>
          <w:sz w:val="20"/>
          <w:szCs w:val="20"/>
          <w:color w:val="auto"/>
        </w:rPr>
      </w:pPr>
      <w:r>
        <w:rPr>
          <w:rFonts w:ascii="Arial" w:cs="Arial" w:eastAsia="Arial" w:hAnsi="Arial"/>
          <w:sz w:val="15"/>
          <w:szCs w:val="15"/>
          <w:color w:val="auto"/>
        </w:rPr>
        <w:t>Short-term borrowings have a stated maturity of one year or less at the date the Company enters into the obligation. In general, federal funds purchased and short-term repurchase agreements outstanding at December 31, 2013 matured on the next business day following year-end. Other short-term borrowings at December 31, 2011 included $50 million of borrowings from FHLBs. There were no similar borrowings at December 31, 2013 or December 31, 2012.</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2013, the Company had lines of credit under formal agreements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w w:val="99"/>
              </w:rPr>
              <w:t>Wilmington</w:t>
            </w:r>
          </w:p>
        </w:tc>
      </w:t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rPr>
              <w:t>M&amp;T</w:t>
            </w:r>
          </w:p>
        </w:tc>
        <w:tc>
          <w:tcPr>
            <w:tcW w:w="540" w:type="dxa"/>
            <w:vAlign w:val="bottom"/>
          </w:tcPr>
          <w:p>
            <w:pPr>
              <w:spacing w:after="0"/>
              <w:rPr>
                <w:sz w:val="14"/>
                <w:szCs w:val="14"/>
                <w:color w:val="auto"/>
              </w:rPr>
            </w:pPr>
          </w:p>
        </w:tc>
        <w:tc>
          <w:tcPr>
            <w:tcW w:w="1260" w:type="dxa"/>
            <w:vAlign w:val="bottom"/>
          </w:tcPr>
          <w:p>
            <w:pPr>
              <w:jc w:val="right"/>
              <w:ind w:right="499"/>
              <w:spacing w:after="0"/>
              <w:rPr>
                <w:sz w:val="20"/>
                <w:szCs w:val="20"/>
                <w:color w:val="auto"/>
              </w:rPr>
            </w:pPr>
            <w:r>
              <w:rPr>
                <w:rFonts w:ascii="Arial" w:cs="Arial" w:eastAsia="Arial" w:hAnsi="Arial"/>
                <w:sz w:val="14"/>
                <w:szCs w:val="14"/>
                <w:b w:val="1"/>
                <w:bCs w:val="1"/>
                <w:color w:val="auto"/>
                <w:w w:val="96"/>
              </w:rPr>
              <w:t>M&amp;T Bank</w:t>
            </w:r>
          </w:p>
        </w:tc>
        <w:tc>
          <w:tcPr>
            <w:tcW w:w="1200" w:type="dxa"/>
            <w:vAlign w:val="bottom"/>
            <w:gridSpan w:val="3"/>
          </w:tcPr>
          <w:p>
            <w:pPr>
              <w:ind w:left="44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359"/>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28,868</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Unused</w:t>
            </w:r>
          </w:p>
        </w:tc>
        <w:tc>
          <w:tcPr>
            <w:tcW w:w="10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8"/>
                <w:szCs w:val="18"/>
                <w:color w:val="auto"/>
                <w:w w:val="83"/>
              </w:rPr>
              <w:t>30,000</w:t>
            </w:r>
          </w:p>
        </w:tc>
        <w:tc>
          <w:tcPr>
            <w:tcW w:w="540" w:type="dxa"/>
            <w:vAlign w:val="bottom"/>
          </w:tcPr>
          <w:p>
            <w:pPr>
              <w:spacing w:after="0"/>
              <w:rPr>
                <w:sz w:val="19"/>
                <w:szCs w:val="19"/>
                <w:color w:val="auto"/>
              </w:rPr>
            </w:pPr>
          </w:p>
        </w:tc>
        <w:tc>
          <w:tcPr>
            <w:tcW w:w="1260" w:type="dxa"/>
            <w:vAlign w:val="bottom"/>
          </w:tcPr>
          <w:p>
            <w:pPr>
              <w:jc w:val="right"/>
              <w:ind w:right="379"/>
              <w:spacing w:after="0"/>
              <w:rPr>
                <w:sz w:val="20"/>
                <w:szCs w:val="20"/>
                <w:color w:val="auto"/>
              </w:rPr>
            </w:pPr>
            <w:r>
              <w:rPr>
                <w:rFonts w:ascii="Arial" w:cs="Arial" w:eastAsia="Arial" w:hAnsi="Arial"/>
                <w:sz w:val="18"/>
                <w:szCs w:val="18"/>
                <w:color w:val="auto"/>
                <w:w w:val="86"/>
              </w:rPr>
              <w:t>19,838,117</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300,710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360" w:firstLine="685"/>
        <w:spacing w:after="0" w:line="283" w:lineRule="auto"/>
        <w:rPr>
          <w:sz w:val="20"/>
          <w:szCs w:val="20"/>
          <w:color w:val="auto"/>
        </w:rPr>
      </w:pPr>
      <w:r>
        <w:rPr>
          <w:rFonts w:ascii="Arial" w:cs="Arial" w:eastAsia="Arial" w:hAnsi="Arial"/>
          <w:sz w:val="16"/>
          <w:szCs w:val="16"/>
          <w:color w:val="auto"/>
        </w:rPr>
        <w:t>M&amp;T has a revolving credit agreement with an unaffiliated commercial bank whereby M&amp;T may borrow up to $30 million at its discretion through November 21, 2014. At December 31, 2013, M&amp;T Bank had borrowing facilities available with the FHLBs whereby M&amp;T Bank could borrow up to approximately $8.3 billion. Additionally, M&amp;T Bank and Wilmington Trust, National Association (“Wilmington Trust, N.A.”), a wholly owned subsidiary of M&amp;T, had available lines of credit with the Federal Reserve Bank of New York totaling approximately $11.8 billion at December 31, 2013. M&amp;T Bank and Wilmington Trust, N.A. are required to pledge loans and investment securities as collateral for these borrowing facilities.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borrowings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of M&amp;T Bank: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Variable rate due 2016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1.45%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Advances from FHLB:</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Agreements to repurchase securities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1,400,000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1,400,000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of Wilmington Trust Corporation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(a wholly owned subsidiary of M&amp;T):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4.875% due 2013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251,298</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8.50% due 2018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224,067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230,255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of M&amp;T Bank:</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6.625% due 2017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437,582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455,439</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 due 2018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520" w:type="dxa"/>
            <w:vAlign w:val="bottom"/>
          </w:tcPr>
          <w:p>
            <w:pPr>
              <w:ind w:left="220"/>
              <w:spacing w:after="0"/>
              <w:rPr>
                <w:sz w:val="20"/>
                <w:szCs w:val="20"/>
                <w:color w:val="auto"/>
              </w:rPr>
            </w:pPr>
            <w:r>
              <w:rPr>
                <w:rFonts w:ascii="Arial" w:cs="Arial" w:eastAsia="Arial" w:hAnsi="Arial"/>
                <w:sz w:val="18"/>
                <w:szCs w:val="18"/>
                <w:color w:val="auto"/>
              </w:rPr>
              <w:t>5.585% due 2020, variable rate commencing 2015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392,964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385,669</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5.629% due 2021, variable rate commencing 2016</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583,097</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Junior subordinated debentures of M&amp;T associated with preferred capital securities: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 — 8.234%,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154,640</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M&amp;T Capital Trust II — 8.277%,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103,093</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III — 9.25%,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66,109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66,434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 — 8.125%, due 2028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15,566</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 — 8.29%, due 2028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24,746</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Statutory Trust I — 10.60%, due 2030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M&amp;T Capital Trust IV — 8.50%, due 2068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350,010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350,010</w:t>
            </w: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First Maryland Capital I — due 2027</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144,641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144,102</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Maryland Capital II — due 2027</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145,301</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Allfirst Asset Trust — due 2029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96,059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95,913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Provident Trust III — due 2033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52,176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51,694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Capital Trust III — due 2033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7,683</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40,792</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5,108,870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4,607,758</w:t>
            </w:r>
          </w:p>
        </w:tc>
      </w:tr>
      <w:tr>
        <w:trPr>
          <w:trHeight w:val="20"/>
        </w:trPr>
        <w:tc>
          <w:tcPr>
            <w:tcW w:w="7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During the first quarter of 2013, M&amp;T Bank instituted a Bank Note Program whereby M&amp;T Bank may offer up to $5 billion in unsecured senior and subordinated notes. During March 2013, three-year floating rate senior notes due March 2016 were issued for $300 million and five-year 1.45% fixed rate senior notes due March 2018 were issued for $500 million. The floating rate notes pay interest quarterly at rates that are indexed to the three-month LIBOR. The rate at December 31, 2013 was .54%.</w:t>
      </w:r>
    </w:p>
    <w:p>
      <w:pPr>
        <w:spacing w:after="0" w:line="1" w:lineRule="exact"/>
        <w:rPr>
          <w:sz w:val="20"/>
          <w:szCs w:val="20"/>
          <w:color w:val="auto"/>
        </w:rPr>
      </w:pPr>
    </w:p>
    <w:p>
      <w:pPr>
        <w:ind w:right="320" w:firstLine="685"/>
        <w:spacing w:after="0" w:line="281" w:lineRule="auto"/>
        <w:rPr>
          <w:sz w:val="20"/>
          <w:szCs w:val="20"/>
          <w:color w:val="auto"/>
        </w:rPr>
      </w:pPr>
      <w:r>
        <w:rPr>
          <w:rFonts w:ascii="Arial" w:cs="Arial" w:eastAsia="Arial" w:hAnsi="Arial"/>
          <w:sz w:val="16"/>
          <w:szCs w:val="16"/>
          <w:color w:val="auto"/>
        </w:rPr>
        <w:t>Long-term fixed rate advances from the FHLB had contractual interest rates ranging from 3.48% to 7.32% at December 31, 2013 and 2012. The weighted-average contractual interest rates payable were 4.60% at December 31, 2013 and 4.64% at December 31, 2012. Advances from the FHLB mature at various dates through 2035 and are secured by residential real estate loans, commercial real estate loans and investment securities.</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Long-term agreements to repurchase securities had contractual interest rates that ranged from 3.61% to 4.30% at each of December 31, 2013 and 2012. The weighted-average contractual interest rates were 3.90% at each of those dates. The agreements outstanding at December 31, 2013 reflect various repurchase dates through 2017,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of $1.6 billion at each of December 31, 2013 and 2012.</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subordinated notes of M&amp;T Bank and Wilmington Trust Corporation are unsecured and are subordinate to the claims of other creditors of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9"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fixed and floating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 The variable rate Junior Subordinated Debentures pay interest quarterly at rates that are indexed to the three-month LIBOR. Those rates ranged from 1.09% to 3.59% at December 31, 2013 and from 1.16% to 3.69% at December 31, 2012. The weighted-average variable rates payable on those Junior Subordinated Debentures were 1.67% at December 31, 2013 and 1.75% at December 31, 2012.</w:t>
      </w:r>
    </w:p>
    <w:p>
      <w:pPr>
        <w:spacing w:after="0" w:line="8"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7" w:lineRule="exact"/>
        <w:rPr>
          <w:sz w:val="20"/>
          <w:szCs w:val="20"/>
          <w:color w:val="auto"/>
        </w:rPr>
      </w:pPr>
    </w:p>
    <w:p>
      <w:pPr>
        <w:jc w:val="both"/>
        <w:ind w:right="220" w:firstLine="685"/>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January 2014, M&amp;T announced that it will redeem all of the issued and outstanding</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8.5% $350 million trust preferred securities issued by M&amp;T Capital Trust IV and the related junior subordinated debentures held by M&amp;T Capital Trust IV on February 27, 2014.</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borrowings at December 31, 2013 mature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1,105,075</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1,041,871</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777,991</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2,156,156</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5,108,870</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Shareholders’ equity</w:t>
      </w:r>
    </w:p>
    <w:p>
      <w:pPr>
        <w:spacing w:after="0" w:line="21"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5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December 31, 2013</w:t>
            </w:r>
          </w:p>
        </w:tc>
        <w:tc>
          <w:tcPr>
            <w:tcW w:w="20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6840" w:type="dxa"/>
            <w:vAlign w:val="bottom"/>
          </w:tcPr>
          <w:p>
            <w:pPr>
              <w:spacing w:after="0"/>
              <w:rPr>
                <w:sz w:val="11"/>
                <w:szCs w:val="11"/>
                <w:color w:val="auto"/>
              </w:rPr>
            </w:pPr>
          </w:p>
        </w:tc>
        <w:tc>
          <w:tcPr>
            <w:tcW w:w="1000" w:type="dxa"/>
            <w:vAlign w:val="bottom"/>
            <w:tcBorders>
              <w:top w:val="single" w:sz="8" w:color="auto"/>
            </w:tcBorders>
          </w:tcPr>
          <w:p>
            <w:pPr>
              <w:jc w:val="center"/>
              <w:ind w:right="184"/>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Borders>
              <w:top w:val="single" w:sz="8" w:color="auto"/>
            </w:tcBorders>
          </w:tcPr>
          <w:p>
            <w:pPr>
              <w:jc w:val="center"/>
              <w:ind w:right="204"/>
              <w:spacing w:after="0" w:line="129" w:lineRule="exact"/>
              <w:rPr>
                <w:sz w:val="20"/>
                <w:szCs w:val="20"/>
                <w:color w:val="auto"/>
              </w:rPr>
            </w:pPr>
            <w:r>
              <w:rPr>
                <w:rFonts w:ascii="Arial" w:cs="Arial" w:eastAsia="Arial" w:hAnsi="Arial"/>
                <w:sz w:val="14"/>
                <w:szCs w:val="14"/>
                <w:b w:val="1"/>
                <w:bCs w:val="1"/>
                <w:color w:val="auto"/>
                <w:w w:val="81"/>
              </w:rPr>
              <w:t>Shares</w:t>
            </w: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84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4"/>
              </w:rPr>
              <w:t>Issued and</w:t>
            </w:r>
          </w:p>
        </w:tc>
        <w:tc>
          <w:tcPr>
            <w:tcW w:w="15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Carrying</w:t>
            </w:r>
          </w:p>
        </w:tc>
        <w:tc>
          <w:tcPr>
            <w:tcW w:w="10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4"/>
              </w:rPr>
              <w:t>Issued and</w:t>
            </w:r>
          </w:p>
        </w:tc>
        <w:tc>
          <w:tcPr>
            <w:tcW w:w="1060" w:type="dxa"/>
            <w:vAlign w:val="bottom"/>
            <w:gridSpan w:val="2"/>
          </w:tcPr>
          <w:p>
            <w:pPr>
              <w:jc w:val="center"/>
              <w:ind w:left="8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6840" w:type="dxa"/>
            <w:vAlign w:val="bottom"/>
          </w:tcPr>
          <w:p>
            <w:pPr>
              <w:spacing w:after="0"/>
              <w:rPr>
                <w:sz w:val="14"/>
                <w:szCs w:val="14"/>
                <w:color w:val="auto"/>
              </w:rPr>
            </w:pPr>
          </w:p>
        </w:tc>
        <w:tc>
          <w:tcPr>
            <w:tcW w:w="1000" w:type="dxa"/>
            <w:vAlign w:val="bottom"/>
          </w:tcPr>
          <w:p>
            <w:pPr>
              <w:jc w:val="center"/>
              <w:ind w:right="204"/>
              <w:spacing w:after="0"/>
              <w:rPr>
                <w:sz w:val="20"/>
                <w:szCs w:val="20"/>
                <w:color w:val="auto"/>
              </w:rPr>
            </w:pPr>
            <w:r>
              <w:rPr>
                <w:rFonts w:ascii="Arial" w:cs="Arial" w:eastAsia="Arial" w:hAnsi="Arial"/>
                <w:sz w:val="14"/>
                <w:szCs w:val="14"/>
                <w:b w:val="1"/>
                <w:bCs w:val="1"/>
                <w:color w:val="auto"/>
                <w:w w:val="87"/>
              </w:rPr>
              <w:t>Outstanding</w:t>
            </w: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68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3"/>
          </w:tcPr>
          <w:p>
            <w:pPr>
              <w:jc w:val="right"/>
              <w:ind w:right="564"/>
              <w:spacing w:after="0" w:line="142"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A(a)</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A, $1,000 liquidation preference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230,000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$ 230,000</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230,000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$ 226,965</w:t>
            </w: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C(a)</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w w:val="95"/>
              </w:rPr>
              <w:t>Fixed Rate Cumulative Perpetual Preferred Stock, Series C, $1,000 liquidation preference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151,500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151,500</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151,500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145,535</w:t>
            </w: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Series D(b)</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840" w:type="dxa"/>
            <w:vAlign w:val="bottom"/>
          </w:tcPr>
          <w:p>
            <w:pPr>
              <w:spacing w:after="0"/>
              <w:rPr>
                <w:sz w:val="20"/>
                <w:szCs w:val="20"/>
                <w:color w:val="auto"/>
              </w:rPr>
            </w:pPr>
            <w:r>
              <w:rPr>
                <w:rFonts w:ascii="Arial" w:cs="Arial" w:eastAsia="Arial" w:hAnsi="Arial"/>
                <w:sz w:val="18"/>
                <w:szCs w:val="18"/>
                <w:color w:val="auto"/>
              </w:rPr>
              <w:t>Fixed Rate Non-cumulative Perpetual Preferred Stock, Series D, $10,000 liquidation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8"/>
                <w:szCs w:val="18"/>
                <w:color w:val="auto"/>
              </w:rPr>
              <w:t>preference per share</w:t>
            </w:r>
          </w:p>
        </w:tc>
        <w:tc>
          <w:tcPr>
            <w:tcW w:w="1000" w:type="dxa"/>
            <w:vAlign w:val="bottom"/>
          </w:tcPr>
          <w:p>
            <w:pPr>
              <w:jc w:val="right"/>
              <w:ind w:right="184"/>
              <w:spacing w:after="0"/>
              <w:rPr>
                <w:sz w:val="20"/>
                <w:szCs w:val="20"/>
                <w:color w:val="auto"/>
              </w:rPr>
            </w:pPr>
            <w:r>
              <w:rPr>
                <w:rFonts w:ascii="Arial" w:cs="Arial" w:eastAsia="Arial" w:hAnsi="Arial"/>
                <w:sz w:val="18"/>
                <w:szCs w:val="18"/>
                <w:color w:val="auto"/>
              </w:rPr>
              <w:t>50,000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020" w:type="dxa"/>
            <w:vAlign w:val="bottom"/>
          </w:tcPr>
          <w:p>
            <w:pPr>
              <w:jc w:val="right"/>
              <w:ind w:right="204"/>
              <w:spacing w:after="0"/>
              <w:rPr>
                <w:sz w:val="20"/>
                <w:szCs w:val="20"/>
                <w:color w:val="auto"/>
              </w:rPr>
            </w:pPr>
            <w:r>
              <w:rPr>
                <w:rFonts w:ascii="Arial" w:cs="Arial" w:eastAsia="Arial" w:hAnsi="Arial"/>
                <w:sz w:val="18"/>
                <w:szCs w:val="18"/>
                <w:color w:val="auto"/>
              </w:rPr>
              <w:t>50,000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6" w:lineRule="exact"/>
        <w:rPr>
          <w:sz w:val="20"/>
          <w:szCs w:val="20"/>
          <w:color w:val="auto"/>
        </w:rPr>
      </w:pPr>
    </w:p>
    <w:p>
      <w:pPr>
        <w:ind w:left="460" w:right="40" w:hanging="452"/>
        <w:spacing w:after="0" w:line="289" w:lineRule="auto"/>
        <w:tabs>
          <w:tab w:leader="none" w:pos="4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originally issued as part of the TARP of the U.S Treasury. Cash proceeds were allocated between the preferred stock and a ten-year warrant to purchase M&amp;T common stock (Series A — 1,218,522 common shares at $73.86 per share, Series C — 407,542 common shares at $55.76 per share). The U.S. Treasury sold all of the shares of M&amp;T preferred stock that it held in August 2012. In connection with that sale, the terms of the preferred stock were modified such that dividends, if declared, were paid quarterly at a rate of 5% per year through November 14, 2013 and at 6.375% thereafter, and M&amp;T agreed to not redeem the preferred shares until on or after November 15, 2018. In December 2012, the U.S. Treasury sold to other investors the Series A warrants for $26.50 per warrant. In March 2013, the U.S. Treasury exercised the Series C warrants in a “cashless” exercise, resulting in the issuance of 186,589 common shares. During 2013, 69,127 of the Series A warrants were exercised in “cashless” exercises, resulting in the issuance of 25,427 common shares. Remaining outstanding Series A warrants were 1,149,395 at December 31, 2013.</w:t>
      </w:r>
    </w:p>
    <w:p>
      <w:pPr>
        <w:spacing w:after="0" w:line="10" w:lineRule="exact"/>
        <w:rPr>
          <w:rFonts w:ascii="Arial" w:cs="Arial" w:eastAsia="Arial" w:hAnsi="Arial"/>
          <w:sz w:val="16"/>
          <w:szCs w:val="16"/>
          <w:i w:val="1"/>
          <w:iCs w:val="1"/>
          <w:color w:val="auto"/>
        </w:rPr>
      </w:pPr>
    </w:p>
    <w:p>
      <w:pPr>
        <w:ind w:left="460" w:right="60" w:hanging="452"/>
        <w:spacing w:after="0" w:line="259" w:lineRule="auto"/>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the Series A and Series C warrants mentioned in (a) above, a ten-year warrant to purchase 95,383 shares of M&amp;T common stock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$518.96 per share was outstanding at each of December 31, 2013 and 2012. That warrant was issued by Wilmington Trust in December 2008 as part of the TARP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the U.S. Treasury.</w:t>
      </w:r>
    </w:p>
    <w:p>
      <w:pPr>
        <w:spacing w:after="0" w:line="24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Stock-based compensation expense was $55 million in 2013, $57 million in 2012 and $56 million in 2011. The Company recognized income tax benefits related to stock-based compensation of $29 million in 2013, $30 million in 2012 and $22 million in 2011.</w:t>
      </w:r>
    </w:p>
    <w:p>
      <w:pPr>
        <w:spacing w:after="0" w:line="1" w:lineRule="exact"/>
        <w:rPr>
          <w:sz w:val="20"/>
          <w:szCs w:val="20"/>
          <w:color w:val="auto"/>
        </w:rPr>
      </w:pPr>
    </w:p>
    <w:p>
      <w:pPr>
        <w:ind w:right="300" w:firstLine="685"/>
        <w:spacing w:after="0" w:line="295" w:lineRule="auto"/>
        <w:rPr>
          <w:sz w:val="20"/>
          <w:szCs w:val="20"/>
          <w:color w:val="auto"/>
        </w:rPr>
      </w:pPr>
      <w:r>
        <w:rPr>
          <w:rFonts w:ascii="Arial" w:cs="Arial" w:eastAsia="Arial" w:hAnsi="Arial"/>
          <w:sz w:val="16"/>
          <w:szCs w:val="16"/>
          <w:color w:val="auto"/>
        </w:rPr>
        <w:t>The Company’s equity incentive compensation plan allows for the issuance of various forms of stock-based compensation, including stock options, restricted stock, restricted stock units and performance-based awards. Through December 31, 2013, only stock-based compensation awards, including stock options, restricted stock and restricted stock units, that vest with the passage of time as service is provided have been issued. At December 31, 2013 and 2012, respectively, there were 4,874,542 and 5,307,228 shares available for future grant under the Company’s equity incentive compensation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Restricted stock awards are comprised of restricted stock and restricted stock units. Restricted stock awards generally vest over four years. Unrecognized compensation expense associated with restricted stock was $27 million as of December 31, 2013 and is expected to be recognized over a weighted-average period of 1.5 years. The Company generally will issue restricted shares from treasury stock to the extent available, but may also issue new shares. During 2013, 2012 and 2011, the number of restricted shares issued was 269,755, 453,908 and 451,248, respectively, with a weighted-average grant date fair value of $27,716,000, $36,969,000 and $38,369,000, respectively. Unrecognized compensation expense associated with restricted stock units was $9 million as of December 31, 2013 and is expected to be recognized over a weighted-average period of 1.4 years. During 2013, 2012 and 2011 the number of restricted stock units issued was 315,316, 278,505 and 242,282, respectively, with a weighted-average grant date fair value of $32,380,000, $22,139,000 and $20,921,000, respectively.</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and restricted stock unit activity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Restricted</w:t>
            </w: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Weighted-</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Restricted</w:t>
            </w:r>
          </w:p>
        </w:tc>
        <w:tc>
          <w:tcPr>
            <w:tcW w:w="3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Outstanding</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Grant Price</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Grant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799,495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1,095,631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315,316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102.69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269,755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(341,348)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56.43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(446,882)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96.90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(55,809)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862,695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5"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Stock options issued generally vest over four years and are exercisable over terms not exceeding ten years and one day. The Company used an option pricing model to estimate the grant date present value of stock options granted. Stock options granted in 2013, 2012 and 2011 were not significant.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Weighted-Average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1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Exercise</w:t>
            </w:r>
          </w:p>
        </w:tc>
        <w:tc>
          <w:tcPr>
            <w:tcW w:w="7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6"/>
              <w:spacing w:after="0" w:line="129" w:lineRule="exact"/>
              <w:rPr>
                <w:sz w:val="20"/>
                <w:szCs w:val="20"/>
                <w:color w:val="auto"/>
              </w:rPr>
            </w:pPr>
            <w:r>
              <w:rPr>
                <w:rFonts w:ascii="Arial" w:cs="Arial" w:eastAsia="Arial" w:hAnsi="Arial"/>
                <w:sz w:val="14"/>
                <w:szCs w:val="14"/>
                <w:b w:val="1"/>
                <w:bCs w:val="1"/>
                <w:color w:val="auto"/>
              </w:rPr>
              <w:t>Life</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4"/>
                <w:szCs w:val="14"/>
                <w:b w:val="1"/>
                <w:bCs w:val="1"/>
                <w:color w:val="auto"/>
              </w:rPr>
              <w:t>Price</w:t>
            </w:r>
          </w:p>
        </w:tc>
        <w:tc>
          <w:tcPr>
            <w:tcW w:w="7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(In Years)</w:t>
            </w:r>
          </w:p>
        </w:tc>
        <w:tc>
          <w:tcPr>
            <w:tcW w:w="3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7,033,359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$103.30</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102.69</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(1,998,841)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(153,857)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138.46</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4,880,761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105.48</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4,879,148</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105.49</w:t>
            </w:r>
          </w:p>
        </w:tc>
        <w:tc>
          <w:tcPr>
            <w:tcW w:w="1660" w:type="dxa"/>
            <w:vAlign w:val="bottom"/>
            <w:gridSpan w:val="3"/>
          </w:tcPr>
          <w:p>
            <w:pPr>
              <w:jc w:val="right"/>
              <w:ind w:right="360"/>
              <w:spacing w:after="0"/>
              <w:rPr>
                <w:sz w:val="20"/>
                <w:szCs w:val="20"/>
                <w:color w:val="auto"/>
              </w:rPr>
            </w:pPr>
            <w:r>
              <w:rPr>
                <w:rFonts w:ascii="Arial" w:cs="Arial" w:eastAsia="Arial" w:hAnsi="Arial"/>
                <w:sz w:val="18"/>
                <w:szCs w:val="18"/>
                <w:color w:val="auto"/>
              </w:rPr>
              <w:t>2.8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4"/>
                <w:szCs w:val="14"/>
                <w:color w:val="auto"/>
              </w:rPr>
              <w:t>134</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4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For 2013, 2012 and 2011, M&amp;T received $172 million, $153 million and $28 million, respectively, in cash and realized tax benefits from the exercise of stock options of $12 million, $8 million and $3 million, respectively. The intrinsic value of stock options exercised during those periods was $34 million,</w:t>
      </w:r>
    </w:p>
    <w:p>
      <w:pPr>
        <w:ind w:right="140"/>
        <w:spacing w:after="0" w:line="331" w:lineRule="auto"/>
        <w:rPr>
          <w:sz w:val="20"/>
          <w:szCs w:val="20"/>
          <w:color w:val="auto"/>
        </w:rPr>
      </w:pPr>
      <w:r>
        <w:rPr>
          <w:rFonts w:ascii="Arial" w:cs="Arial" w:eastAsia="Arial" w:hAnsi="Arial"/>
          <w:sz w:val="15"/>
          <w:szCs w:val="15"/>
          <w:color w:val="auto"/>
        </w:rPr>
        <w:t>$21 million and $7 million, respectively. As of December 31, 2013, the amount of unrecognized compensation cost related to non-vested stock options was not significant. The total grant date fair value of stock options vested during 2013 was not significant, and for 2012 and 2011 was $17 million and $29 million, respectively. Upon the exercise of stock options, the Company generally issues shares from treasury stock to the extent available, but may also issue new shares.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stock purchase plan provides eligible employees of the Company with the right to purchase shares of M&amp;T common stock at a discount through accumulated payroll deductions. In connection with the employee stock purchase plan, 2,500,000 shares of M&amp;T common stock were authorized for issuance under a plan adopted in 2013, of which no shares have been issued. There were no shares issued in 2013, 151,014 shares issued in 2012 under a previous plan and no shares issued in 2011. For 2012 M&amp;T received $10,117,000 in cash for shares purchased through the employee stock purchase plan. Compensation expense recognized for the stock purchase plan was not significant in 2013, 2012 or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plan</w:t>
      </w:r>
    </w:p>
    <w:p>
      <w:pPr>
        <w:spacing w:after="0" w:line="1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33,046 and 38,593 at December 31, 2013 and 2012, respectively. The obligation to issue shares is included in “common stock issuable” in the consolidated balance sheet. Through December 31, 2013, 139,429 shares have been issued in connection with the deferred bonus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stock plan</w:t>
      </w:r>
    </w:p>
    <w:p>
      <w:pPr>
        <w:spacing w:after="0" w:line="1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2013, 197,905 shares had been issued in connection with the directors’ stock plan.</w:t>
      </w:r>
    </w:p>
    <w:p>
      <w:pPr>
        <w:spacing w:after="0" w:line="1" w:lineRule="exact"/>
        <w:rPr>
          <w:sz w:val="20"/>
          <w:szCs w:val="20"/>
          <w:color w:val="auto"/>
        </w:rPr>
      </w:pPr>
    </w:p>
    <w:p>
      <w:pPr>
        <w:jc w:val="both"/>
        <w:ind w:right="500" w:firstLine="685"/>
        <w:spacing w:after="0" w:line="255" w:lineRule="auto"/>
        <w:rPr>
          <w:sz w:val="20"/>
          <w:szCs w:val="20"/>
          <w:color w:val="auto"/>
        </w:rPr>
      </w:pPr>
      <w:r>
        <w:rPr>
          <w:rFonts w:ascii="Arial" w:cs="Arial" w:eastAsia="Arial" w:hAnsi="Arial"/>
          <w:sz w:val="18"/>
          <w:szCs w:val="18"/>
          <w:color w:val="auto"/>
        </w:rPr>
        <w:t>Through acquisitions, the Company assumed obligations to issue shares of M&amp;T common stock related to deferred directors compensation plans. Shares of common stock issuable under such plans were 14,185 and 18,816 at December 31, 2013 and 2012, respectively. The obligation to issue shares is included in “common stock issuable” in the consolidated balance sheet.</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 and other postretirement benefits</w:t>
      </w:r>
    </w:p>
    <w:p>
      <w:pPr>
        <w:spacing w:after="0" w:line="2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expense for defined benefit plans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8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$ 24,360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$ 29,549</w:t>
            </w:r>
          </w:p>
        </w:tc>
        <w:tc>
          <w:tcPr>
            <w:tcW w:w="5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$ 28,828</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660" w:type="dxa"/>
            <w:vAlign w:val="bottom"/>
          </w:tcPr>
          <w:p>
            <w:pPr>
              <w:jc w:val="right"/>
              <w:spacing w:after="0"/>
              <w:rPr>
                <w:sz w:val="20"/>
                <w:szCs w:val="20"/>
                <w:color w:val="auto"/>
              </w:rPr>
            </w:pPr>
            <w:r>
              <w:rPr>
                <w:rFonts w:ascii="Arial" w:cs="Arial" w:eastAsia="Arial" w:hAnsi="Arial"/>
                <w:sz w:val="18"/>
                <w:szCs w:val="18"/>
                <w:color w:val="auto"/>
              </w:rPr>
              <w:t>60,130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62,037</w:t>
            </w:r>
          </w:p>
        </w:tc>
        <w:tc>
          <w:tcPr>
            <w:tcW w:w="5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58,545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(87,353)</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(70,511)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(60,700)</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(6,556)</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color w:val="auto"/>
              </w:rPr>
              <w:t>(6,559)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(6,559)</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100" w:type="dxa"/>
            <w:vAlign w:val="bottom"/>
            <w:shd w:val="clear" w:color="auto" w:fill="CCEEFF"/>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Net periodic pension expense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$ 31,657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$ 51,902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$ 40,644</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8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135</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other postretirement benefits expense for defined benefit plans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2,691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other postretirement benefits expense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2,434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the funding position of the defined benefit plans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18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1,644,567</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1,496,490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74,966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29,549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2,691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(184,181)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116,237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(12,830)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Settlements/curtailments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Medicare Part D reimbursement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(60,683)</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(59,426)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obligation at end of year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1,484,193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1,644,567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60,592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74,966</w:t>
            </w:r>
          </w:p>
        </w:tc>
        <w:tc>
          <w:tcPr>
            <w:tcW w:w="0" w:type="dxa"/>
            <w:vAlign w:val="bottom"/>
          </w:tcPr>
          <w:p>
            <w:pPr>
              <w:spacing w:after="0"/>
              <w:rPr>
                <w:sz w:val="1"/>
                <w:szCs w:val="1"/>
                <w:color w:val="auto"/>
              </w:rPr>
            </w:pPr>
          </w:p>
        </w:tc>
      </w:tr>
      <w:tr>
        <w:trPr>
          <w:trHeight w:val="222"/>
        </w:trPr>
        <w:tc>
          <w:tcPr>
            <w:tcW w:w="630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1,408,771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1,117,972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150,795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143,430</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207,115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Plan participants’ contributions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3,069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Medicare Part D reimbursement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and other 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(60,683)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200"/>
              <w:spacing w:after="0"/>
              <w:rPr>
                <w:sz w:val="20"/>
                <w:szCs w:val="20"/>
                <w:color w:val="auto"/>
              </w:rPr>
            </w:pPr>
            <w:r>
              <w:rPr>
                <w:rFonts w:ascii="Arial" w:cs="Arial" w:eastAsia="Arial" w:hAnsi="Arial"/>
                <w:sz w:val="18"/>
                <w:szCs w:val="18"/>
                <w:color w:val="auto"/>
              </w:rPr>
              <w:t>Fair value of plan assets at end of year</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1,506,684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1,408,771</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(235,796)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(60,592)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(74,966)</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Assets and liabilities recognized in the consolidated balance sheet were: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prepaid asset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(117,085)</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(235,796)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(60,592)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(74,966)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Amounts recognized in accumulated other comprehensive income (“AOCI”) were: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Net loss (gain)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191,386</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480,084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prior service cost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(16,899)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(11,814)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200"/>
              <w:spacing w:after="0"/>
              <w:rPr>
                <w:sz w:val="20"/>
                <w:szCs w:val="20"/>
                <w:color w:val="auto"/>
              </w:rPr>
            </w:pPr>
            <w:r>
              <w:rPr>
                <w:rFonts w:ascii="Arial" w:cs="Arial" w:eastAsia="Arial" w:hAnsi="Arial"/>
                <w:sz w:val="18"/>
                <w:szCs w:val="18"/>
                <w:color w:val="auto"/>
              </w:rPr>
              <w:t>Pre-tax adjustment to AOCI</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174,487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456,629</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(12,870)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(68,486)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(179,227)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200"/>
              <w:spacing w:after="0"/>
              <w:rPr>
                <w:sz w:val="20"/>
                <w:szCs w:val="20"/>
                <w:color w:val="auto"/>
              </w:rPr>
            </w:pPr>
            <w:r>
              <w:rPr>
                <w:rFonts w:ascii="Arial" w:cs="Arial" w:eastAsia="Arial" w:hAnsi="Arial"/>
                <w:sz w:val="18"/>
                <w:szCs w:val="18"/>
                <w:color w:val="auto"/>
              </w:rPr>
              <w:t>Net adjustment to AOCI.</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106,001</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277,402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4"/>
                <w:szCs w:val="14"/>
                <w:color w:val="auto"/>
              </w:rPr>
              <w:t>136</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685"/>
        <w:spacing w:after="0" w:line="305" w:lineRule="auto"/>
        <w:rPr>
          <w:sz w:val="20"/>
          <w:szCs w:val="20"/>
          <w:color w:val="auto"/>
        </w:rPr>
      </w:pPr>
      <w:r>
        <w:rPr>
          <w:rFonts w:ascii="Arial" w:cs="Arial" w:eastAsia="Arial" w:hAnsi="Arial"/>
          <w:sz w:val="15"/>
          <w:szCs w:val="15"/>
          <w:color w:val="auto"/>
        </w:rPr>
        <w:t>The Company has an unfunded supplemental pension plan for certain key executives. The projected benefit obligation and accumulated benefit obligation included in the preceding data related to such plan were $117,085,000 as of December 31, 2013 and $130,745,000 as of December 31, 2012.</w:t>
      </w:r>
    </w:p>
    <w:p>
      <w:pPr>
        <w:ind w:right="440" w:firstLine="685"/>
        <w:spacing w:after="0" w:line="250" w:lineRule="auto"/>
        <w:rPr>
          <w:sz w:val="20"/>
          <w:szCs w:val="20"/>
          <w:color w:val="auto"/>
        </w:rPr>
      </w:pPr>
      <w:r>
        <w:rPr>
          <w:rFonts w:ascii="Arial" w:cs="Arial" w:eastAsia="Arial" w:hAnsi="Arial"/>
          <w:sz w:val="18"/>
          <w:szCs w:val="18"/>
          <w:color w:val="auto"/>
        </w:rPr>
        <w:t>The accumulated benefit obligation for all defined benefit pension plans was $1,460,498,000 and $1,618,119,000 at December 31, 2013 and 2012, respectively.</w:t>
      </w:r>
    </w:p>
    <w:p>
      <w:pPr>
        <w:spacing w:after="0" w:line="1" w:lineRule="exact"/>
        <w:rPr>
          <w:sz w:val="20"/>
          <w:szCs w:val="20"/>
          <w:color w:val="auto"/>
        </w:rPr>
      </w:pPr>
    </w:p>
    <w:p>
      <w:pPr>
        <w:ind w:firstLine="685"/>
        <w:spacing w:after="0" w:line="285"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As indicated in the preceding table, as of December 31, 2013 the Company recorded a minimum liability adjustment of $161,617,000 ($174,487,000 related to pension plans and $(12,870,000) related to other postretirement benefits) with a corresponding reduction of shareholders’ equity, net of applicable deferred taxes, of $98,182,000. In aggregate, the benefit plans realized a net gain during 2013 that resulted from actual experience differing from the plan assumptions utilized and from changes in actuarial assumptions. The main factors contributing to that gain were actual investment returns from assets in the qualified defined benefit pension plan that exceeded expected returns and from an increase in the discount rate used in the measurement of the benefit obligations to 4.75% at December 31, 2013 from 3.75% at December 31, 2012. As a result, the Company decreased its minimum liability adjustment from that which was recorded at December 31, 2012 by $293,973,000 with a corresponding increase to shareholders’ equity that, net of applicable deferred taxes, was $178,589,000. The table below reflects the changes in plan assets and benefit obligations recognized in other comprehensive income related to the Company’s postretirement benefit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Postretirement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Benefit Plans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2013</w:t>
            </w:r>
          </w:p>
        </w:tc>
        <w:tc>
          <w:tcPr>
            <w:tcW w:w="54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Net gain</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(247,622)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(12,830)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(260,452)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Amortization of loss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(41,076)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(282,142)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(293,973)</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2012</w:t>
            </w: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43,318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Prior service credit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(13,313)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Amortization of loss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(37,386)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12,491</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685"/>
        <w:spacing w:after="0" w:line="268" w:lineRule="auto"/>
        <w:rPr>
          <w:sz w:val="20"/>
          <w:szCs w:val="20"/>
          <w:color w:val="auto"/>
        </w:rPr>
      </w:pPr>
      <w:r>
        <w:rPr>
          <w:rFonts w:ascii="Arial" w:cs="Arial" w:eastAsia="Arial" w:hAnsi="Arial"/>
          <w:sz w:val="18"/>
          <w:szCs w:val="18"/>
          <w:color w:val="auto"/>
        </w:rPr>
        <w:t>The following table reflects the amortization of amounts in accumulated other comprehensive income expected to be recognized as components of net periodic benefit expense during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r>
      <w:tr>
        <w:trPr>
          <w:trHeight w:val="149"/>
        </w:trPr>
        <w:tc>
          <w:tcPr>
            <w:tcW w:w="5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gridSpan w:val="3"/>
          </w:tcPr>
          <w:p>
            <w:pPr>
              <w:jc w:val="center"/>
              <w:ind w:left="206"/>
              <w:spacing w:after="0" w:line="149" w:lineRule="exact"/>
              <w:rPr>
                <w:sz w:val="20"/>
                <w:szCs w:val="20"/>
                <w:color w:val="auto"/>
              </w:rPr>
            </w:pPr>
            <w:r>
              <w:rPr>
                <w:rFonts w:ascii="Arial" w:cs="Arial" w:eastAsia="Arial" w:hAnsi="Arial"/>
                <w:sz w:val="14"/>
                <w:szCs w:val="14"/>
                <w:b w:val="1"/>
                <w:bCs w:val="1"/>
                <w:color w:val="auto"/>
                <w:w w:val="84"/>
              </w:rPr>
              <w:t>Postretirement</w:t>
            </w:r>
          </w:p>
        </w:tc>
      </w:tr>
      <w:tr>
        <w:trPr>
          <w:trHeight w:val="161"/>
        </w:trPr>
        <w:tc>
          <w:tcPr>
            <w:tcW w:w="5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1360" w:type="dxa"/>
            <w:vAlign w:val="bottom"/>
            <w:gridSpan w:val="3"/>
          </w:tcPr>
          <w:p>
            <w:pPr>
              <w:jc w:val="center"/>
              <w:ind w:left="206"/>
              <w:spacing w:after="0"/>
              <w:rPr>
                <w:sz w:val="20"/>
                <w:szCs w:val="20"/>
                <w:color w:val="auto"/>
              </w:rPr>
            </w:pPr>
            <w:r>
              <w:rPr>
                <w:rFonts w:ascii="Arial" w:cs="Arial" w:eastAsia="Arial" w:hAnsi="Arial"/>
                <w:sz w:val="14"/>
                <w:szCs w:val="14"/>
                <w:b w:val="1"/>
                <w:bCs w:val="1"/>
                <w:color w:val="auto"/>
                <w:w w:val="85"/>
              </w:rPr>
              <w:t>Benefit Plans</w:t>
            </w:r>
          </w:p>
        </w:tc>
      </w:tr>
      <w:tr>
        <w:trPr>
          <w:trHeight w:val="142"/>
        </w:trPr>
        <w:tc>
          <w:tcPr>
            <w:tcW w:w="5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86"/>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prior service credit</w:t>
            </w:r>
          </w:p>
        </w:tc>
        <w:tc>
          <w:tcPr>
            <w:tcW w:w="32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(6,552)</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Arial" w:cs="Arial" w:eastAsia="Arial" w:hAnsi="Arial"/>
                <w:sz w:val="18"/>
                <w:szCs w:val="18"/>
                <w:color w:val="auto"/>
              </w:rPr>
              <w:t>13,460</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jc w:val="both"/>
        <w:ind w:right="20" w:firstLine="685"/>
        <w:spacing w:after="0" w:line="332" w:lineRule="auto"/>
        <w:rPr>
          <w:sz w:val="20"/>
          <w:szCs w:val="20"/>
          <w:color w:val="auto"/>
        </w:rPr>
      </w:pPr>
      <w:r>
        <w:rPr>
          <w:rFonts w:ascii="Arial" w:cs="Arial" w:eastAsia="Arial" w:hAnsi="Arial"/>
          <w:sz w:val="16"/>
          <w:szCs w:val="16"/>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2013, 2012 and 2011 associated with the defined contribution pension plan was approximately $21 million, $17 million and $13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assumed weighted-average rates used to determine benefit obligations at December 31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Benefits</w:t>
            </w:r>
          </w:p>
        </w:tc>
        <w:tc>
          <w:tcPr>
            <w:tcW w:w="3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4.75%</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3.75%</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3"/>
              </w:rPr>
              <w:t>4.75%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3.75%</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Rate of increase in future compensation levels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4.42%</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assumed weighted-average rates used to determine net benefit expense for the years ended December 31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Postretirement 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3.75%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5.25%</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7"/>
              </w:rPr>
              <w:t>3.75%</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5.25%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6.50%</w:t>
            </w: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future compensation levels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4.50%</w:t>
            </w: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685"/>
        <w:spacing w:after="0" w:line="303" w:lineRule="auto"/>
        <w:rPr>
          <w:sz w:val="20"/>
          <w:szCs w:val="20"/>
          <w:color w:val="auto"/>
        </w:rPr>
      </w:pPr>
      <w:r>
        <w:rPr>
          <w:rFonts w:ascii="Arial" w:cs="Arial" w:eastAsia="Arial" w:hAnsi="Arial"/>
          <w:sz w:val="15"/>
          <w:szCs w:val="15"/>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For measurement of other postretirement benefits, a 7.50% annual rate of increase in the per capita cost of covered health care benefits was assumed for 2014. The rate was assumed to decrease to 5.0% over 30 years. A one-percentage point change in assumed health care cost trend rates would have had the following effects: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0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3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Service and interest cost</w:t>
            </w:r>
          </w:p>
        </w:tc>
        <w:tc>
          <w:tcPr>
            <w:tcW w:w="4000" w:type="dxa"/>
            <w:vAlign w:val="bottom"/>
            <w:gridSpan w:val="2"/>
          </w:tcPr>
          <w:p>
            <w:pPr>
              <w:jc w:val="right"/>
              <w:ind w:right="312"/>
              <w:spacing w:after="0"/>
              <w:rPr>
                <w:sz w:val="20"/>
                <w:szCs w:val="20"/>
                <w:color w:val="auto"/>
              </w:rPr>
            </w:pPr>
            <w:r>
              <w:rPr>
                <w:rFonts w:ascii="Arial" w:cs="Arial" w:eastAsia="Arial" w:hAnsi="Arial"/>
                <w:sz w:val="18"/>
                <w:szCs w:val="18"/>
                <w:color w:val="auto"/>
              </w:rPr>
              <w:t>$  100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4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2,147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(1,947)</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45 to 80 percent equity securities, 5 to 40 percent debt securities, and 3 to 30 percent money-market funds/cash equivalents and other investments, although holdings could be more or less than these general guidelines based on market conditions at the time and actions taken or recommended by the investment managers providing advice to the Company. Equity securities include investments in large-cap and mid-cap companies located in the United States and equity mutual funds with domestic and international investments, and, to a lesser extent, direct investments in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foreign-based companies. Debt securities include corporate bonds of companies from diversified industries, mortgage-backed securities guaranteed by government agencies, U.S. Treasury securities, and mutual funds that invest in debt securities. Additionally, the Company’s defined benefit pension plan held $168,040,000 (11.2% of total assets) of real estate, private equity and other investments at December 31, 2013.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pension plan assets at December 31, 2013, by asset category,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jc w:val="center"/>
              <w:ind w:left="19"/>
              <w:spacing w:after="0"/>
              <w:rPr>
                <w:sz w:val="20"/>
                <w:szCs w:val="20"/>
                <w:color w:val="auto"/>
              </w:rPr>
            </w:pPr>
            <w:r>
              <w:rPr>
                <w:rFonts w:ascii="Arial" w:cs="Arial" w:eastAsia="Arial" w:hAnsi="Arial"/>
                <w:sz w:val="14"/>
                <w:szCs w:val="14"/>
                <w:b w:val="1"/>
                <w:bCs w:val="1"/>
                <w:color w:val="auto"/>
                <w:w w:val="86"/>
              </w:rPr>
              <w:t>Fair Value Measurement of Plan Assets At December 31, 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Markets</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for 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left="55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Money-market funds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37,952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M&amp;T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142,955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142,955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24,053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24,053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194,099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194,099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1,045,995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1,045,995</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Corporate(b)</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63,196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63,196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68,280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68,280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252,704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112,022</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140,682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Diversified mutual fund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93,055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93,055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Private equity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65,663</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168,040</w:t>
            </w: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134,544</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1,504,691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1,330,513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140,682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pension plan assets at December 31, 2012, by asset category,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88"/>
              </w:rPr>
              <w:t>Fair Value Measurement of Plan Assets At December 31, 2012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Markets</w:t>
            </w:r>
          </w:p>
        </w:tc>
        <w:tc>
          <w:tcPr>
            <w:tcW w:w="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for Identical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(Level 1)</w:t>
            </w:r>
          </w:p>
        </w:tc>
        <w:tc>
          <w:tcPr>
            <w:tcW w:w="8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(Level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Money-market funds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46,657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46,657</w:t>
            </w:r>
          </w:p>
        </w:tc>
        <w:tc>
          <w:tcPr>
            <w:tcW w:w="6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M&amp;T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120,914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147,382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8,561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8,561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420"/>
              <w:spacing w:after="0"/>
              <w:rPr>
                <w:sz w:val="20"/>
                <w:szCs w:val="20"/>
                <w:color w:val="auto"/>
              </w:rPr>
            </w:pPr>
            <w:r>
              <w:rPr>
                <w:rFonts w:ascii="Arial" w:cs="Arial" w:eastAsia="Arial" w:hAnsi="Arial"/>
                <w:sz w:val="18"/>
                <w:szCs w:val="18"/>
                <w:color w:val="auto"/>
              </w:rPr>
              <w:t>Domestic</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188,950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188,950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674,503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674,503</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Corporate(b)</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307,712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307,712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141,224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10,230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420"/>
              <w:spacing w:after="0"/>
              <w:rPr>
                <w:sz w:val="20"/>
                <w:szCs w:val="20"/>
                <w:color w:val="auto"/>
              </w:rPr>
            </w:pPr>
            <w:r>
              <w:rPr>
                <w:rFonts w:ascii="Arial" w:cs="Arial" w:eastAsia="Arial" w:hAnsi="Arial"/>
                <w:sz w:val="18"/>
                <w:szCs w:val="18"/>
                <w:color w:val="auto"/>
              </w:rPr>
              <w:t>Domestic(c)</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107,576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107,576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161,938</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459,166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Diversified mutual fund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10,415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Private equity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5,347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61,874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1,404,138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903,513</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459,166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500" w:hanging="452"/>
        <w:spacing w:after="0" w:line="268"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is comprised of equities of companies primarily within the mid-cap and large-cap sector of the U.S. economy and range across diverse industries.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represents investment grade bonds of U.S. issuers from diverse industries.</w:t>
      </w:r>
    </w:p>
    <w:p>
      <w:pPr>
        <w:spacing w:after="0" w:line="63" w:lineRule="exact"/>
        <w:rPr>
          <w:rFonts w:ascii="Arial" w:cs="Arial" w:eastAsia="Arial" w:hAnsi="Arial"/>
          <w:sz w:val="18"/>
          <w:szCs w:val="18"/>
          <w:i w:val="1"/>
          <w:iCs w:val="1"/>
          <w:color w:val="auto"/>
        </w:rPr>
      </w:pPr>
    </w:p>
    <w:p>
      <w:pPr>
        <w:jc w:val="both"/>
        <w:ind w:left="460" w:right="280" w:hanging="452"/>
        <w:spacing w:after="0" w:line="259"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Approximately 35% of the mutual funds were invested in investment grade bonds of U.S. issuers and 65% in high-yielding bonds at December 31, 2013. Approximately 40% of the mutual funds were invested in investment grade bonds of U.S. issuers and 60% in high-yielding bonds at December 31, 2012. The holdings within the funds are spread across diverse industries.</w:t>
      </w:r>
    </w:p>
    <w:p>
      <w:pPr>
        <w:spacing w:after="0" w:line="32" w:lineRule="exact"/>
        <w:rPr>
          <w:rFonts w:ascii="Arial" w:cs="Arial" w:eastAsia="Arial" w:hAnsi="Arial"/>
          <w:sz w:val="18"/>
          <w:szCs w:val="18"/>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dividends and interest receivable totaling $1,993,000 and $4,633,000 at December 31, 2013 and 2012, respectively.</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Pension plan assets included common stock of M&amp;T with a fair value of $142,955,000 (9.5% of total plan assets) at December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$120,914,000 (8.6% of total plan assets) at December 31, 2012. No investment in securities of a non-U.S. Government or government agency issuer exceeded ten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percent of plan assets at December 31, 2013. Assets subject to Level 3 valuations did not constitute a significant portion of plan assets at December 31, 2013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pension plan assets measured at estimated fair value on a recurring basis during the year ended December 31, 2013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Balance –</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w w:val="88"/>
              </w:rPr>
              <w:t>Sales/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2013</w:t>
            </w: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84"/>
              </w:rPr>
              <w:t>Purchases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1"/>
              </w:rPr>
              <w:t>Gains (Losses)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gridSpan w:val="5"/>
          </w:tcPr>
          <w:p>
            <w:pPr>
              <w:jc w:val="right"/>
              <w:ind w:right="9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Private real estate</w:t>
            </w:r>
          </w:p>
        </w:tc>
        <w:tc>
          <w:tcPr>
            <w:tcW w:w="2740" w:type="dxa"/>
            <w:vAlign w:val="bottom"/>
            <w:gridSpan w:val="2"/>
          </w:tcPr>
          <w:p>
            <w:pPr>
              <w:ind w:left="26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12"/>
              <w:spacing w:after="0"/>
              <w:rPr>
                <w:sz w:val="20"/>
                <w:szCs w:val="20"/>
                <w:color w:val="auto"/>
              </w:rPr>
            </w:pPr>
            <w:r>
              <w:rPr>
                <w:rFonts w:ascii="Arial" w:cs="Arial" w:eastAsia="Arial" w:hAnsi="Arial"/>
                <w:sz w:val="18"/>
                <w:szCs w:val="18"/>
                <w:color w:val="auto"/>
              </w:rPr>
              <w:t>(308)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(1,172)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31,509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12"/>
              <w:spacing w:after="0"/>
              <w:rPr>
                <w:sz w:val="20"/>
                <w:szCs w:val="20"/>
                <w:color w:val="auto"/>
              </w:rPr>
            </w:pPr>
            <w:r>
              <w:rPr>
                <w:rFonts w:ascii="Arial" w:cs="Arial" w:eastAsia="Arial" w:hAnsi="Arial"/>
                <w:sz w:val="18"/>
                <w:szCs w:val="18"/>
                <w:color w:val="auto"/>
              </w:rPr>
              <w:t>(9,873)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41,459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(10,016)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Subject to the impact of actual events and circumstances that may occur in 2014, the Company may make contributions to the qualified defined benefit pension plan in 2014, but the amount of any such contribution has not yet been determined. The Company made cash contributions of $200 million and $70 million to the qualified defined benefit pension plan in 2012 and 2011, respectively. The Company did not make any contributions to the plan in 2013. The Company regularly funds the payment of benefit obligations for the supplemental defined benefit pension and postretirement benefit plans because such plans do not hold assets for investment. Payments made by the Company for supplemental pension benefits were $7,801,000 and $7,115,000 in 2013 and 2012, respectively. Payments made by the Company for postretirement benefits were $4,977,000 and $6,048,000 in 2013 and 2012, respectively. Payments for supplemental pension and other postretirement benefits for 2014 are not expected to differ from those made in 2013 by an amount that will be material to the Company’s consolidated financial position.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Estimated benefits expected to be paid in future years related to the Company’s defined benefit pension and other postretirement benefits plans are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8940" w:type="dxa"/>
            <w:vAlign w:val="bottom"/>
          </w:tcPr>
          <w:p>
            <w:pPr>
              <w:spacing w:after="0"/>
              <w:rPr>
                <w:sz w:val="12"/>
                <w:szCs w:val="12"/>
                <w:color w:val="auto"/>
              </w:rPr>
            </w:pPr>
          </w:p>
        </w:tc>
        <w:tc>
          <w:tcPr>
            <w:tcW w:w="74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Pension</w:t>
            </w:r>
          </w:p>
        </w:tc>
        <w:tc>
          <w:tcPr>
            <w:tcW w:w="174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89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Benefits</w:t>
            </w: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Benefits</w:t>
            </w:r>
          </w:p>
        </w:tc>
      </w:tr>
      <w:tr>
        <w:trPr>
          <w:trHeight w:val="142"/>
        </w:trPr>
        <w:tc>
          <w:tcPr>
            <w:tcW w:w="8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2014</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$ 65,970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2016</w:t>
            </w:r>
          </w:p>
        </w:tc>
        <w:tc>
          <w:tcPr>
            <w:tcW w:w="740" w:type="dxa"/>
            <w:vAlign w:val="bottom"/>
          </w:tcPr>
          <w:p>
            <w:pPr>
              <w:jc w:val="right"/>
              <w:spacing w:after="0"/>
              <w:rPr>
                <w:sz w:val="20"/>
                <w:szCs w:val="20"/>
                <w:color w:val="auto"/>
              </w:rPr>
            </w:pPr>
            <w:r>
              <w:rPr>
                <w:rFonts w:ascii="Arial" w:cs="Arial" w:eastAsia="Arial" w:hAnsi="Arial"/>
                <w:sz w:val="18"/>
                <w:szCs w:val="18"/>
                <w:color w:val="auto"/>
              </w:rPr>
              <w:t>73,628</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77,180</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2018</w:t>
            </w:r>
          </w:p>
        </w:tc>
        <w:tc>
          <w:tcPr>
            <w:tcW w:w="740" w:type="dxa"/>
            <w:vAlign w:val="bottom"/>
          </w:tcPr>
          <w:p>
            <w:pPr>
              <w:jc w:val="right"/>
              <w:spacing w:after="0"/>
              <w:rPr>
                <w:sz w:val="20"/>
                <w:szCs w:val="20"/>
                <w:color w:val="auto"/>
              </w:rPr>
            </w:pPr>
            <w:r>
              <w:rPr>
                <w:rFonts w:ascii="Arial" w:cs="Arial" w:eastAsia="Arial" w:hAnsi="Arial"/>
                <w:sz w:val="18"/>
                <w:szCs w:val="18"/>
                <w:color w:val="auto"/>
              </w:rPr>
              <w:t>80,380</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 through 2023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461,397</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60" w:firstLine="685"/>
        <w:spacing w:after="0" w:line="294" w:lineRule="auto"/>
        <w:rPr>
          <w:sz w:val="20"/>
          <w:szCs w:val="20"/>
          <w:color w:val="auto"/>
        </w:rPr>
      </w:pPr>
      <w:r>
        <w:rPr>
          <w:rFonts w:ascii="Arial" w:cs="Arial" w:eastAsia="Arial" w:hAnsi="Arial"/>
          <w:sz w:val="16"/>
          <w:szCs w:val="16"/>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$31,797,000, $31,305,000 and $27,738,000 in 2013, 2012 and 2011, respectively.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378"/>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Federal</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$371,249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$309,156</w:t>
            </w:r>
          </w:p>
        </w:tc>
        <w:tc>
          <w:tcPr>
            <w:tcW w:w="4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$277,631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Total current</w:t>
            </w: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vMerge w:val="continue"/>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439,284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391,170</w:t>
            </w:r>
          </w:p>
        </w:tc>
        <w:tc>
          <w:tcPr>
            <w:tcW w:w="46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Federal</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106,537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117,229</w:t>
            </w:r>
          </w:p>
        </w:tc>
        <w:tc>
          <w:tcPr>
            <w:tcW w:w="4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139,785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131,858</w:t>
            </w:r>
          </w:p>
        </w:tc>
        <w:tc>
          <w:tcPr>
            <w:tcW w:w="4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33,924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 taxes applicable to pre-tax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579,069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523,028</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365,121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685"/>
        <w:spacing w:after="0" w:line="283" w:lineRule="auto"/>
        <w:rPr>
          <w:sz w:val="20"/>
          <w:szCs w:val="20"/>
          <w:color w:val="auto"/>
        </w:rPr>
      </w:pPr>
      <w:r>
        <w:rPr>
          <w:rFonts w:ascii="Arial" w:cs="Arial" w:eastAsia="Arial" w:hAnsi="Arial"/>
          <w:sz w:val="16"/>
          <w:szCs w:val="16"/>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2013, M&amp;T Bank’s tax bad debt reserve for which no federal income taxes have been provided was $79,121,000. No actions are planned that would cause this reserve to become wholly or partially taxable.</w:t>
      </w:r>
    </w:p>
    <w:p>
      <w:pPr>
        <w:spacing w:after="0" w:line="1"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Income taxes attributable to gains or losses on bank investment securities were expenses of $18,313,000 in 2013 and $28,712,000 in 2011 and a benefit of $18,766,000 in 2012. No alternative minimum tax expense was recognized in 2013, 2012 or 2011.</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359"/>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statutory federal income tax rate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$601,142</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$543,384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$428,610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 (decrease) in taxes:</w:t>
            </w: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income</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(34,747)</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(33,890)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(33,799)</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State and city income taxes, net of federal income tax effect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65,834</w:t>
            </w:r>
          </w:p>
        </w:tc>
        <w:tc>
          <w:tcPr>
            <w:tcW w:w="12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62,818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34,557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 income housing and other credits</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(49,206)</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(42,074)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(40,763)</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Non-taxable gain on acquisition</w:t>
            </w:r>
          </w:p>
        </w:tc>
        <w:tc>
          <w:tcPr>
            <w:tcW w:w="18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(22,725)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(3,954)</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(7,210)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579,069</w:t>
            </w:r>
          </w:p>
        </w:tc>
        <w:tc>
          <w:tcPr>
            <w:tcW w:w="120" w:type="dxa"/>
            <w:vAlign w:val="bottom"/>
          </w:tcPr>
          <w:p>
            <w:pPr>
              <w:spacing w:after="0"/>
              <w:rPr>
                <w:sz w:val="19"/>
                <w:szCs w:val="19"/>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523,028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365,121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142</w:t>
            </w: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3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(liabilities) were comprised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Losses on loans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645,713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Postretirement and other employee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plans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100,725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72,278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69,874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Unrealized investment losses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103,027</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Gross deferred tax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1,000,299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1,242,906</w:t>
            </w: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1,417,473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Leasing transactions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(284,370)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(291,524)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Unrealized investment gains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(21,779)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(23,574)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Capitalized servicing rights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Interest on subordinated note exchange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(6,075)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(8,794)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(49,450)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(61,410)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(417,112)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(405,650)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(371,831)</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583,187</w:t>
            </w:r>
          </w:p>
        </w:tc>
        <w:tc>
          <w:tcPr>
            <w:tcW w:w="34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837,256</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believes that it is more likely than not that the deferred tax assets will be realized through taxable earnings or alternative tax strategies.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income tax credits shown in the statement of income of M&amp;T in note 25 arise principally from operating losses before dividends from subsidiaries.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Federal,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Unrecognized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State and</w:t>
            </w:r>
          </w:p>
        </w:tc>
        <w:tc>
          <w:tcPr>
            <w:tcW w:w="3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Income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Local Tax</w:t>
            </w:r>
          </w:p>
        </w:tc>
        <w:tc>
          <w:tcPr>
            <w:tcW w:w="3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January 1, 2011</w:t>
            </w:r>
          </w:p>
        </w:tc>
        <w:tc>
          <w:tcPr>
            <w:tcW w:w="114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24,853</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20,696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2011</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4,659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(9,742)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(5,497)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tax positions taken in prior years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(1,645)</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(8,471)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(8,201)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Unrecognized tax benefits acquired in a business combination</w:t>
            </w:r>
          </w:p>
        </w:tc>
        <w:tc>
          <w:tcPr>
            <w:tcW w:w="1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7,034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3,924</w:t>
            </w: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2011</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18,333</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2012</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4"/>
              </w:rPr>
              <w:t>(1,412)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56"/>
        </w:trPr>
        <w:tc>
          <w:tcPr>
            <w:tcW w:w="7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2012</w:t>
            </w:r>
          </w:p>
        </w:tc>
        <w:tc>
          <w:tcPr>
            <w:tcW w:w="1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16,548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12,379</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2013</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2,267</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4,429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4"/>
              </w:rPr>
              <w:t>(1,625)</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2013</w:t>
            </w:r>
          </w:p>
        </w:tc>
        <w:tc>
          <w:tcPr>
            <w:tcW w:w="10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14,611</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14,696</w:t>
            </w: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Less: Federal, state and local income tax benefits</w:t>
            </w: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(9,611)</w:t>
            </w:r>
          </w:p>
        </w:tc>
        <w:tc>
          <w:tcPr>
            <w:tcW w:w="0" w:type="dxa"/>
            <w:vAlign w:val="bottom"/>
          </w:tcPr>
          <w:p>
            <w:pPr>
              <w:spacing w:after="0" w:line="20" w:lineRule="exact"/>
              <w:rPr>
                <w:sz w:val="1"/>
                <w:szCs w:val="1"/>
                <w:color w:val="auto"/>
              </w:rPr>
            </w:pPr>
          </w:p>
        </w:tc>
      </w:tr>
      <w:tr>
        <w:trPr>
          <w:trHeight w:val="150"/>
        </w:trPr>
        <w:tc>
          <w:tcPr>
            <w:tcW w:w="724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unrecognized tax benefits at December 31, 2013 that, if recognized, would impact the effective income tax rate</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685"/>
        <w:spacing w:after="0" w:line="288" w:lineRule="auto"/>
        <w:rPr>
          <w:sz w:val="20"/>
          <w:szCs w:val="20"/>
          <w:color w:val="auto"/>
        </w:rPr>
      </w:pPr>
      <w:r>
        <w:rPr>
          <w:rFonts w:ascii="Arial" w:cs="Arial" w:eastAsia="Arial" w:hAnsi="Arial"/>
          <w:sz w:val="16"/>
          <w:szCs w:val="16"/>
          <w:color w:val="auto"/>
        </w:rPr>
        <w:t>The Company’s policy is to recognize interest and penalties, if any, related to unrecognized tax benefits in income taxes in the consolidated statement of income. The balance of accrued interest at December 31, 2013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2010, 2011 and 2012 could be adjusted by the Internal Revenue Service, although examinations for those tax years have been concluded. The Company also files income tax returns in over forty states and numerous local jurisdictions. Substantially all material state and local matters have been concluded for years through 2010. It is not reasonably possible to estimate when examinations for any subsequent years will be completed.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Earnings per common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tcPr>
          <w:p>
            <w:pPr>
              <w:jc w:val="right"/>
              <w:ind w:right="454"/>
              <w:spacing w:after="0" w:line="142" w:lineRule="exact"/>
              <w:rPr>
                <w:sz w:val="20"/>
                <w:szCs w:val="20"/>
                <w:color w:val="auto"/>
              </w:rPr>
            </w:pPr>
            <w:r>
              <w:rPr>
                <w:rFonts w:ascii="Arial" w:cs="Arial" w:eastAsia="Arial" w:hAnsi="Arial"/>
                <w:sz w:val="14"/>
                <w:szCs w:val="14"/>
                <w:b w:val="1"/>
                <w:bCs w:val="1"/>
                <w:color w:val="auto"/>
                <w:w w:val="99"/>
              </w:rPr>
              <w:t>(In thousands, except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$1,138,480</w:t>
            </w:r>
          </w:p>
        </w:tc>
        <w:tc>
          <w:tcPr>
            <w:tcW w:w="20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w w:val="86"/>
              </w:rPr>
              <w:t>$1,029,498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859,479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(54,120)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(53,450)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(45,839)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640"/>
              <w:spacing w:after="0"/>
              <w:rPr>
                <w:sz w:val="20"/>
                <w:szCs w:val="20"/>
                <w:color w:val="auto"/>
              </w:rPr>
            </w:pPr>
            <w:r>
              <w:rPr>
                <w:rFonts w:ascii="Arial" w:cs="Arial" w:eastAsia="Arial" w:hAnsi="Arial"/>
                <w:sz w:val="18"/>
                <w:szCs w:val="18"/>
                <w:color w:val="auto"/>
              </w:rPr>
              <w:t>Amortization of preferred stock discount(a)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(7,942)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1,076,418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968,022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793,622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(13,989)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$1,062,429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953,390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shares outstanding (including common stock issuable) and unvested 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130,354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127,793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128,654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125,864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7.57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gridSpan w:val="2"/>
          </w:tcPr>
          <w:p>
            <w:pPr>
              <w:spacing w:after="0"/>
              <w:rPr>
                <w:sz w:val="8"/>
                <w:szCs w:val="8"/>
                <w:color w:val="auto"/>
              </w:rPr>
            </w:pPr>
          </w:p>
        </w:tc>
        <w:tc>
          <w:tcPr>
            <w:tcW w:w="6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(a)   Including impact of not as yet declared cumulative dividends.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380" w:type="dxa"/>
            <w:vAlign w:val="bottom"/>
            <w:gridSpan w:val="2"/>
          </w:tcPr>
          <w:p>
            <w:pPr>
              <w:ind w:left="440"/>
              <w:spacing w:after="0"/>
              <w:rPr>
                <w:sz w:val="20"/>
                <w:szCs w:val="20"/>
                <w:color w:val="auto"/>
              </w:rPr>
            </w:pPr>
            <w:r>
              <w:rPr>
                <w:rFonts w:ascii="Arial" w:cs="Arial" w:eastAsia="Arial" w:hAnsi="Arial"/>
                <w:sz w:val="18"/>
                <w:szCs w:val="18"/>
                <w:color w:val="auto"/>
              </w:rPr>
              <w:t>The computations of diluted earnings per common share follow:</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center"/>
              <w:ind w:left="379"/>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$1,076,418</w:t>
            </w: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$968,022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793,622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(13,922)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(14,593)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1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$1,062,496</w:t>
            </w: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$953,429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781,765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127,793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Plus: Incremental shares from assumed conversion of stock-based compensation awards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3"/>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129,603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126,405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123,079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685"/>
        <w:spacing w:after="0" w:line="303"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3,847,000, 8,905,000 and 11,268,000 common shares during 2013, 2012 and 2011, respectively, were not included in the computations of diluted earnings per common share because the effect on those years would have been antidilutive.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Comprehensive income</w:t>
      </w:r>
    </w:p>
    <w:p>
      <w:pPr>
        <w:spacing w:after="0" w:line="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Investment Securities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Defined</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With</w:t>
            </w:r>
          </w:p>
        </w:tc>
        <w:tc>
          <w:tcPr>
            <w:tcW w:w="6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Benefit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Amount</w:t>
            </w: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OTTI</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Plans</w:t>
            </w:r>
          </w:p>
        </w:tc>
        <w:tc>
          <w:tcPr>
            <w:tcW w:w="1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Other</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Before Tax</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jc w:val="right"/>
              <w:ind w:right="11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(91,835)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152,199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(455,590)</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$(395,657)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(129,628)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(51,834)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w:t>
            </w:r>
          </w:p>
        </w:tc>
        <w:tc>
          <w:tcPr>
            <w:tcW w:w="5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pension gains (losses)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260,452</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(102,227)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158,225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77,794</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(129,628)</w:t>
            </w:r>
          </w:p>
        </w:tc>
        <w:tc>
          <w:tcPr>
            <w:tcW w:w="700" w:type="dxa"/>
            <w:vAlign w:val="bottom"/>
          </w:tcPr>
          <w:p>
            <w:pPr>
              <w:jc w:val="right"/>
              <w:spacing w:after="0"/>
              <w:rPr>
                <w:sz w:val="20"/>
                <w:szCs w:val="20"/>
                <w:color w:val="auto"/>
              </w:rPr>
            </w:pPr>
            <w:r>
              <w:rPr>
                <w:rFonts w:ascii="Arial" w:cs="Arial" w:eastAsia="Arial" w:hAnsi="Arial"/>
                <w:sz w:val="18"/>
                <w:szCs w:val="18"/>
                <w:color w:val="auto"/>
              </w:rPr>
              <w:t>260,452</w:t>
            </w: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209,164</w:t>
            </w:r>
          </w:p>
        </w:tc>
        <w:tc>
          <w:tcPr>
            <w:tcW w:w="5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(82,081)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127,083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that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net income: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w w:val="98"/>
              </w:rPr>
              <w:t>Accretion of unrealized holding losses on held-to-maturity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(“HTM”) securities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4,008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4,287(a)</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OTTI charges recognized in 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9,800(b)</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Losses (gains) realized in net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41,217</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(8,129)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33,088(c)</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(7,915)(e)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41,436(e)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color w:val="auto"/>
              </w:rPr>
              <w:t>Total gain (loss) during the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129,090</w:t>
            </w:r>
          </w:p>
        </w:tc>
        <w:tc>
          <w:tcPr>
            <w:tcW w:w="3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(133,749)</w:t>
            </w:r>
          </w:p>
        </w:tc>
        <w:tc>
          <w:tcPr>
            <w:tcW w:w="700" w:type="dxa"/>
            <w:vAlign w:val="bottom"/>
          </w:tcPr>
          <w:p>
            <w:pPr>
              <w:jc w:val="right"/>
              <w:spacing w:after="0"/>
              <w:rPr>
                <w:sz w:val="20"/>
                <w:szCs w:val="20"/>
                <w:color w:val="auto"/>
              </w:rPr>
            </w:pPr>
            <w:r>
              <w:rPr>
                <w:rFonts w:ascii="Arial" w:cs="Arial" w:eastAsia="Arial" w:hAnsi="Arial"/>
                <w:sz w:val="18"/>
                <w:szCs w:val="18"/>
                <w:color w:val="auto"/>
              </w:rPr>
              <w:t>293,973</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289,860</w:t>
            </w:r>
          </w:p>
        </w:tc>
        <w:tc>
          <w:tcPr>
            <w:tcW w:w="5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(113,755)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176,105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18,450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(161,617)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(105,797)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 Securities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Defined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With</w:t>
            </w: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Amount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OTTI</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Before Tax</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(138,319)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(457,145)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(1,062)</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$(586,769)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230,328</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137,921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134,923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(52,905)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809</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809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pension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(losses)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(29,823)</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(29,823)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w w:val="96"/>
              </w:rPr>
              <w:t>Total other comprehensive income before reclassifications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(2,998)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137,921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(29,823)</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809</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105,909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(41,490)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64,419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that (increase) decrease net income: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w w:val="93"/>
              </w:rPr>
              <w:t>Accretion of unrealized holding losses on HTM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1,660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4,530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6,190(a)</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(2,430)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OTTI charges recognized in net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47,822(b)</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Losses (gains) realized in net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(9)(c)</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of gains on terminated cash flow hedges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(6,538)</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(6,538)(e)</w:t>
            </w:r>
          </w:p>
        </w:tc>
        <w:tc>
          <w:tcPr>
            <w:tcW w:w="640" w:type="dxa"/>
            <w:vAlign w:val="bottom"/>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actuarial losses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37,916(e)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23,035</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Total reclassifications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49,482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4,521</w:t>
            </w:r>
          </w:p>
        </w:tc>
        <w:tc>
          <w:tcPr>
            <w:tcW w:w="680" w:type="dxa"/>
            <w:vAlign w:val="bottom"/>
          </w:tcPr>
          <w:p>
            <w:pPr>
              <w:jc w:val="right"/>
              <w:spacing w:after="0"/>
              <w:rPr>
                <w:sz w:val="20"/>
                <w:szCs w:val="20"/>
                <w:color w:val="auto"/>
              </w:rPr>
            </w:pPr>
            <w:r>
              <w:rPr>
                <w:rFonts w:ascii="Arial" w:cs="Arial" w:eastAsia="Arial" w:hAnsi="Arial"/>
                <w:sz w:val="18"/>
                <w:szCs w:val="18"/>
                <w:color w:val="auto"/>
              </w:rPr>
              <w:t>31,378</w:t>
            </w:r>
          </w:p>
        </w:tc>
        <w:tc>
          <w:tcPr>
            <w:tcW w:w="16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(178)</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85,203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(33,445)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51,758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46,484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142,442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191,112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(74,935)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116,177</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Balance — December 31, 2012</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(91,835)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152,199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(455,590)</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(431)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(395,657)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155,393</w:t>
            </w: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Investment Securities</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Defined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Total</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With</w:t>
            </w:r>
          </w:p>
        </w:tc>
        <w:tc>
          <w:tcPr>
            <w:tcW w:w="7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Benefit</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0"/>
              </w:rPr>
              <w:t>Amount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OTTI</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Before Tax</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$(143,139)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(198,999)</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626</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$(337,652)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132,432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(1,240)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(1,240)</w:t>
            </w: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year pension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gains (losses)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(272,260)</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(272,260)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106,862</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(165,398)</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w w:val="97"/>
              </w:rPr>
              <w:t>Total other comprehensive income before reclassifications</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3"/>
            <w:vMerge w:val="continue"/>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(68,946)</w:t>
            </w:r>
          </w:p>
        </w:tc>
        <w:tc>
          <w:tcPr>
            <w:tcW w:w="700" w:type="dxa"/>
            <w:vAlign w:val="bottom"/>
          </w:tcPr>
          <w:p>
            <w:pPr>
              <w:jc w:val="right"/>
              <w:spacing w:after="0"/>
              <w:rPr>
                <w:sz w:val="20"/>
                <w:szCs w:val="20"/>
                <w:color w:val="auto"/>
              </w:rPr>
            </w:pPr>
            <w:r>
              <w:rPr>
                <w:rFonts w:ascii="Arial" w:cs="Arial" w:eastAsia="Arial" w:hAnsi="Arial"/>
                <w:sz w:val="18"/>
                <w:szCs w:val="18"/>
                <w:color w:val="auto"/>
              </w:rPr>
              <w:t>145,522</w:t>
            </w: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(272,260)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(1,240)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(196,924)</w:t>
            </w:r>
          </w:p>
        </w:tc>
        <w:tc>
          <w:tcPr>
            <w:tcW w:w="640" w:type="dxa"/>
            <w:vAlign w:val="bottom"/>
          </w:tcPr>
          <w:p>
            <w:pPr>
              <w:jc w:val="right"/>
              <w:spacing w:after="0"/>
              <w:rPr>
                <w:sz w:val="20"/>
                <w:szCs w:val="20"/>
                <w:color w:val="auto"/>
              </w:rPr>
            </w:pPr>
            <w:r>
              <w:rPr>
                <w:rFonts w:ascii="Arial" w:cs="Arial" w:eastAsia="Arial" w:hAnsi="Arial"/>
                <w:sz w:val="18"/>
                <w:szCs w:val="18"/>
                <w:color w:val="auto"/>
              </w:rPr>
              <w:t>77,513</w:t>
            </w:r>
          </w:p>
        </w:tc>
        <w:tc>
          <w:tcPr>
            <w:tcW w:w="18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(119,411)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Amounts reclassified from accumulated other comprehensive</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that (increase) decrease net income:</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w w:val="95"/>
              </w:rPr>
              <w:t>Accretion of unrealized holding losses on HTM securities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545</w:t>
            </w:r>
          </w:p>
        </w:tc>
        <w:tc>
          <w:tcPr>
            <w:tcW w:w="700" w:type="dxa"/>
            <w:vAlign w:val="bottom"/>
          </w:tcPr>
          <w:p>
            <w:pPr>
              <w:jc w:val="right"/>
              <w:spacing w:after="0"/>
              <w:rPr>
                <w:sz w:val="20"/>
                <w:szCs w:val="20"/>
                <w:color w:val="auto"/>
              </w:rPr>
            </w:pPr>
            <w:r>
              <w:rPr>
                <w:rFonts w:ascii="Arial" w:cs="Arial" w:eastAsia="Arial" w:hAnsi="Arial"/>
                <w:sz w:val="18"/>
                <w:szCs w:val="18"/>
                <w:color w:val="auto"/>
              </w:rPr>
              <w:t>6,490</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7,035(a)</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(2,762)</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OTTI charges recognized in net income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77,035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77,035(b)</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Losses (gains) realized in net income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(3,814)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(146,115)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(149,929)(c)</w:t>
            </w:r>
          </w:p>
        </w:tc>
        <w:tc>
          <w:tcPr>
            <w:tcW w:w="640" w:type="dxa"/>
            <w:vAlign w:val="bottom"/>
          </w:tcPr>
          <w:p>
            <w:pPr>
              <w:jc w:val="right"/>
              <w:spacing w:after="0"/>
              <w:rPr>
                <w:sz w:val="20"/>
                <w:szCs w:val="20"/>
                <w:color w:val="auto"/>
              </w:rPr>
            </w:pPr>
            <w:r>
              <w:rPr>
                <w:rFonts w:ascii="Arial" w:cs="Arial" w:eastAsia="Arial" w:hAnsi="Arial"/>
                <w:sz w:val="18"/>
                <w:szCs w:val="18"/>
                <w:color w:val="auto"/>
              </w:rPr>
              <w:t>58,753</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gains on terminated cash flow hedges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(6,452)(e)</w:t>
            </w:r>
          </w:p>
        </w:tc>
        <w:tc>
          <w:tcPr>
            <w:tcW w:w="640" w:type="dxa"/>
            <w:vAlign w:val="bottom"/>
          </w:tcPr>
          <w:p>
            <w:pPr>
              <w:jc w:val="right"/>
              <w:spacing w:after="0"/>
              <w:rPr>
                <w:sz w:val="20"/>
                <w:szCs w:val="20"/>
                <w:color w:val="auto"/>
              </w:rPr>
            </w:pPr>
            <w:r>
              <w:rPr>
                <w:rFonts w:ascii="Arial" w:cs="Arial" w:eastAsia="Arial" w:hAnsi="Arial"/>
                <w:sz w:val="18"/>
                <w:szCs w:val="18"/>
                <w:color w:val="auto"/>
              </w:rPr>
              <w:t>2,532</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actuarial losses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20,566(e)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12,494</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Total reclassifications</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73,766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(139,625)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14,114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(448)</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(52,193)</w:t>
            </w:r>
          </w:p>
        </w:tc>
        <w:tc>
          <w:tcPr>
            <w:tcW w:w="640" w:type="dxa"/>
            <w:vAlign w:val="bottom"/>
          </w:tcPr>
          <w:p>
            <w:pPr>
              <w:jc w:val="right"/>
              <w:spacing w:after="0"/>
              <w:rPr>
                <w:sz w:val="20"/>
                <w:szCs w:val="20"/>
                <w:color w:val="auto"/>
              </w:rPr>
            </w:pPr>
            <w:r>
              <w:rPr>
                <w:rFonts w:ascii="Arial" w:cs="Arial" w:eastAsia="Arial" w:hAnsi="Arial"/>
                <w:sz w:val="18"/>
                <w:szCs w:val="18"/>
                <w:color w:val="auto"/>
              </w:rPr>
              <w:t>20,383</w:t>
            </w: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(258,146)</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(1,688)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(249,117)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97,896</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(151,221)</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Balance — December 31, 2011</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(138,319)</w:t>
            </w:r>
          </w:p>
        </w:tc>
        <w:tc>
          <w:tcPr>
            <w:tcW w:w="700" w:type="dxa"/>
            <w:vAlign w:val="bottom"/>
          </w:tcPr>
          <w:p>
            <w:pPr>
              <w:jc w:val="right"/>
              <w:spacing w:after="0"/>
              <w:rPr>
                <w:sz w:val="20"/>
                <w:szCs w:val="20"/>
                <w:color w:val="auto"/>
              </w:rPr>
            </w:pPr>
            <w:r>
              <w:rPr>
                <w:rFonts w:ascii="Arial" w:cs="Arial" w:eastAsia="Arial" w:hAnsi="Arial"/>
                <w:sz w:val="18"/>
                <w:szCs w:val="18"/>
                <w:color w:val="auto"/>
              </w:rPr>
              <w:t>9,757</w:t>
            </w: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(457,145)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(1,062)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(586,769)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230,328</w:t>
            </w: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w w:val="96"/>
              </w:rPr>
              <w:t>Investment Securities</w:t>
            </w:r>
          </w:p>
        </w:tc>
        <w:tc>
          <w:tcPr>
            <w:tcW w:w="960" w:type="dxa"/>
            <w:vAlign w:val="bottom"/>
            <w:gridSpan w:val="3"/>
          </w:tcPr>
          <w:p>
            <w:pPr>
              <w:jc w:val="right"/>
              <w:ind w:right="532"/>
              <w:spacing w:after="0" w:line="149" w:lineRule="exact"/>
              <w:rPr>
                <w:sz w:val="20"/>
                <w:szCs w:val="20"/>
                <w:color w:val="auto"/>
              </w:rPr>
            </w:pPr>
            <w:r>
              <w:rPr>
                <w:rFonts w:ascii="Arial" w:cs="Arial" w:eastAsia="Arial" w:hAnsi="Arial"/>
                <w:sz w:val="14"/>
                <w:szCs w:val="14"/>
                <w:b w:val="1"/>
                <w:bCs w:val="1"/>
                <w:color w:val="auto"/>
                <w:w w:val="99"/>
              </w:rPr>
              <w:t>Cash</w:t>
            </w: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Defined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960" w:type="dxa"/>
            <w:vAlign w:val="bottom"/>
            <w:gridSpan w:val="3"/>
            <w:vMerge w:val="restart"/>
          </w:tcPr>
          <w:p>
            <w:pPr>
              <w:jc w:val="right"/>
              <w:ind w:right="532"/>
              <w:spacing w:after="0" w:line="149" w:lineRule="exact"/>
              <w:rPr>
                <w:sz w:val="20"/>
                <w:szCs w:val="20"/>
                <w:color w:val="auto"/>
              </w:rPr>
            </w:pPr>
            <w:r>
              <w:rPr>
                <w:rFonts w:ascii="Arial" w:cs="Arial" w:eastAsia="Arial" w:hAnsi="Arial"/>
                <w:sz w:val="14"/>
                <w:szCs w:val="14"/>
                <w:b w:val="1"/>
                <w:bCs w:val="1"/>
                <w:color w:val="auto"/>
              </w:rPr>
              <w:t>Flow</w:t>
            </w: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Benefit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500" w:type="dxa"/>
            <w:vAlign w:val="bottom"/>
            <w:gridSpan w:val="4"/>
          </w:tcPr>
          <w:p>
            <w:pPr>
              <w:ind w:left="1300"/>
              <w:spacing w:after="0"/>
              <w:rPr>
                <w:sz w:val="20"/>
                <w:szCs w:val="20"/>
                <w:color w:val="auto"/>
              </w:rPr>
            </w:pPr>
            <w:r>
              <w:rPr>
                <w:rFonts w:ascii="Arial" w:cs="Arial" w:eastAsia="Arial" w:hAnsi="Arial"/>
                <w:sz w:val="14"/>
                <w:szCs w:val="14"/>
                <w:b w:val="1"/>
                <w:bCs w:val="1"/>
                <w:color w:val="auto"/>
              </w:rPr>
              <w:t>With OTTI</w:t>
            </w:r>
          </w:p>
        </w:tc>
        <w:tc>
          <w:tcPr>
            <w:tcW w:w="11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Hedges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Plans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(87,053)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(120,892)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gain (loss) during 2011</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w w:val="85"/>
              </w:rPr>
              <w:t>(281)</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(156,824)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(151,221)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(84,029)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(277,716)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gain (loss) during 2012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86,586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w w:val="85"/>
              </w:rPr>
              <w:t>(112)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(55,790)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92,581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(276,771)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gain (loss) during 2013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78,422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(81,287)</w:t>
            </w:r>
          </w:p>
        </w:tc>
        <w:tc>
          <w:tcPr>
            <w:tcW w:w="100" w:type="dxa"/>
            <w:vAlign w:val="bottom"/>
          </w:tcPr>
          <w:p>
            <w:pPr>
              <w:spacing w:after="0"/>
              <w:rPr>
                <w:sz w:val="18"/>
                <w:szCs w:val="18"/>
                <w:color w:val="auto"/>
              </w:rPr>
            </w:pPr>
          </w:p>
        </w:tc>
        <w:tc>
          <w:tcPr>
            <w:tcW w:w="8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178,589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Other income and other expense</w:t>
      </w:r>
    </w:p>
    <w:p>
      <w:pPr>
        <w:spacing w:after="0" w:line="2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Bank owned life insurance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$ 56,120</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$ 51,199</w:t>
            </w:r>
          </w:p>
        </w:tc>
        <w:tc>
          <w:tcPr>
            <w:tcW w:w="740" w:type="dxa"/>
            <w:vAlign w:val="bottom"/>
          </w:tcPr>
          <w:p>
            <w:pPr>
              <w:jc w:val="right"/>
              <w:spacing w:after="0"/>
              <w:rPr>
                <w:sz w:val="20"/>
                <w:szCs w:val="20"/>
                <w:color w:val="auto"/>
              </w:rPr>
            </w:pPr>
            <w:r>
              <w:rPr>
                <w:rFonts w:ascii="Arial" w:cs="Arial" w:eastAsia="Arial" w:hAnsi="Arial"/>
                <w:sz w:val="18"/>
                <w:szCs w:val="18"/>
                <w:color w:val="auto"/>
              </w:rPr>
              <w:t>$ 50,776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Credit-related fee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72,271</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68,596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Letter of credit fees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59,889</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58,496</w:t>
            </w:r>
          </w:p>
        </w:tc>
        <w:tc>
          <w:tcPr>
            <w:tcW w:w="740" w:type="dxa"/>
            <w:vAlign w:val="bottom"/>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Non-taxable gain from business combination</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Gains from loan securitization transactions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63,066</w:t>
            </w: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Professional services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335,794</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248,544</w:t>
            </w:r>
          </w:p>
        </w:tc>
        <w:tc>
          <w:tcPr>
            <w:tcW w:w="740" w:type="dxa"/>
            <w:vAlign w:val="bottom"/>
          </w:tcPr>
          <w:p>
            <w:pPr>
              <w:jc w:val="right"/>
              <w:spacing w:after="0"/>
              <w:rPr>
                <w:sz w:val="20"/>
                <w:szCs w:val="20"/>
                <w:color w:val="auto"/>
              </w:rPr>
            </w:pPr>
            <w:r>
              <w:rPr>
                <w:rFonts w:ascii="Arial" w:cs="Arial" w:eastAsia="Arial" w:hAnsi="Arial"/>
                <w:sz w:val="18"/>
                <w:szCs w:val="18"/>
                <w:color w:val="auto"/>
              </w:rPr>
              <w:t>222,122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capitalized servicing rights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65,354</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59,555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Advertising and promotion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56,597</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52,388</w:t>
            </w:r>
          </w:p>
        </w:tc>
        <w:tc>
          <w:tcPr>
            <w:tcW w:w="740" w:type="dxa"/>
            <w:vAlign w:val="bottom"/>
          </w:tcPr>
          <w:p>
            <w:pPr>
              <w:jc w:val="right"/>
              <w:spacing w:after="0"/>
              <w:rPr>
                <w:sz w:val="20"/>
                <w:szCs w:val="20"/>
                <w:color w:val="auto"/>
              </w:rPr>
            </w:pPr>
            <w:r>
              <w:rPr>
                <w:rFonts w:ascii="Arial" w:cs="Arial" w:eastAsia="Arial" w:hAnsi="Arial"/>
                <w:sz w:val="18"/>
                <w:szCs w:val="18"/>
                <w:color w:val="auto"/>
              </w:rPr>
              <w:t>58,312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Write-down of investment in Bayview Lending Group LLC (“BLG”)</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79,012</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International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Company engages in certain international activities consisting largely of collecting Eurodollar deposits, engaging in foreign currency trading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providing credit to support the international activities of domestic companies and holding certain loans to foreign borrowers.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acquisition, the Company offers certain trust-related services in Europe and the Cayman Islands. Revenues from providing such trust-related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were approximately $26 million in 2013, $24 million in 2012 and $15 million in 2011. Net assets identified with international activities amounted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 million and $179 million at December 31, 2013 and 2012, respectively. Such assets included $192 million and $149 million, respectively, of loans to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borrowers. Deposits at M&amp;T Bank’s Cayman Islands office were $323 million and $1.0 billion at December 31, 2013 and 2012, respectively. The Company uses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deposits to facilitate customer demand and as an alternative to short-term borrowings when the costs of such deposits seem reasonable.</w:t>
      </w:r>
    </w:p>
    <w:p>
      <w:pPr>
        <w:spacing w:after="0" w:line="2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Derivative financial instruments</w:t>
      </w:r>
    </w:p>
    <w:p>
      <w:pPr>
        <w:spacing w:after="0" w:line="21" w:lineRule="exact"/>
        <w:rPr>
          <w:sz w:val="20"/>
          <w:szCs w:val="20"/>
          <w:color w:val="auto"/>
        </w:rPr>
      </w:pPr>
    </w:p>
    <w:p>
      <w:pPr>
        <w:ind w:right="380"/>
        <w:spacing w:after="0" w:line="361" w:lineRule="auto"/>
        <w:rPr>
          <w:sz w:val="20"/>
          <w:szCs w:val="20"/>
          <w:color w:val="auto"/>
        </w:rPr>
      </w:pPr>
      <w:r>
        <w:rPr>
          <w:rFonts w:ascii="Arial" w:cs="Arial" w:eastAsia="Arial" w:hAnsi="Arial"/>
          <w:sz w:val="15"/>
          <w:szCs w:val="15"/>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December 31, 2013.</w:t>
      </w:r>
    </w:p>
    <w:p>
      <w:pPr>
        <w:spacing w:after="0" w:line="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The net effect of interest rate swap agreements was to increase net interest income by $41 million in 2013, $36 million in 2012 and $38 million in 2011. The average notional amounts of interest rate swap agreements impacting net interest income that were entered into for interest rate risk management purposes were $1.2 billion in 2013 and $900 million in each of 2012 and 2011.</w:t>
      </w:r>
    </w:p>
    <w:p>
      <w:pPr>
        <w:spacing w:after="0" w:line="1" w:lineRule="exact"/>
        <w:rPr>
          <w:sz w:val="20"/>
          <w:szCs w:val="20"/>
          <w:color w:val="auto"/>
        </w:rPr>
      </w:pPr>
    </w:p>
    <w:p>
      <w:pPr>
        <w:ind w:right="60" w:firstLine="685"/>
        <w:spacing w:after="0" w:line="261"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Notional</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9"/>
              </w:rPr>
              <w:t>Maturity</w:t>
            </w:r>
          </w:p>
        </w:tc>
        <w:tc>
          <w:tcPr>
            <w:tcW w:w="5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7"/>
              </w:rPr>
              <w:t>Fixed</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Variable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 Gain</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gridSpan w:val="2"/>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1,400,000</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4.42%</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Fixed rate long-term borrowings(a)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6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6.07%</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notional amount of interest rate swap agreements entered into for risk management purposes that were outstanding at December 31, 2013 mature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618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6"/>
              </w:rPr>
              <w:t>Year ending December 31:</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2016</w:t>
            </w:r>
          </w:p>
        </w:tc>
        <w:tc>
          <w:tcPr>
            <w:tcW w:w="4420" w:type="dxa"/>
            <w:vAlign w:val="bottom"/>
            <w:gridSpan w:val="2"/>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jc w:val="right"/>
              <w:ind w:right="5512"/>
              <w:spacing w:after="0"/>
              <w:rPr>
                <w:sz w:val="20"/>
                <w:szCs w:val="20"/>
                <w:color w:val="auto"/>
              </w:rPr>
            </w:pPr>
            <w:r>
              <w:rPr>
                <w:rFonts w:ascii="Arial" w:cs="Arial" w:eastAsia="Arial" w:hAnsi="Arial"/>
                <w:sz w:val="18"/>
                <w:szCs w:val="18"/>
                <w:color w:val="auto"/>
              </w:rPr>
              <w:t>2017</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685"/>
        <w:spacing w:after="0" w:line="284"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 w:lineRule="exact"/>
        <w:rPr>
          <w:sz w:val="20"/>
          <w:szCs w:val="20"/>
          <w:color w:val="auto"/>
        </w:rPr>
      </w:pPr>
    </w:p>
    <w:p>
      <w:pPr>
        <w:ind w:right="460" w:firstLine="685"/>
        <w:spacing w:after="0" w:line="295"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$17.4 billion and $15.5 billion at December 31, 2013 and 2012, respectively. The notional amounts of foreign currency and other option and futures contracts entered into for trading purposes aggregated $1.4 billion and $869 million at December 31, 2013 and 2012,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Asset Derivatives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Liability Derivatives</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tcPr>
          <w:p>
            <w:pPr>
              <w:jc w:val="right"/>
              <w:ind w:right="298"/>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Fair value hedges:</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agreements(a)</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$ 102,875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$ 143,179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Commitments to sell real estate loans(a)</w:t>
            </w:r>
          </w:p>
        </w:tc>
        <w:tc>
          <w:tcPr>
            <w:tcW w:w="1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109,832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322"/>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sale(a)</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Commitments to sell real estate loans(a)</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6,120</w:t>
            </w:r>
          </w:p>
        </w:tc>
        <w:tc>
          <w:tcPr>
            <w:tcW w:w="700" w:type="dxa"/>
            <w:vAlign w:val="bottom"/>
          </w:tcPr>
          <w:p>
            <w:pPr>
              <w:jc w:val="right"/>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6,570</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Interest rate contracts(b)</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274,864</w:t>
            </w:r>
          </w:p>
        </w:tc>
        <w:tc>
          <w:tcPr>
            <w:tcW w:w="700" w:type="dxa"/>
            <w:vAlign w:val="bottom"/>
          </w:tcPr>
          <w:p>
            <w:pPr>
              <w:jc w:val="right"/>
              <w:spacing w:after="0"/>
              <w:rPr>
                <w:sz w:val="20"/>
                <w:szCs w:val="20"/>
                <w:color w:val="auto"/>
              </w:rPr>
            </w:pPr>
            <w:r>
              <w:rPr>
                <w:rFonts w:ascii="Arial" w:cs="Arial" w:eastAsia="Arial" w:hAnsi="Arial"/>
                <w:sz w:val="18"/>
                <w:szCs w:val="18"/>
                <w:color w:val="auto"/>
              </w:rPr>
              <w:t>399,963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234,455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365,616</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contracts(b)</w:t>
            </w:r>
          </w:p>
        </w:tc>
        <w:tc>
          <w:tcPr>
            <w:tcW w:w="1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304,431</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458,726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253,702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381,041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$ 414,263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$ 603,019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254,189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384,866</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86"/>
              </w:rPr>
              <w:t>Amount of Unrealized Gain (Loss) Recognized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center"/>
              <w:ind w:left="359"/>
              <w:spacing w:after="0" w:line="129" w:lineRule="exact"/>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center"/>
              <w:ind w:left="201"/>
              <w:spacing w:after="0" w:line="129" w:lineRule="exact"/>
              <w:rPr>
                <w:sz w:val="20"/>
                <w:szCs w:val="20"/>
                <w:color w:val="auto"/>
              </w:rPr>
            </w:pPr>
            <w:r>
              <w:rPr>
                <w:rFonts w:ascii="Arial" w:cs="Arial" w:eastAsia="Arial" w:hAnsi="Arial"/>
                <w:sz w:val="14"/>
                <w:szCs w:val="14"/>
                <w:b w:val="1"/>
                <w:bCs w:val="1"/>
                <w:color w:val="auto"/>
                <w:w w:val="88"/>
              </w:rPr>
              <w:t>Year Ended</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jc w:val="center"/>
              <w:ind w:left="379"/>
              <w:spacing w:after="0" w:line="129" w:lineRule="exact"/>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December 31, 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left="201"/>
              <w:spacing w:after="0"/>
              <w:rPr>
                <w:sz w:val="20"/>
                <w:szCs w:val="20"/>
                <w:color w:val="auto"/>
              </w:rPr>
            </w:pPr>
            <w:r>
              <w:rPr>
                <w:rFonts w:ascii="Arial" w:cs="Arial" w:eastAsia="Arial" w:hAnsi="Arial"/>
                <w:sz w:val="14"/>
                <w:szCs w:val="14"/>
                <w:b w:val="1"/>
                <w:bCs w:val="1"/>
                <w:color w:val="auto"/>
                <w:w w:val="85"/>
              </w:rPr>
              <w:t>December 31, 2012</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9"/>
              </w:rPr>
              <w:t>Derivative</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Hedged Item</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Derivative</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6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Derivative</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left="161"/>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(40,304)</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38,986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(4,123)</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3,724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50,665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(47,916)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Interest rate contracts(b)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8,004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contracts(b)</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(3,970)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(2,649)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90" w:lineRule="exact"/>
        <w:rPr>
          <w:sz w:val="20"/>
          <w:szCs w:val="20"/>
          <w:color w:val="auto"/>
        </w:rPr>
      </w:pPr>
    </w:p>
    <w:p>
      <w:pPr>
        <w:ind w:right="60" w:firstLine="685"/>
        <w:spacing w:after="0" w:line="306"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w:t>
      </w:r>
    </w:p>
    <w:p>
      <w:pPr>
        <w:spacing w:after="0" w:line="91" w:lineRule="exact"/>
        <w:rPr>
          <w:sz w:val="20"/>
          <w:szCs w:val="20"/>
          <w:color w:val="auto"/>
        </w:rPr>
      </w:pPr>
    </w:p>
    <w:p>
      <w:pPr>
        <w:ind w:left="11220"/>
        <w:spacing w:after="0"/>
        <w:rPr>
          <w:sz w:val="20"/>
          <w:szCs w:val="20"/>
          <w:color w:val="auto"/>
        </w:rPr>
      </w:pPr>
      <w:r>
        <w:rPr>
          <w:rFonts w:ascii="Arial" w:cs="Arial" w:eastAsia="Arial" w:hAnsi="Arial"/>
          <w:sz w:val="11"/>
          <w:szCs w:val="11"/>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commitments to originate real estate loans for sale. As a result of these activities, net unrealized pre-tax gains related to hedged loans held for sale, commitments to originate loans for sale and commitments to sell loans were approximately $23 million and $89 million at December 31, 2013 and 2012, respectively. Changes in unrealized gains and losses are included in mortgage banking revenues and, in general, are realized in subsequent periods as the related loans are sold and commitments satisfied.</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2"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$194 million and $374 million at December 31, 2013 and 2012, respectively. After consideration of such netting arrangements, the net liability positions with counterparties aggregated $107 million and $281 million at December 31, 2013 and 2012, respectively. The Company was required to post collateral relating to those positions of $95 million and $266 million at December 31, 2013 and 2012,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December 31, 2013 was $34 million, for which the Company had posted collateral of $23 million in the normal course of business. If the credit risk-related contingent features had been triggered on December 31, 2013, the maximum amount of additional collateral the Company would have been required to post with counterparties was $11 million.</w:t>
      </w:r>
    </w:p>
    <w:p>
      <w:pPr>
        <w:spacing w:after="0" w:line="7" w:lineRule="exact"/>
        <w:rPr>
          <w:sz w:val="20"/>
          <w:szCs w:val="20"/>
          <w:color w:val="auto"/>
        </w:rPr>
      </w:pPr>
    </w:p>
    <w:p>
      <w:pPr>
        <w:ind w:right="20" w:firstLine="685"/>
        <w:spacing w:after="0" w:line="292"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enforceable master netting arrangements, was $183 million and $164 million at December 31, 2013 and 2012, respectively. After consideration of such netting arrangements, the net asset positions with counterparties aggregated $95 million and $71 million at December 31, 2013 and 2012, respectively. Counterparties posted collateral relating to those positions of $93 million and $69 million at December 31, 2013 and 2012, respectively. Trading account interest rate swap agreements entered into with customers are subject to the Company’s credit risk standards and often contain collateral provisions.</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Variable interest entities and asset securitizations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During 2013, the Company securitized approximately $3.0 billion of one-to-four family residential mortgage loans in guaranteed mortgage securitizations with Ginnie Mae. Approximately $1.3 billion of such loans were formerly held in the Company’s loan portfolio, whereas the remaining loans were newly originated. The Company recognized pre-tax gains of $42 million related to loans previously held in portfolio, which have been recorded in “other revenues from operations,” and pre-tax gains of $28 million on newly originated loans, which have been reflected in “mortgage banking revenues.” As a result of the securitization structure, the Company does not have effective control over the underlying loans and expects no material credit-related losses on the retained securities as a result of the guarantees by Ginnie Mae. Additionally, in 2013 the Company securitized and sold approximately $1.4 billion of automobile loans that had been held in its loan portfolio. The Company recognized a gain of $21 million related to the sale, which has been recorded in “other revenues from operations.” The Company continues to service the automobile loans, but has no other financial interest in the securitization trust that the loans were sold into. The Company securitized loans to improve its regulatory capital ratios and strengthen its liquidity and risk profile as a result of changing regulatory requirements.</w:t>
      </w:r>
    </w:p>
    <w:p>
      <w:pPr>
        <w:spacing w:after="0" w:line="6"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December 31, 2013 and 2012, the carrying values of the loans in the securitization trust were $121 million and $151 million, respectively. The outstanding principal amount of mortgage-backed securities issued by the qualified special purpose trust that was held by parties unrelated to M&amp;T at December 31, 2013 and 2012 was $18 million and $23 million, respectively. Because the transaction was non-recourse, the Company’s maximum</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exposure to loss as a result of its association with the trust at December 31, 2013 is limited to realizing the carrying value of the loans less the amount of the mortgage-backed securities held by third parties.</w:t>
      </w:r>
    </w:p>
    <w:p>
      <w:pPr>
        <w:ind w:right="100" w:firstLine="685"/>
        <w:spacing w:after="0" w:line="281" w:lineRule="auto"/>
        <w:rPr>
          <w:sz w:val="20"/>
          <w:szCs w:val="20"/>
          <w:color w:val="auto"/>
        </w:rPr>
      </w:pPr>
      <w:r>
        <w:rPr>
          <w:rFonts w:ascii="Arial" w:cs="Arial" w:eastAsia="Arial" w:hAnsi="Arial"/>
          <w:sz w:val="16"/>
          <w:szCs w:val="16"/>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2013 and 2012,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4"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$1.3 billion at December 31, 2013 and $1.5 billion at December 31, 2012.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$236 million, including $45 million of unfunded commitments, at December 31, 2013 and $270 million, including $71 million of unfunded commitments, at December 31, 2012.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Fair value measurements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December 31, 2013.</w:t>
      </w:r>
    </w:p>
    <w:p>
      <w:pPr>
        <w:spacing w:after="0" w:line="1"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 w:lineRule="exact"/>
        <w:rPr>
          <w:rFonts w:ascii="Arial" w:cs="Arial" w:eastAsia="Arial" w:hAnsi="Arial"/>
          <w:sz w:val="18"/>
          <w:szCs w:val="18"/>
          <w:color w:val="auto"/>
        </w:rPr>
      </w:pPr>
    </w:p>
    <w:p>
      <w:pPr>
        <w:ind w:left="660" w:right="40" w:hanging="206"/>
        <w:spacing w:after="0" w:line="28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1" w:lineRule="exact"/>
        <w:rPr>
          <w:rFonts w:ascii="Arial" w:cs="Arial" w:eastAsia="Arial" w:hAnsi="Arial"/>
          <w:sz w:val="16"/>
          <w:szCs w:val="16"/>
          <w:color w:val="auto"/>
        </w:rPr>
      </w:pPr>
    </w:p>
    <w:p>
      <w:pPr>
        <w:ind w:left="660" w:right="140" w:hanging="206"/>
        <w:spacing w:after="0" w:line="323"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93"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As discussed in note 3, 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classified the valuation of privately issued mortgage-backed securities as Level 3.</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December 31, 2012. However, the Company could not readily ascertain that the basis of such valuations could be ascribed to orderly and observable trades in the market for privately issued mortgage-backed securities. As a result, the Company also performed internal modeling to estimate the cash flows and fair value of privately issued mortgage-backed securities with an amortized cost basis of $1.1 billion at December 31, 2012.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home price appreciation or depreciation and loss rates.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the weighted-average reliance on internal model pricing for the bonds modeled was 33% with a 67% average weighting placed on the values provided by the independent sources. Significant unobservable inputs used in the Company’s modeling of fair value for mortgage-backed securities are included in the accompanying table of significant unobservable inputs to Level 3 measurements.</w:t>
      </w:r>
    </w:p>
    <w:p>
      <w:pPr>
        <w:spacing w:after="0" w:line="7"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December 31, 2013 and 2012.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11% with a weighted-average of 8% was used. Significant unobservable inputs used in the determination of estimated fair value of collateralized debt obligations are included in the accompanying table of significant unobservable inputs to Level 3 measurements. At December 31, 2013, the total amortized cost and fair value of securities backed by trust preferred securities issued by financial institutions and other entities were $42 million and $63 million, respectively, and at December 31, 2012 were $43 million and $62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7"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tables present assets and liabilities at December 31, 2013 and 2012 measured at estimated fair value on a recurring basis: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Fair Value</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Measurements at</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2013</w:t>
            </w:r>
          </w:p>
        </w:tc>
        <w:tc>
          <w:tcPr>
            <w:tcW w:w="54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Level 1(a)</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2(a)</w:t>
            </w:r>
          </w:p>
        </w:tc>
        <w:tc>
          <w:tcPr>
            <w:tcW w:w="5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376,131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324,745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37,776</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10,811</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10,811</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4,165,086</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4,165,086</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63,083</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120,085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133,095</w:t>
            </w: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82,450</w:t>
            </w:r>
          </w:p>
        </w:tc>
        <w:tc>
          <w:tcPr>
            <w:tcW w:w="760" w:type="dxa"/>
            <w:vAlign w:val="bottom"/>
          </w:tcPr>
          <w:p>
            <w:pPr>
              <w:jc w:val="right"/>
              <w:spacing w:after="0"/>
              <w:rPr>
                <w:sz w:val="20"/>
                <w:szCs w:val="20"/>
                <w:color w:val="auto"/>
              </w:rPr>
            </w:pPr>
            <w:r>
              <w:rPr>
                <w:rFonts w:ascii="Arial" w:cs="Arial" w:eastAsia="Arial" w:hAnsi="Arial"/>
                <w:sz w:val="18"/>
                <w:szCs w:val="18"/>
                <w:color w:val="auto"/>
              </w:rPr>
              <w:t>50,645</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4,531,786</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4,384,403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468,650</w:t>
            </w:r>
          </w:p>
        </w:tc>
        <w:tc>
          <w:tcPr>
            <w:tcW w:w="5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468,650</w:t>
            </w:r>
          </w:p>
        </w:tc>
        <w:tc>
          <w:tcPr>
            <w:tcW w:w="5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assets(b)</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5,500,135</w:t>
            </w:r>
          </w:p>
        </w:tc>
        <w:tc>
          <w:tcPr>
            <w:tcW w:w="5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133,836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5,293,750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249,797</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liabilities(b)</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4,392</w:t>
            </w: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Measurements at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9"/>
              </w:rPr>
              <w:t>Level 1(a)</w:t>
            </w:r>
          </w:p>
        </w:tc>
        <w:tc>
          <w:tcPr>
            <w:tcW w:w="54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Level 2(a)</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56,106</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432,860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39,344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20,901</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20,901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3,371,041</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3,371,041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Privately issued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1,023,886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61,869</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111,950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111,950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Equity securities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110,446</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98,364</w:t>
            </w: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12,082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4,739,437</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98,364</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3,555,318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1,387,491</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1,387,491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assets(b)</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146,275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assets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6,810,225</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154,470</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5,521,944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374,274</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374,274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Other liabilities(b)</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10,592</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10,395</w:t>
            </w: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384,866</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384,669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years ended December 31, 2013 and 2012.</w:t>
      </w:r>
    </w:p>
    <w:p>
      <w:pPr>
        <w:spacing w:after="0" w:line="86" w:lineRule="exact"/>
        <w:rPr>
          <w:rFonts w:ascii="Arial" w:cs="Arial" w:eastAsia="Arial" w:hAnsi="Arial"/>
          <w:sz w:val="16"/>
          <w:szCs w:val="16"/>
          <w:i w:val="1"/>
          <w:iCs w:val="1"/>
          <w:color w:val="auto"/>
        </w:rPr>
      </w:pPr>
    </w:p>
    <w:p>
      <w:pPr>
        <w:ind w:left="460" w:right="700" w:hanging="452"/>
        <w:spacing w:after="0" w:line="268" w:lineRule="auto"/>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2013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w w:val="95"/>
              </w:rPr>
              <w:t>Investment Securities Available for Sale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1640" w:type="dxa"/>
            <w:vAlign w:val="bottom"/>
            <w:tcBorders>
              <w:top w:val="single" w:sz="8" w:color="auto"/>
            </w:tcBorders>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6"/>
              </w:rPr>
              <w:t>Privately Issued</w:t>
            </w: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Collateralized</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Mortgage-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backed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Obligations</w:t>
            </w:r>
          </w:p>
        </w:tc>
        <w:tc>
          <w:tcPr>
            <w:tcW w:w="44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1,023,886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6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(56,102)(a)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97,845(b)</w:t>
            </w: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116,359(e)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4,508(e)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(978,608)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(103,685)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(3,294)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3(c)</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(141,763)(d)</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Balance — December 31, 2013</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1,850</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63,083</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Changes in unrealized gains included in earnings related to assets still held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 December 31,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3,431(b)</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4"/>
                <w:szCs w:val="14"/>
                <w:color w:val="auto"/>
              </w:rPr>
              <w:t>156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2012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gridSpan w:val="8"/>
          </w:tcPr>
          <w:p>
            <w:pPr>
              <w:jc w:val="right"/>
              <w:ind w:right="1500"/>
              <w:spacing w:after="0"/>
              <w:rPr>
                <w:sz w:val="20"/>
                <w:szCs w:val="20"/>
                <w:color w:val="auto"/>
              </w:rPr>
            </w:pPr>
            <w:r>
              <w:rPr>
                <w:rFonts w:ascii="Arial" w:cs="Arial" w:eastAsia="Arial" w:hAnsi="Arial"/>
                <w:sz w:val="14"/>
                <w:szCs w:val="14"/>
                <w:b w:val="1"/>
                <w:bCs w:val="1"/>
                <w:color w:val="auto"/>
                <w:w w:val="96"/>
              </w:rPr>
              <w:t>Investment Securities Available for Sale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center"/>
              <w:ind w:right="880"/>
              <w:spacing w:after="0" w:line="129" w:lineRule="exact"/>
              <w:rPr>
                <w:sz w:val="20"/>
                <w:szCs w:val="20"/>
                <w:color w:val="auto"/>
              </w:rPr>
            </w:pPr>
            <w:r>
              <w:rPr>
                <w:rFonts w:ascii="Arial" w:cs="Arial" w:eastAsia="Arial" w:hAnsi="Arial"/>
                <w:sz w:val="14"/>
                <w:szCs w:val="14"/>
                <w:b w:val="1"/>
                <w:bCs w:val="1"/>
                <w:color w:val="auto"/>
                <w:w w:val="89"/>
              </w:rPr>
              <w:t>Privately</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Issued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Mortgage-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Collateralized</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backed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Debt</w:t>
            </w:r>
          </w:p>
        </w:tc>
        <w:tc>
          <w:tcPr>
            <w:tcW w:w="106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8"/>
              </w:rPr>
              <w:t>Obligations</w:t>
            </w:r>
          </w:p>
        </w:tc>
        <w:tc>
          <w:tcPr>
            <w:tcW w:w="1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1,151,285</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(42,467)(a)</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212,281(b)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114,592(e)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12,214(e)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(199,524)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Transfers in and/or out of Level 3(c)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w w:val="92"/>
              </w:rPr>
              <w:t>(171,345)(d)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1,023,886</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61,869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47,859</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w w:val="94"/>
              </w:rPr>
              <w:t>Changes in unrealized gains (losses) included in earnings related to assets</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still held at December 31, 2012</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(42,467)(a)</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47,859(b)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11400" w:type="dxa"/>
            <w:vAlign w:val="bottom"/>
            <w:gridSpan w:val="17"/>
          </w:tcPr>
          <w:p>
            <w:pPr>
              <w:jc w:val="right"/>
              <w:ind w:right="340"/>
              <w:spacing w:after="0"/>
              <w:rPr>
                <w:sz w:val="20"/>
                <w:szCs w:val="20"/>
                <w:color w:val="auto"/>
              </w:rPr>
            </w:pPr>
            <w:r>
              <w:rPr>
                <w:rFonts w:ascii="Arial" w:cs="Arial" w:eastAsia="Arial" w:hAnsi="Arial"/>
                <w:sz w:val="18"/>
                <w:szCs w:val="18"/>
                <w:color w:val="auto"/>
                <w:w w:val="92"/>
              </w:rPr>
              <w:t>The changes in Level 3 assets and liabilities measured at estimated fair value on a recurring basis during the year ended December 31, 2011 were as</w:t>
            </w:r>
          </w:p>
        </w:tc>
        <w:tc>
          <w:tcPr>
            <w:tcW w:w="0" w:type="dxa"/>
            <w:vAlign w:val="bottom"/>
          </w:tcPr>
          <w:p>
            <w:pPr>
              <w:spacing w:after="0"/>
              <w:rPr>
                <w:sz w:val="1"/>
                <w:szCs w:val="1"/>
                <w:color w:val="auto"/>
              </w:rPr>
            </w:pPr>
          </w:p>
        </w:tc>
      </w:tr>
      <w:tr>
        <w:trPr>
          <w:trHeight w:val="222"/>
        </w:trPr>
        <w:tc>
          <w:tcPr>
            <w:tcW w:w="564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8"/>
          </w:tcPr>
          <w:p>
            <w:pPr>
              <w:jc w:val="right"/>
              <w:ind w:right="1460"/>
              <w:spacing w:after="0"/>
              <w:rPr>
                <w:sz w:val="20"/>
                <w:szCs w:val="20"/>
                <w:color w:val="auto"/>
              </w:rPr>
            </w:pPr>
            <w:r>
              <w:rPr>
                <w:rFonts w:ascii="Arial" w:cs="Arial" w:eastAsia="Arial" w:hAnsi="Arial"/>
                <w:sz w:val="14"/>
                <w:szCs w:val="14"/>
                <w:b w:val="1"/>
                <w:bCs w:val="1"/>
                <w:color w:val="auto"/>
                <w:w w:val="97"/>
              </w:rPr>
              <w:t>Investment Securities Available for Sale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9"/>
              </w:rPr>
              <w:t>Privately</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1"/>
              </w:rPr>
              <w:t>Issued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96"/>
              </w:rPr>
              <w:t>Collateralized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Mortgage-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right"/>
              <w:ind w:right="1400"/>
              <w:spacing w:after="0" w:line="149" w:lineRule="exact"/>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backed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Obligations</w:t>
            </w:r>
          </w:p>
        </w:tc>
        <w:tc>
          <w:tcPr>
            <w:tcW w:w="1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right"/>
              <w:ind w:right="13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1,457,968</w:t>
            </w:r>
          </w:p>
        </w:tc>
        <w:tc>
          <w:tcPr>
            <w:tcW w:w="6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110,756</w:t>
            </w:r>
          </w:p>
        </w:tc>
        <w:tc>
          <w:tcPr>
            <w:tcW w:w="10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(64,919)(a)</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19,231(a)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67,163(b)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6,816(e)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(272)(e)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10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Sales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(124,874)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(248,580)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Transfers in and/or out of Level 3(c)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(62,484)(d)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December 31, 2011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1,151,285</w:t>
            </w:r>
          </w:p>
        </w:tc>
        <w:tc>
          <w:tcPr>
            <w:tcW w:w="6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6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w w:val="94"/>
              </w:rPr>
              <w:t>Changes in unrealized gains (losses) included in earnings related to assets</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still held at December 31, 2011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(64,919)(a)</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6,902(b)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or as gain (loss) on bank investment securities in the consolidated statement of income.</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86" w:lineRule="exact"/>
        <w:rPr>
          <w:rFonts w:ascii="Arial" w:cs="Arial" w:eastAsia="Arial" w:hAnsi="Arial"/>
          <w:sz w:val="16"/>
          <w:szCs w:val="16"/>
          <w:i w:val="1"/>
          <w:iCs w:val="1"/>
          <w:color w:val="auto"/>
        </w:rPr>
      </w:pPr>
    </w:p>
    <w:p>
      <w:pPr>
        <w:ind w:left="460" w:right="180" w:hanging="452"/>
        <w:spacing w:after="0" w:line="268" w:lineRule="auto"/>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1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2012 and 2011, other-than-temporary losses of $5 million and $12 million, respectively, were recorded related to certain mortgage-backed securities.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as in the case of privately issued mortgage-backed securities, were weighted and averaged when estimating fair value. Due to the presence of significant unobservable inputs those valuations are classified as Level 3. The amortized cost, fair value and impact on the Company’s financial statements of the modeling described herein were not material. No such other-than-temporary losses were recorded in 2013.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20% to 90% at December 31, 2013. As these discounts are not readily observable and are considered significant, the valuations have been classified as Level 3. Loans subject to nonrecurring fair value measurement were $222 million at December 31, 2013, ($173 million and $49 million of which were classified as Level 2 and Level 3, respectively), $335 million at December 31, 2012 ($207 million and $128 million of which were classified as Level 2 and Level 3, respectively), and $419 million at December 31, 2011 ($262 million and $157 million of which were classified as Level 2 and Level 3, respectively). Changes in fair value recognized for partial charge-offs of loans and loan impairment reserves on loans held by the Company at the end of each of those years during each of the years ended December 31, 2013, 2012 and 2011 were decreases of $58 million, $67 million and $158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$29 million and $34 million at December 31, 2013 and December 31, 2012, respectively. Changes in fair value recognized for foreclosed assets held by the Company at December 31, 2013, 2012 and 2011 were not material during each of 2013, 2012 and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Bayview Lending Group LLC</w:t>
      </w:r>
    </w:p>
    <w:p>
      <w:pPr>
        <w:spacing w:after="0" w:line="15"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In 2011, the Company recognized a $79 million other-than-temporary impairment charge related to M&amp;T’s 20% investment in BLG and charged it down to its estimated fair value at that time of $115 million. That impairment charge is included in “other costs of operations.” In determining the fair value of M&amp;T’s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investment in BLG at December 31, 2011, the Company projected no further commercial mortgage origination and securitization activities by BLG. BLG, however, is entitled to receive, if and when made, cash distributions from affiliates, a portion of which is contractually required to be distributed to M&amp;T. Specifically, cash flows related to mortgage assets held by BLG and its affiliates were estimated using various assumptions on future default and loss severities to arrive at the expected amount of cash flow that could be available for distribution. As of December 31, 2011 the weighted-average assumptions of projected default percentage on the underlying mortgage loan collateral supporting those mortgage assets was 31% and the weighted-average loss severity assumption was 75%. With respect to projected value expected to be generated by the asset management and servicing operations of BLG’s affiliates, M&amp;T developed estimates from company-provided forecasts of financial results and through discussions with their senior management pertaining to longer-term projections of growth in assets under management and asset servicing portfolios. M&amp;T considered different scenarios of projected cash flows that could be generated by the asset management and servicing operations of BLG’s affiliates. M&amp;T then discounted the various projections using discount rates that ranged from 8.0% to 12.5% that were determined by reference to returns required by investors in similar businesses. The determination of fair value of M&amp;T’s 20% investment in BLG is considered a Level 3 valuation due to the unobservable nature of key assumptions. There was no other-than-temporary impairment charge recognized in 2013 or 2012 related to M&amp;T’s investment in BLG.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December 31, 2013 and 2012: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Fair Value at</w:t>
            </w:r>
          </w:p>
        </w:tc>
        <w:tc>
          <w:tcPr>
            <w:tcW w:w="540" w:type="dxa"/>
            <w:vAlign w:val="bottom"/>
          </w:tcPr>
          <w:p>
            <w:pPr>
              <w:spacing w:after="0"/>
              <w:rPr>
                <w:sz w:val="14"/>
                <w:szCs w:val="14"/>
                <w:color w:val="auto"/>
              </w:rPr>
            </w:pPr>
          </w:p>
        </w:tc>
        <w:tc>
          <w:tcPr>
            <w:tcW w:w="2840" w:type="dxa"/>
            <w:vAlign w:val="bottom"/>
            <w:gridSpan w:val="2"/>
            <w:vMerge w:val="restart"/>
          </w:tcPr>
          <w:p>
            <w:pPr>
              <w:jc w:val="right"/>
              <w:ind w:right="1300"/>
              <w:spacing w:after="0"/>
              <w:rPr>
                <w:sz w:val="20"/>
                <w:szCs w:val="20"/>
                <w:color w:val="auto"/>
              </w:rPr>
            </w:pPr>
            <w:r>
              <w:rPr>
                <w:rFonts w:ascii="Arial" w:cs="Arial" w:eastAsia="Arial" w:hAnsi="Arial"/>
                <w:sz w:val="14"/>
                <w:szCs w:val="14"/>
                <w:b w:val="1"/>
                <w:bCs w:val="1"/>
                <w:color w:val="auto"/>
              </w:rPr>
              <w:t>Valuation</w:t>
            </w:r>
          </w:p>
        </w:tc>
        <w:tc>
          <w:tcPr>
            <w:tcW w:w="26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Unobservable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Pr>
          <w:p>
            <w:pPr>
              <w:spacing w:after="0"/>
              <w:rPr>
                <w:sz w:val="15"/>
                <w:szCs w:val="15"/>
                <w:color w:val="auto"/>
              </w:rPr>
            </w:pPr>
          </w:p>
        </w:tc>
        <w:tc>
          <w:tcPr>
            <w:tcW w:w="2840" w:type="dxa"/>
            <w:vAlign w:val="bottom"/>
            <w:gridSpan w:val="2"/>
          </w:tcPr>
          <w:p>
            <w:pPr>
              <w:ind w:left="960"/>
              <w:spacing w:after="0"/>
              <w:rPr>
                <w:sz w:val="20"/>
                <w:szCs w:val="20"/>
                <w:color w:val="auto"/>
              </w:rPr>
            </w:pPr>
            <w:r>
              <w:rPr>
                <w:rFonts w:ascii="Arial" w:cs="Arial" w:eastAsia="Arial" w:hAnsi="Arial"/>
                <w:sz w:val="14"/>
                <w:szCs w:val="14"/>
                <w:b w:val="1"/>
                <w:bCs w:val="1"/>
                <w:color w:val="auto"/>
              </w:rPr>
              <w:t>Technique</w:t>
            </w:r>
          </w:p>
        </w:tc>
        <w:tc>
          <w:tcPr>
            <w:tcW w:w="2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Input/Assumptions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40" w:type="dxa"/>
            <w:vAlign w:val="bottom"/>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 fair value measurements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gridSpan w:val="2"/>
          </w:tcPr>
          <w:p>
            <w:pPr>
              <w:spacing w:after="0"/>
              <w:rPr>
                <w:sz w:val="20"/>
                <w:szCs w:val="20"/>
                <w:color w:val="auto"/>
              </w:rPr>
            </w:pPr>
            <w:r>
              <w:rPr>
                <w:rFonts w:ascii="Arial" w:cs="Arial" w:eastAsia="Arial" w:hAnsi="Arial"/>
                <w:sz w:val="18"/>
                <w:szCs w:val="18"/>
                <w:color w:val="auto"/>
              </w:rPr>
              <w:t>Privately issued mortgage–backed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tcPr>
          <w:p>
            <w:pPr>
              <w:jc w:val="right"/>
              <w:ind w:right="2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1,850</w:t>
            </w:r>
          </w:p>
        </w:tc>
        <w:tc>
          <w:tcPr>
            <w:tcW w:w="3380" w:type="dxa"/>
            <w:vAlign w:val="bottom"/>
            <w:gridSpan w:val="3"/>
          </w:tcPr>
          <w:p>
            <w:pPr>
              <w:ind w:left="540"/>
              <w:spacing w:after="0"/>
              <w:rPr>
                <w:sz w:val="20"/>
                <w:szCs w:val="20"/>
                <w:color w:val="auto"/>
              </w:rPr>
            </w:pPr>
            <w:r>
              <w:rPr>
                <w:rFonts w:ascii="Arial" w:cs="Arial" w:eastAsia="Arial" w:hAnsi="Arial"/>
                <w:sz w:val="18"/>
                <w:szCs w:val="18"/>
                <w:color w:val="auto"/>
              </w:rPr>
              <w:t>Two independent pricing quotes</w:t>
            </w:r>
          </w:p>
        </w:tc>
        <w:tc>
          <w:tcPr>
            <w:tcW w:w="2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63,083</w:t>
            </w:r>
          </w:p>
        </w:tc>
        <w:tc>
          <w:tcPr>
            <w:tcW w:w="338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default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17%-55% (39%)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Loss severity</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assets (liabilities)(a)</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338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 expirations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0%-90% (20%)</w:t>
            </w: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Fair Value at</w:t>
            </w:r>
          </w:p>
        </w:tc>
        <w:tc>
          <w:tcPr>
            <w:tcW w:w="160" w:type="dxa"/>
            <w:vAlign w:val="bottom"/>
          </w:tcPr>
          <w:p>
            <w:pPr>
              <w:spacing w:after="0"/>
              <w:rPr>
                <w:sz w:val="14"/>
                <w:szCs w:val="14"/>
                <w:color w:val="auto"/>
              </w:rPr>
            </w:pPr>
          </w:p>
        </w:tc>
        <w:tc>
          <w:tcPr>
            <w:tcW w:w="26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Valuation</w:t>
            </w:r>
          </w:p>
        </w:tc>
        <w:tc>
          <w:tcPr>
            <w:tcW w:w="26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Unobservable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2"/>
          </w:tcPr>
          <w:p>
            <w:pPr>
              <w:ind w:left="900"/>
              <w:spacing w:after="0"/>
              <w:rPr>
                <w:sz w:val="20"/>
                <w:szCs w:val="20"/>
                <w:color w:val="auto"/>
              </w:rPr>
            </w:pPr>
            <w:r>
              <w:rPr>
                <w:rFonts w:ascii="Arial" w:cs="Arial" w:eastAsia="Arial" w:hAnsi="Arial"/>
                <w:sz w:val="14"/>
                <w:szCs w:val="14"/>
                <w:b w:val="1"/>
                <w:bCs w:val="1"/>
                <w:color w:val="auto"/>
              </w:rPr>
              <w:t>Technique</w:t>
            </w:r>
          </w:p>
        </w:tc>
        <w:tc>
          <w:tcPr>
            <w:tcW w:w="26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Input/Assumptions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Recurring fair value measurements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spacing w:after="0"/>
              <w:rPr>
                <w:sz w:val="20"/>
                <w:szCs w:val="20"/>
                <w:color w:val="auto"/>
              </w:rPr>
            </w:pPr>
            <w:r>
              <w:rPr>
                <w:rFonts w:ascii="Arial" w:cs="Arial" w:eastAsia="Arial" w:hAnsi="Arial"/>
                <w:sz w:val="18"/>
                <w:szCs w:val="18"/>
                <w:color w:val="auto"/>
              </w:rPr>
              <w:t>Privately issued mortgage–backed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   1,023,886</w:t>
            </w:r>
          </w:p>
        </w:tc>
        <w:tc>
          <w:tcPr>
            <w:tcW w:w="276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1%-40% (19%)</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32%-82% (51%)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61,869</w:t>
            </w:r>
          </w:p>
        </w:tc>
        <w:tc>
          <w:tcPr>
            <w:tcW w:w="276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22%-69% (47%)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Net other assets (liabilities)(a)</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47,859</w:t>
            </w:r>
          </w:p>
        </w:tc>
        <w:tc>
          <w:tcPr>
            <w:tcW w:w="2760" w:type="dxa"/>
            <w:vAlign w:val="bottom"/>
            <w:gridSpan w:val="3"/>
          </w:tcPr>
          <w:p>
            <w:pPr>
              <w:ind w:left="160"/>
              <w:spacing w:after="0"/>
              <w:rPr>
                <w:sz w:val="20"/>
                <w:szCs w:val="20"/>
                <w:color w:val="auto"/>
              </w:rPr>
            </w:pPr>
            <w:r>
              <w:rPr>
                <w:rFonts w:ascii="Arial" w:cs="Arial" w:eastAsia="Arial" w:hAnsi="Arial"/>
                <w:sz w:val="18"/>
                <w:szCs w:val="18"/>
                <w:color w:val="auto"/>
              </w:rPr>
              <w:t>Discounted cash flow</w:t>
            </w:r>
          </w:p>
        </w:tc>
        <w:tc>
          <w:tcPr>
            <w:tcW w:w="2620" w:type="dxa"/>
            <w:vAlign w:val="bottom"/>
            <w:gridSpan w:val="2"/>
          </w:tcPr>
          <w:p>
            <w:pPr>
              <w:spacing w:after="0"/>
              <w:rPr>
                <w:sz w:val="20"/>
                <w:szCs w:val="20"/>
                <w:color w:val="auto"/>
              </w:rPr>
            </w:pPr>
            <w:r>
              <w:rPr>
                <w:rFonts w:ascii="Arial" w:cs="Arial" w:eastAsia="Arial" w:hAnsi="Arial"/>
                <w:sz w:val="18"/>
                <w:szCs w:val="18"/>
                <w:color w:val="auto"/>
              </w:rPr>
              <w:t>Commitment expirations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0%-69%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obligations backed by trust preferred securities would generally result in a lower (higher) fair value measurement.</w:t>
      </w:r>
    </w:p>
    <w:p>
      <w:pPr>
        <w:spacing w:after="0" w:line="1" w:lineRule="exact"/>
        <w:rPr>
          <w:sz w:val="20"/>
          <w:szCs w:val="20"/>
          <w:color w:val="auto"/>
        </w:rPr>
      </w:pPr>
    </w:p>
    <w:p>
      <w:pPr>
        <w:ind w:firstLine="685"/>
        <w:spacing w:after="0" w:line="361" w:lineRule="auto"/>
        <w:rPr>
          <w:sz w:val="20"/>
          <w:szCs w:val="20"/>
          <w:color w:val="auto"/>
        </w:rPr>
      </w:pPr>
      <w:r>
        <w:rPr>
          <w:rFonts w:ascii="Arial" w:cs="Arial" w:eastAsia="Arial" w:hAnsi="Arial"/>
          <w:sz w:val="15"/>
          <w:szCs w:val="15"/>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8"/>
              </w:rPr>
              <w:t>Estimated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1,672,934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1,672,934</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$1,596,877</w:t>
            </w: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76,057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1,651,138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376,131</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51,386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324,745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8,690,494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8,384,106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223,938</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18,705,216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18,457,288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18,457,288</w:t>
            </w: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26,148,208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26,018,195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67,505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25,950,690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8,928,221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8,867,872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5,432,207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3,435,665</w:t>
            </w: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10,291,514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10,201,087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10,201,087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660"/>
              <w:spacing w:after="0"/>
              <w:rPr>
                <w:sz w:val="20"/>
                <w:szCs w:val="20"/>
                <w:color w:val="auto"/>
              </w:rPr>
            </w:pPr>
            <w:r>
              <w:rPr>
                <w:rFonts w:ascii="Arial" w:cs="Arial" w:eastAsia="Arial" w:hAnsi="Arial"/>
                <w:sz w:val="18"/>
                <w:szCs w:val="18"/>
                <w:color w:val="auto"/>
              </w:rPr>
              <w:t>Loans and leases, net</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63,156,483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63,544,442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5,499,712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58,044,730</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222,558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(24,661,007)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(24,661,007)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(24,661,007)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(38,611,021)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(38,611,021)</w:t>
            </w: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(38,611,021)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(3,523,838)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(3,542,789)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(3,542,789)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(322,746)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(322,746)</w:t>
            </w: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(260,455)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(260,455)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(260,455)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(5,108,870)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(5,244,902)</w:t>
            </w: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(5,244,902)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(43,419)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(249,797)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(249,797)</w:t>
            </w: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(249,797)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(118,886)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(118,886)</w:t>
            </w:r>
          </w:p>
        </w:tc>
        <w:tc>
          <w:tcPr>
            <w:tcW w:w="3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(118,886)</w:t>
            </w:r>
          </w:p>
        </w:tc>
        <w:tc>
          <w:tcPr>
            <w:tcW w:w="0" w:type="dxa"/>
            <w:vAlign w:val="bottom"/>
          </w:tcPr>
          <w:p>
            <w:pPr>
              <w:spacing w:after="0"/>
              <w:rPr>
                <w:sz w:val="1"/>
                <w:szCs w:val="1"/>
                <w:color w:val="auto"/>
              </w:rPr>
            </w:pPr>
          </w:p>
        </w:tc>
      </w:tr>
      <w:tr>
        <w:trPr>
          <w:trHeight w:val="208"/>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Interest rate swap agreements used for interest rate risk</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4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1,986,615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1,986,615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$1,895,423</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91,192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488,966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488,966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56,106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432,860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6,074,361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4,687,211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1,233,393</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17,776,953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17,554,562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17,554,562</w:t>
            </w: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25,993,790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25,858,482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25,658,485</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11,240,837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11,381,319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8,100,915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3,280,404</w:t>
            </w: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11,559,377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11,504,799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11,504,799</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(925,860)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4600" w:type="dxa"/>
            <w:vAlign w:val="bottom"/>
          </w:tcPr>
          <w:p>
            <w:pPr>
              <w:ind w:left="660"/>
              <w:spacing w:after="0"/>
              <w:rPr>
                <w:sz w:val="20"/>
                <w:szCs w:val="20"/>
                <w:color w:val="auto"/>
              </w:rPr>
            </w:pPr>
            <w:r>
              <w:rPr>
                <w:rFonts w:ascii="Arial" w:cs="Arial" w:eastAsia="Arial" w:hAnsi="Arial"/>
                <w:sz w:val="18"/>
                <w:szCs w:val="18"/>
                <w:color w:val="auto"/>
              </w:rPr>
              <w:t>Loans and leases, net</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65,645,097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66,299,162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8,300,912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57,998,250</w:t>
            </w:r>
          </w:p>
        </w:tc>
        <w:tc>
          <w:tcPr>
            <w:tcW w:w="100" w:type="dxa"/>
            <w:vAlign w:val="bottom"/>
          </w:tcPr>
          <w:p>
            <w:pPr>
              <w:spacing w:after="0"/>
              <w:rPr>
                <w:sz w:val="19"/>
                <w:szCs w:val="19"/>
                <w:color w:val="auto"/>
              </w:rPr>
            </w:pP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222,897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Financial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(24,240,802)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(24,240,802)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(24,240,802)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(35,763,566)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(35,763,566)</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(35,763,566)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(4,562,366)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(4,584,384)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(4,584,384)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(1,044,519)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(1,044,519)</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(1,044,519)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(1,074,482)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(1,074,482)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(1,074,482)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(4,607,758)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(4,768,408)</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(4,768,408)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(374,274)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(374,274)</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(374,274)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47,859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(119,464)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(119,464)</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(119,464)</w:t>
            </w:r>
          </w:p>
        </w:tc>
      </w:tr>
      <w:tr>
        <w:trPr>
          <w:trHeight w:val="208"/>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Interest rate swap agreements used for interest rate risk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143,179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80" w:firstLine="685"/>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3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jc w:val="both"/>
        <w:ind w:right="680"/>
        <w:spacing w:after="0" w:line="255"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3" w:lineRule="exact"/>
        <w:rPr>
          <w:sz w:val="20"/>
          <w:szCs w:val="20"/>
          <w:color w:val="auto"/>
        </w:rPr>
      </w:pPr>
    </w:p>
    <w:p>
      <w:pPr>
        <w:jc w:val="both"/>
        <w:ind w:right="40" w:firstLine="685"/>
        <w:spacing w:after="0" w:line="255"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4" w:lineRule="exact"/>
        <w:rPr>
          <w:sz w:val="20"/>
          <w:szCs w:val="20"/>
          <w:color w:val="auto"/>
        </w:rPr>
      </w:pPr>
    </w:p>
    <w:p>
      <w:pPr>
        <w:jc w:val="both"/>
        <w:ind w:right="300" w:firstLine="685"/>
        <w:spacing w:after="0" w:line="281"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2" w:lineRule="exact"/>
        <w:rPr>
          <w:sz w:val="20"/>
          <w:szCs w:val="20"/>
          <w:color w:val="auto"/>
        </w:rPr>
      </w:pPr>
    </w:p>
    <w:p>
      <w:pPr>
        <w:ind w:right="160" w:firstLine="685"/>
        <w:spacing w:after="0" w:line="295"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Commitments and contingencies</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80" w:type="dxa"/>
            <w:vAlign w:val="bottom"/>
          </w:tcPr>
          <w:p>
            <w:pPr>
              <w:spacing w:after="0"/>
              <w:rPr>
                <w:sz w:val="12"/>
                <w:szCs w:val="12"/>
                <w:color w:val="auto"/>
              </w:rPr>
            </w:pPr>
          </w:p>
        </w:tc>
        <w:tc>
          <w:tcPr>
            <w:tcW w:w="122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1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Home equity lines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w w:val="92"/>
              </w:rPr>
              <w:t>$ 6,218,823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6,282,615</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62,386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139,929</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commercial real estate and construction</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3,919,545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3,819,342</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469,869</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1,550,441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residential real estate</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384,617</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445,268</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and other</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10,419,545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10,070,711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3,600,528</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4,025,329</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53,284</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2,457,633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2,120,361</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854,656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2,625,408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ind w:right="40" w:firstLine="685"/>
        <w:spacing w:after="0" w:line="281"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$2.3 billion and $2.0 billion at December 31, 2013 and 2012, respectively.</w:t>
      </w:r>
    </w:p>
    <w:p>
      <w:pPr>
        <w:spacing w:after="0" w:line="3"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 w:lineRule="exact"/>
        <w:rPr>
          <w:sz w:val="20"/>
          <w:szCs w:val="20"/>
          <w:color w:val="auto"/>
        </w:rPr>
      </w:pPr>
    </w:p>
    <w:p>
      <w:pPr>
        <w:ind w:right="200" w:firstLine="685"/>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332" w:lineRule="auto"/>
        <w:rPr>
          <w:sz w:val="20"/>
          <w:szCs w:val="20"/>
          <w:color w:val="auto"/>
        </w:rPr>
      </w:pPr>
      <w:r>
        <w:rPr>
          <w:rFonts w:ascii="Arial" w:cs="Arial" w:eastAsia="Arial" w:hAnsi="Arial"/>
          <w:sz w:val="16"/>
          <w:szCs w:val="16"/>
          <w:color w:val="auto"/>
        </w:rPr>
        <w:t>The Company occupies certain banking offices and uses certain equipment under noncancellable operating lease agreements expiring at various dates over the next 25 years. Minimum lease payments under noncancellable operating leases are summarized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85,923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66,265</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43,593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135,156</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463,967</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685"/>
        <w:spacing w:after="0" w:line="286" w:lineRule="auto"/>
        <w:rPr>
          <w:sz w:val="20"/>
          <w:szCs w:val="20"/>
          <w:color w:val="auto"/>
        </w:rPr>
      </w:pPr>
      <w:r>
        <w:rPr>
          <w:rFonts w:ascii="Arial" w:cs="Arial" w:eastAsia="Arial" w:hAnsi="Arial"/>
          <w:sz w:val="16"/>
          <w:szCs w:val="16"/>
          <w:color w:val="auto"/>
        </w:rPr>
        <w:t>The Company has an agreement with the Baltimore Ravens of the National Football League whereby the Company obtained the naming rights to a football stadium in Baltimore, Maryland. Under the agreement, the Company is obligated to pay $6 million per year from 2014 through 2017.</w:t>
      </w:r>
    </w:p>
    <w:p>
      <w:pPr>
        <w:ind w:right="60" w:firstLine="685"/>
        <w:spacing w:after="0" w:line="281"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$19 million at December 31, 2013. Assets of subsidiaries providing reinsurance that are available to satisfy claims totaled approximately $36 million at December 31, 2013.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2013, management believes that any further liability arising out of the Company’s obligation to loan purchasers is not material to the Company’s consolidated financial position.</w:t>
      </w:r>
    </w:p>
    <w:p>
      <w:pPr>
        <w:spacing w:after="0" w:line="4"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Segment information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8"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15"/>
          </w:tcPr>
          <w:p>
            <w:pPr>
              <w:jc w:val="right"/>
              <w:spacing w:after="0"/>
              <w:rPr>
                <w:sz w:val="20"/>
                <w:szCs w:val="20"/>
                <w:color w:val="auto"/>
              </w:rPr>
            </w:pPr>
            <w:r>
              <w:rPr>
                <w:rFonts w:ascii="Arial" w:cs="Arial" w:eastAsia="Arial" w:hAnsi="Arial"/>
                <w:sz w:val="14"/>
                <w:szCs w:val="14"/>
                <w:b w:val="1"/>
                <w:bCs w:val="1"/>
                <w:color w:val="auto"/>
                <w:w w:val="97"/>
              </w:rPr>
              <w:t>For the Years Ended December 31, 2013, 2012 and 2011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9"/>
          </w:tcPr>
          <w:p>
            <w:pPr>
              <w:ind w:left="360"/>
              <w:spacing w:after="0"/>
              <w:rPr>
                <w:sz w:val="20"/>
                <w:szCs w:val="20"/>
                <w:color w:val="auto"/>
              </w:rPr>
            </w:pPr>
            <w:r>
              <w:rPr>
                <w:rFonts w:ascii="Arial" w:cs="Arial" w:eastAsia="Arial" w:hAnsi="Arial"/>
                <w:sz w:val="14"/>
                <w:szCs w:val="14"/>
                <w:b w:val="1"/>
                <w:bCs w:val="1"/>
                <w:color w:val="auto"/>
              </w:rPr>
              <w:t>Business Banking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7"/>
          </w:tcPr>
          <w:p>
            <w:pPr>
              <w:jc w:val="right"/>
              <w:ind w:right="352"/>
              <w:spacing w:after="0"/>
              <w:rPr>
                <w:sz w:val="20"/>
                <w:szCs w:val="20"/>
                <w:color w:val="auto"/>
              </w:rPr>
            </w:pPr>
            <w:r>
              <w:rPr>
                <w:rFonts w:ascii="Arial" w:cs="Arial" w:eastAsia="Arial" w:hAnsi="Arial"/>
                <w:sz w:val="14"/>
                <w:szCs w:val="14"/>
                <w:b w:val="1"/>
                <w:bCs w:val="1"/>
                <w:color w:val="auto"/>
              </w:rPr>
              <w:t>Commercial Banking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8"/>
          </w:tcPr>
          <w:p>
            <w:pPr>
              <w:ind w:left="160"/>
              <w:spacing w:after="0"/>
              <w:rPr>
                <w:sz w:val="20"/>
                <w:szCs w:val="20"/>
                <w:color w:val="auto"/>
              </w:rPr>
            </w:pPr>
            <w:r>
              <w:rPr>
                <w:rFonts w:ascii="Arial" w:cs="Arial" w:eastAsia="Arial" w:hAnsi="Arial"/>
                <w:sz w:val="14"/>
                <w:szCs w:val="14"/>
                <w:b w:val="1"/>
                <w:bCs w:val="1"/>
                <w:color w:val="auto"/>
              </w:rPr>
              <w:t>Commercial Real Estate</w:t>
            </w:r>
          </w:p>
        </w:tc>
        <w:tc>
          <w:tcPr>
            <w:tcW w:w="80" w:type="dxa"/>
            <w:vAlign w:val="bottom"/>
          </w:tcPr>
          <w:p>
            <w:pPr>
              <w:spacing w:after="0"/>
              <w:rPr>
                <w:sz w:val="14"/>
                <w:szCs w:val="14"/>
                <w:color w:val="auto"/>
              </w:rPr>
            </w:pPr>
          </w:p>
        </w:tc>
        <w:tc>
          <w:tcPr>
            <w:tcW w:w="1860" w:type="dxa"/>
            <w:vAlign w:val="bottom"/>
            <w:gridSpan w:val="9"/>
          </w:tcPr>
          <w:p>
            <w:pPr>
              <w:ind w:left="200"/>
              <w:spacing w:after="0"/>
              <w:rPr>
                <w:sz w:val="20"/>
                <w:szCs w:val="20"/>
                <w:color w:val="auto"/>
              </w:rPr>
            </w:pPr>
            <w:r>
              <w:rPr>
                <w:rFonts w:ascii="Arial" w:cs="Arial" w:eastAsia="Arial" w:hAnsi="Arial"/>
                <w:sz w:val="14"/>
                <w:szCs w:val="14"/>
                <w:b w:val="1"/>
                <w:bCs w:val="1"/>
                <w:color w:val="auto"/>
              </w:rPr>
              <w:t>Discretionary Portfolio</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325,521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347,067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334,811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758,231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753,678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655,407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570,786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531,398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467,683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66,157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66,303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102,945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103,283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95,429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263,766</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253,808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249,150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130,895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133,120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99,409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(2,126)</w:t>
            </w: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4"/>
              </w:rPr>
              <w:t>(76,113)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98,770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428,466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450,350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430,240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1,021,997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1,007,486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904,557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701,681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664,518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567,092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64,031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(9,810)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26,450</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22,245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45,689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76,818</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15,781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29,823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7,365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4,238</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58,474</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16,670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44,305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59,309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core deposit and other intangible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564</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14,296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11,004</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9,054</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214,043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179,428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177,172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288,842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262,820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248,428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214,246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190,879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154,042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30,431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32,262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Income (loss) before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187,775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2"/>
              </w:rPr>
              <w:t>248,555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207,239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655,773</w:t>
            </w: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728,318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625,753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465,774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458,397</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345,522</w:t>
            </w: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15,600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(87,186)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67,370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76,735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101,484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264,433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296,894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256,311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143,981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149,321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105,709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(14,368)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(54,071)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111,040</w:t>
            </w:r>
          </w:p>
        </w:tc>
        <w:tc>
          <w:tcPr>
            <w:tcW w:w="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2"/>
              </w:rPr>
              <w:t>147,071</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122,707</w:t>
            </w: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391,340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431,424</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369,442</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321,793</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309,076</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239,813</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29,968</w:t>
            </w: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4"/>
              </w:rPr>
              <w:t>(33,115)</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59,395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5,080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4,909</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5,192</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21,655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19,946</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17,650</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17,150</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97"/>
              </w:rPr>
              <w:t>16,437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7"/>
              </w:rPr>
              <w:t>15,025</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16,480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3"/>
              </w:rPr>
              <w:t>16,583</w:t>
            </w: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14,170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166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9"/>
            <w:vMerge w:val="restart"/>
          </w:tcPr>
          <w:p>
            <w:pPr>
              <w:jc w:val="right"/>
              <w:ind w:right="480"/>
              <w:spacing w:after="0"/>
              <w:rPr>
                <w:sz w:val="20"/>
                <w:szCs w:val="20"/>
                <w:color w:val="auto"/>
              </w:rPr>
            </w:pPr>
            <w:r>
              <w:rPr>
                <w:rFonts w:ascii="Arial" w:cs="Arial" w:eastAsia="Arial" w:hAnsi="Arial"/>
                <w:sz w:val="14"/>
                <w:szCs w:val="14"/>
                <w:b w:val="1"/>
                <w:bCs w:val="1"/>
                <w:color w:val="auto"/>
              </w:rPr>
              <w:t>Residential Mortgage</w:t>
            </w:r>
          </w:p>
        </w:tc>
        <w:tc>
          <w:tcPr>
            <w:tcW w:w="80" w:type="dxa"/>
            <w:vAlign w:val="bottom"/>
          </w:tcPr>
          <w:p>
            <w:pPr>
              <w:spacing w:after="0"/>
              <w:rPr>
                <w:sz w:val="15"/>
                <w:szCs w:val="15"/>
                <w:color w:val="auto"/>
              </w:rPr>
            </w:pPr>
          </w:p>
        </w:tc>
        <w:tc>
          <w:tcPr>
            <w:tcW w:w="3720" w:type="dxa"/>
            <w:vAlign w:val="bottom"/>
            <w:gridSpan w:val="17"/>
          </w:tcPr>
          <w:p>
            <w:pPr>
              <w:jc w:val="right"/>
              <w:ind w:right="9"/>
              <w:spacing w:after="0"/>
              <w:rPr>
                <w:sz w:val="20"/>
                <w:szCs w:val="20"/>
                <w:color w:val="auto"/>
              </w:rPr>
            </w:pPr>
            <w:r>
              <w:rPr>
                <w:rFonts w:ascii="Arial" w:cs="Arial" w:eastAsia="Arial" w:hAnsi="Arial"/>
                <w:sz w:val="14"/>
                <w:szCs w:val="14"/>
                <w:b w:val="1"/>
                <w:bCs w:val="1"/>
                <w:color w:val="auto"/>
                <w:w w:val="98"/>
              </w:rPr>
              <w:t>For the Years Ended December 31, 2013, 2012 and 2011</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Banking</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Retail Banking</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4"/>
              </w:rPr>
              <w:t>All Other</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98,496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78,058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63,951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810,134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902,906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851,332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43,904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(80,894)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(46,458)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2,673,229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2,598,516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2,389,756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325,474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402,211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184,249</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373,362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349,571</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366,042</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670,889</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501,390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489,863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1,865,205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1,667,270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1,582,912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423,970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480,269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248,200</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1,183,496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1,252,477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1,217,374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714,793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420,496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443,405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4,538,434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4,265,786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3,972,668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credit losses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(11,711)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17,169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36,375</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72,502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95,345</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101,679</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(3,094)</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(61,349)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Amortization of core deposit and other</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intangible 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46,912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60,631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61,617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46,912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60,631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48,716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46,902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44,349</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34,599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32,734</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33,713</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57,120</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50,536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45,495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156,823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143,930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136,163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225,794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195,604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151,945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768,644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751,916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744,905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690,150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693,046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771,534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2,432,150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2,304,699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2,280,288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taxes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161,171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220,594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15,531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307,751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372,482</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337,077</w:t>
            </w:r>
          </w:p>
        </w:tc>
        <w:tc>
          <w:tcPr>
            <w:tcW w:w="60" w:type="dxa"/>
            <w:vAlign w:val="bottom"/>
          </w:tcPr>
          <w:p>
            <w:pPr>
              <w:spacing w:after="0"/>
              <w:rPr>
                <w:sz w:val="13"/>
                <w:szCs w:val="13"/>
                <w:color w:val="auto"/>
              </w:rPr>
            </w:pP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1"/>
              </w:rPr>
              <w:t>(76,295)</w:t>
            </w:r>
          </w:p>
        </w:tc>
        <w:tc>
          <w:tcPr>
            <w:tcW w:w="80" w:type="dxa"/>
            <w:vAlign w:val="bottom"/>
          </w:tcPr>
          <w:p>
            <w:pPr>
              <w:spacing w:after="0"/>
              <w:rPr>
                <w:sz w:val="13"/>
                <w:szCs w:val="13"/>
                <w:color w:val="auto"/>
              </w:rPr>
            </w:pP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(388,634)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(373,892)</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1,717,549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1,552,526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1,224,600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61,779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125,350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151,616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137,161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(78,841)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(207,887)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(228,970)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579,069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2"/>
            <w:vMerge w:val="continue"/>
          </w:tcPr>
          <w:p>
            <w:pPr>
              <w:spacing w:after="0"/>
              <w:rPr>
                <w:sz w:val="13"/>
                <w:szCs w:val="13"/>
                <w:color w:val="auto"/>
              </w:rPr>
            </w:pPr>
          </w:p>
        </w:tc>
        <w:tc>
          <w:tcPr>
            <w:tcW w:w="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99,392</w:t>
            </w:r>
          </w:p>
        </w:tc>
        <w:tc>
          <w:tcPr>
            <w:tcW w:w="12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134,923</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13,128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182,401</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220,866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199,916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2,546</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(180,747)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(144,922)</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1,138,480</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1,029,498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859,479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2,858</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10,997</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11,705</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11,940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9,442</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7,952</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8,042</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83,662</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79,983</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73,977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vMerge w:val="continue"/>
          </w:tcPr>
          <w:p>
            <w:pPr>
              <w:spacing w:after="0"/>
              <w:rPr>
                <w:sz w:val="12"/>
                <w:szCs w:val="12"/>
                <w:color w:val="auto"/>
              </w:rPr>
            </w:pPr>
          </w:p>
        </w:tc>
        <w:tc>
          <w:tcPr>
            <w:tcW w:w="8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40</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15</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89</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1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45</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130</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92</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80" w:hanging="452"/>
        <w:spacing w:after="0" w:line="298" w:lineRule="auto"/>
        <w:tabs>
          <w:tab w:leader="none" w:pos="46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$24,971,000 in 2013, $26,391,000 in 2012 and $25,876,000 in 2011 and is eliminated in “All Other” net interest income and income tax expense (benefit).</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Cayman Islands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7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(50,128)</w:t>
            </w:r>
          </w:p>
        </w:tc>
        <w:tc>
          <w:tcPr>
            <w:tcW w:w="16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 (71,452)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(64,239)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(16,235)</w:t>
            </w:r>
          </w:p>
        </w:tc>
        <w:tc>
          <w:tcPr>
            <w:tcW w:w="1640" w:type="dxa"/>
            <w:vAlign w:val="bottom"/>
          </w:tcPr>
          <w:p>
            <w:pPr>
              <w:jc w:val="right"/>
              <w:ind w:right="361"/>
              <w:spacing w:after="0"/>
              <w:rPr>
                <w:sz w:val="20"/>
                <w:szCs w:val="20"/>
                <w:color w:val="auto"/>
              </w:rPr>
            </w:pPr>
            <w:r>
              <w:rPr>
                <w:rFonts w:ascii="Arial" w:cs="Arial" w:eastAsia="Arial" w:hAnsi="Arial"/>
                <w:sz w:val="18"/>
                <w:szCs w:val="18"/>
                <w:color w:val="auto"/>
              </w:rPr>
              <w:t>(17,313)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(14,146)</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6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(22,029)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(20,383)</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(20,102)</w:t>
            </w:r>
          </w:p>
        </w:tc>
        <w:tc>
          <w:tcPr>
            <w:tcW w:w="1640" w:type="dxa"/>
            <w:vAlign w:val="bottom"/>
          </w:tcPr>
          <w:p>
            <w:pPr>
              <w:jc w:val="right"/>
              <w:ind w:right="361"/>
              <w:spacing w:after="0"/>
              <w:rPr>
                <w:sz w:val="20"/>
                <w:szCs w:val="20"/>
                <w:color w:val="auto"/>
              </w:rPr>
            </w:pPr>
            <w:r>
              <w:rPr>
                <w:rFonts w:ascii="Arial" w:cs="Arial" w:eastAsia="Arial" w:hAnsi="Arial"/>
                <w:sz w:val="18"/>
                <w:szCs w:val="18"/>
                <w:color w:val="auto"/>
              </w:rPr>
              <w:t>(32,110)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(29,710)</w:t>
            </w:r>
          </w:p>
        </w:tc>
      </w:tr>
    </w:tbl>
    <w:p>
      <w:pPr>
        <w:spacing w:after="0" w:line="147" w:lineRule="exact"/>
        <w:rPr>
          <w:sz w:val="20"/>
          <w:szCs w:val="20"/>
          <w:color w:val="auto"/>
        </w:rPr>
      </w:pPr>
    </w:p>
    <w:p>
      <w:pPr>
        <w:ind w:right="300" w:firstLine="685"/>
        <w:spacing w:after="0" w:line="268" w:lineRule="auto"/>
        <w:rPr>
          <w:sz w:val="20"/>
          <w:szCs w:val="20"/>
          <w:color w:val="auto"/>
        </w:rPr>
      </w:pPr>
      <w:r>
        <w:rPr>
          <w:rFonts w:ascii="Arial" w:cs="Arial" w:eastAsia="Arial" w:hAnsi="Arial"/>
          <w:sz w:val="18"/>
          <w:szCs w:val="18"/>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Regulatory matters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2013, approximately $1.11 billion was available for payment of dividends to M&amp;T from banking subsidiaries. Additionally, the Federal Reserve Board requires bank holding companies with $50 billion or more of total consolidated assets to submit annual capital plans. Such bank holding companies may pay dividends and repurchase stock only in accordance with a capital plan which the Federal Reserve Board has not objected to.</w:t>
      </w:r>
    </w:p>
    <w:p>
      <w:pPr>
        <w:spacing w:after="0" w:line="3"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right="320" w:firstLine="685"/>
        <w:spacing w:after="0" w:line="361" w:lineRule="auto"/>
        <w:rPr>
          <w:sz w:val="20"/>
          <w:szCs w:val="20"/>
          <w:color w:val="auto"/>
        </w:rPr>
      </w:pPr>
      <w:r>
        <w:rPr>
          <w:rFonts w:ascii="Arial" w:cs="Arial" w:eastAsia="Arial" w:hAnsi="Arial"/>
          <w:sz w:val="15"/>
          <w:szCs w:val="15"/>
          <w:color w:val="auto"/>
        </w:rPr>
        <w:t>The bank subsidiaries are required to maintain noninterest-earning reserves against certain deposit liabilities. During the maintenance periods that included December 31, 2013 and 2012, cash and due from banks included a daily average of $595,593,000 and $604,789,000, respectively, for such purpose.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2" w:lineRule="auto"/>
        <w:rPr>
          <w:sz w:val="20"/>
          <w:szCs w:val="20"/>
          <w:color w:val="auto"/>
        </w:rPr>
      </w:pPr>
      <w:r>
        <w:rPr>
          <w:rFonts w:ascii="Arial" w:cs="Arial" w:eastAsia="Arial" w:hAnsi="Arial"/>
          <w:sz w:val="16"/>
          <w:szCs w:val="16"/>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2013,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2013 and 2012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M&amp;T</w:t>
            </w:r>
          </w:p>
        </w:tc>
        <w:tc>
          <w:tcPr>
            <w:tcW w:w="16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Wilmington</w:t>
            </w:r>
          </w:p>
        </w:tc>
      </w:tr>
      <w:tr>
        <w:trPr>
          <w:trHeight w:val="161"/>
        </w:trPr>
        <w:tc>
          <w:tcPr>
            <w:tcW w:w="7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1680" w:type="dxa"/>
            <w:vAlign w:val="bottom"/>
          </w:tcPr>
          <w:p>
            <w:pPr>
              <w:jc w:val="right"/>
              <w:ind w:right="414"/>
              <w:spacing w:after="0"/>
              <w:rPr>
                <w:sz w:val="20"/>
                <w:szCs w:val="20"/>
                <w:color w:val="auto"/>
              </w:rPr>
            </w:pPr>
            <w:r>
              <w:rPr>
                <w:rFonts w:ascii="Arial" w:cs="Arial" w:eastAsia="Arial" w:hAnsi="Arial"/>
                <w:sz w:val="14"/>
                <w:szCs w:val="14"/>
                <w:b w:val="1"/>
                <w:bCs w:val="1"/>
                <w:color w:val="auto"/>
              </w:rPr>
              <w:t>M&amp;T Bank</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7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Tier 1 capital</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8,792,035</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$7,341,506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$ 420,330</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12.00%</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10.08%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73.79%</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2,930,925</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2,914,246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Total capital</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11,045,589</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9,445,770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424,975</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15.07%</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12.96%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74.60%</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5,861,849</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5,828,491</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45,573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Leverage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8,792,035</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7,341,506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420,330</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Ratio(c)</w:t>
            </w:r>
          </w:p>
        </w:tc>
        <w:tc>
          <w:tcPr>
            <w:tcW w:w="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10.78%</w:t>
            </w:r>
          </w:p>
        </w:tc>
        <w:tc>
          <w:tcPr>
            <w:tcW w:w="1680" w:type="dxa"/>
            <w:vAlign w:val="bottom"/>
          </w:tcPr>
          <w:p>
            <w:pPr>
              <w:jc w:val="right"/>
              <w:ind w:right="214"/>
              <w:spacing w:after="0"/>
              <w:rPr>
                <w:sz w:val="20"/>
                <w:szCs w:val="20"/>
                <w:color w:val="auto"/>
              </w:rPr>
            </w:pPr>
            <w:r>
              <w:rPr>
                <w:rFonts w:ascii="Arial" w:cs="Arial" w:eastAsia="Arial" w:hAnsi="Arial"/>
                <w:sz w:val="18"/>
                <w:szCs w:val="18"/>
                <w:color w:val="auto"/>
              </w:rPr>
              <w:t>9.09%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19.80%</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2,446,476</w:t>
            </w:r>
          </w:p>
        </w:tc>
        <w:tc>
          <w:tcPr>
            <w:tcW w:w="16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2,422,096</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63,678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December 31, 2012: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7,810,196</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$6,767,774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$ 405,469</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10.22%</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8.92%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61.02%</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3,057,093</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3,034,184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26,580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86"/>
              </w:rPr>
              <w:t>10,230,302</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8,981,931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410,873</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13.39%</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11.84%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61.83%</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6,114,186</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6,068,367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53,160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7,810,196</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6,767,774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405,469</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Ratio(c)</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10.07%</w:t>
            </w:r>
          </w:p>
        </w:tc>
        <w:tc>
          <w:tcPr>
            <w:tcW w:w="16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8.84%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21.62%</w:t>
            </w:r>
          </w:p>
        </w:tc>
      </w:tr>
      <w:tr>
        <w:trPr>
          <w:trHeight w:val="222"/>
        </w:trPr>
        <w:tc>
          <w:tcPr>
            <w:tcW w:w="740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80" w:type="dxa"/>
            <w:vAlign w:val="bottom"/>
          </w:tcPr>
          <w:p>
            <w:pPr>
              <w:spacing w:after="0"/>
              <w:rPr>
                <w:sz w:val="19"/>
                <w:szCs w:val="19"/>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2,327,122</w:t>
            </w:r>
          </w:p>
        </w:tc>
        <w:tc>
          <w:tcPr>
            <w:tcW w:w="1680" w:type="dxa"/>
            <w:vAlign w:val="bottom"/>
          </w:tcPr>
          <w:p>
            <w:pPr>
              <w:jc w:val="right"/>
              <w:ind w:right="354"/>
              <w:spacing w:after="0"/>
              <w:rPr>
                <w:sz w:val="20"/>
                <w:szCs w:val="20"/>
                <w:color w:val="auto"/>
              </w:rPr>
            </w:pPr>
            <w:r>
              <w:rPr>
                <w:rFonts w:ascii="Arial" w:cs="Arial" w:eastAsia="Arial" w:hAnsi="Arial"/>
                <w:sz w:val="18"/>
                <w:szCs w:val="18"/>
                <w:color w:val="auto"/>
              </w:rPr>
              <w:t>2,297,902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risk-weighted assets,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 of capital to be considered adequately capitalized,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average assets, as defined by regulation.</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Relationship with Bayview Lending Group LLC and Bayview Financial Holdings, L.P.</w:t>
      </w:r>
    </w:p>
    <w:p>
      <w:pPr>
        <w:spacing w:after="0" w:line="2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M&amp;T holds a 20% interest in BLG, a privately-held commercial mortgage company. The carrying value of that investment was $74 million at December 31, 2013. M&amp;T recognizes income or loss from BLG using the equity method of accounting. In 2011, the Company recognized a $79 million other-than-temporary impairment charge related to its investment in BLG that is included in “other costs of operations.” Further information concerning the other-than-temporary impairment charge is provided in note 20.</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investor. In addition to their common investment in BLG, the Company and Bayview Financial conduct other business activities with each other.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has obtained loan servicing rights for mortgage loans from BLG and Bayview Financial having outstanding principal balances of $5.5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billion at December 31, 2013 and 2012, respectively. Revenues from those servicing rights were $31 million, $35 million and $41 million during 2013,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2011, respectively. The Company sub-services residential mortgage loans for Bayview Financial having outstanding principal balances totaling $45.6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$11.4 billion at December 31, 2013 and 2012, respectively. Revenues earned for sub-servicing loans for Bayview Financial were $33 million in 2013,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2012 and $477 thousand in 2011. In addition, the Company held $2 million and $11 million at December 31, 2013 and 2012, respectively, of mortgage-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backed securities in its available-for-sale investment securities portfolio that were securitized by Bayview Financial. Finally, the Company held $220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$242 million of similar investment securities in its held-to-maturity portfolio at December 31, 2013 and 2012, respectively.</w:t>
      </w:r>
    </w:p>
    <w:p>
      <w:pPr>
        <w:spacing w:after="0" w:line="2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Parent company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Cash in subsidiary bank</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10,729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Due from consolidated bank subsidiaries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Money-market savings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968,274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714,677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income tax receivable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due from consolidated bank subsidiaries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972,082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716,512</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Banks and bank holding company</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11,364,657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10,495,557</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16,212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(note 19)</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33,751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Investment in Bayview Lending Group LLC</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73,883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93,489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80,098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83,975</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12,551,412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11,444,567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Due to consolidated bank subsidiaries</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62,817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60,619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Long-term borrowings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1,183,063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1,181,142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1,245,880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1,241,974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11,305,532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10,202,593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12,551,412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11,444,567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170</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0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per 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Dividends from consolidated bank subsidiaries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700,000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8,755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67,829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687,244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758,598</w:t>
            </w: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borrowings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82,286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expense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19,226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101,512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178,327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 and equity in undistributed income of subsidiaries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604,757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585,732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580,271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before equity in undistributed income of subsidiaries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640,743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628,881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630,731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undistributed income of subsidiaries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 of subsidiaries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1,197,737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1,100,617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943,748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received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(700,000)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(700,000)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(715,000)</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497,737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400,617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228,748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1,138,480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1,029,498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859,479</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In 2011 includes $79 million write-down of Investment in Bayview Lending Group LLC.</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9"/>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1,138,480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1,029,498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(497,737)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(400,617)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(228,748)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Asset write-downs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accrued income and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674,257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637,403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743,730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(140,000)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Purchase of Wilmington Trust Corporation preferred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(136,705)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(320,780)</w:t>
            </w: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borrowings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Dividends paid — common</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(365,349)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(357,717)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(350,129)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preferred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preferred stock</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143,352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(567,815)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(256,946)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259,552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70,323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166,004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649,128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483,124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979,003</w:t>
            </w: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719,451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received during the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Income taxes received during the year</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45,237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57,964</w:t>
            </w:r>
          </w:p>
        </w:tc>
        <w:tc>
          <w:tcPr>
            <w:tcW w:w="0" w:type="dxa"/>
            <w:vAlign w:val="bottom"/>
          </w:tcPr>
          <w:p>
            <w:pPr>
              <w:spacing w:after="0"/>
              <w:rPr>
                <w:sz w:val="1"/>
                <w:szCs w:val="1"/>
                <w:color w:val="auto"/>
              </w:rPr>
            </w:pPr>
          </w:p>
        </w:tc>
      </w:tr>
      <w:tr>
        <w:trPr>
          <w:trHeight w:val="304"/>
        </w:trPr>
        <w:tc>
          <w:tcPr>
            <w:tcW w:w="7880" w:type="dxa"/>
            <w:vAlign w:val="bottom"/>
            <w:gridSpan w:val="2"/>
          </w:tcPr>
          <w:p>
            <w:pPr>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jc w:val="both"/>
        <w:ind w:right="120" w:firstLine="693"/>
        <w:spacing w:after="0" w:line="284" w:lineRule="auto"/>
        <w:tabs>
          <w:tab w:leader="none" w:pos="923"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2013.</w:t>
      </w:r>
    </w:p>
    <w:p>
      <w:pPr>
        <w:spacing w:after="0" w:line="1" w:lineRule="exact"/>
        <w:rPr>
          <w:rFonts w:ascii="Arial" w:cs="Arial" w:eastAsia="Arial" w:hAnsi="Arial"/>
          <w:sz w:val="16"/>
          <w:szCs w:val="16"/>
          <w:color w:val="auto"/>
        </w:rPr>
      </w:pPr>
    </w:p>
    <w:p>
      <w:pPr>
        <w:ind w:right="340" w:firstLine="693"/>
        <w:spacing w:after="0" w:line="250" w:lineRule="auto"/>
        <w:tabs>
          <w:tab w:leader="none" w:pos="9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Included under the heading “Report on Internal Control Over Financial Reporting” at Item 8 of this Annual Report on Form 10-K.</w:t>
      </w:r>
    </w:p>
    <w:p>
      <w:pPr>
        <w:ind w:right="120" w:firstLine="693"/>
        <w:spacing w:after="0" w:line="250" w:lineRule="auto"/>
        <w:tabs>
          <w:tab w:leader="none" w:pos="9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Attestation report of the registered public accounting firm. Included under the heading “Report of Independent Registered Public Accounting Firm” at Item 8 of this Annual Report on Form 10-K.</w:t>
      </w:r>
    </w:p>
    <w:p>
      <w:pPr>
        <w:ind w:right="40" w:firstLine="693"/>
        <w:spacing w:after="0" w:line="295" w:lineRule="auto"/>
        <w:tabs>
          <w:tab w:leader="none" w:pos="933"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2013 that have materially affected, or are reasonably likely to materially affect, M&amp;T’s internal control over financial reporting.</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identification of the Registrant’s directors is incorporated by reference to the caption “NOMINEES FOR DIRECTOR” contained in the Registrant’s definitive Proxy Statement for its 2014 Annual Meeting of Shareholders, which will be filed with the Securities and Exchange Commission on or about March 6, 2014.</w:t>
      </w:r>
    </w:p>
    <w:p>
      <w:pPr>
        <w:ind w:right="160" w:firstLine="685"/>
        <w:spacing w:after="0" w:line="250" w:lineRule="auto"/>
        <w:rPr>
          <w:sz w:val="20"/>
          <w:szCs w:val="20"/>
          <w:color w:val="auto"/>
        </w:rPr>
      </w:pPr>
      <w:r>
        <w:rPr>
          <w:rFonts w:ascii="Arial" w:cs="Arial" w:eastAsia="Arial" w:hAnsi="Arial"/>
          <w:sz w:val="18"/>
          <w:szCs w:val="18"/>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right="180" w:firstLine="685"/>
        <w:spacing w:after="0" w:line="250" w:lineRule="auto"/>
        <w:rPr>
          <w:sz w:val="20"/>
          <w:szCs w:val="20"/>
          <w:color w:val="auto"/>
        </w:rPr>
      </w:pPr>
      <w:r>
        <w:rPr>
          <w:rFonts w:ascii="Arial" w:cs="Arial" w:eastAsia="Arial" w:hAnsi="Arial"/>
          <w:sz w:val="18"/>
          <w:szCs w:val="18"/>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2014 Annual Meeting of Shareholders which will be filed with the Securities and Exchange Commission on or about March 6, 2014.</w:t>
      </w:r>
    </w:p>
    <w:p>
      <w:pPr>
        <w:spacing w:after="0" w:line="2" w:lineRule="exact"/>
        <w:rPr>
          <w:sz w:val="20"/>
          <w:szCs w:val="20"/>
          <w:color w:val="auto"/>
        </w:rPr>
      </w:pPr>
    </w:p>
    <w:p>
      <w:pPr>
        <w:ind w:right="320" w:firstLine="685"/>
        <w:spacing w:after="0" w:line="254" w:lineRule="auto"/>
        <w:rPr>
          <w:sz w:val="20"/>
          <w:szCs w:val="20"/>
          <w:color w:val="auto"/>
        </w:rPr>
      </w:pPr>
      <w:r>
        <w:rPr>
          <w:rFonts w:ascii="Arial" w:cs="Arial" w:eastAsia="Arial" w:hAnsi="Arial"/>
          <w:sz w:val="18"/>
          <w:szCs w:val="18"/>
          <w:color w:val="auto"/>
        </w:rPr>
        <w:t>The other information required by Item 10 is incorporated by reference to the captions “CORPORATE GOVERNANCE OF M&amp;T BANK CORPORATION,” “BOARD OF DIRECTORS, COMMITTEES OF THE BOARD AND ATTENDANCE” and “CODES OF ETHICS” contained in the Registrant’s definitive Proxy Statement for its 2014 Annual Meeting of Shareholders, which will be filed with the Securities and Exchange Commission on or about March 6, 2014.</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Incorporated by reference to the caption “COMPENSATION OF EXECUTIVE OFFICERS AND DIRECTORS” contained in the Registrant’s definitive Proxy Statement for its 2014 Annual Meeting of Shareholders, which will be filed with the Securities and Exchange Commission on or about March 6, 2014.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Incorporated by reference to the captions “PRINCIPAL BENEFICIAL OWNERS OF SHARES” and “STOCK OWNERSHIP BY DIRECTORS AND EXECUTIVE OFFICERS” contained in the Registrant’s definitive Proxy Statement for its 2014 Annual Meeting of Shareholders, which will be filed with the Securities and Exchange Commission on or about March 6, 2014.</w:t>
      </w:r>
    </w:p>
    <w:p>
      <w:pPr>
        <w:ind w:right="80" w:firstLine="685"/>
        <w:spacing w:after="0" w:line="255" w:lineRule="auto"/>
        <w:rPr>
          <w:sz w:val="20"/>
          <w:szCs w:val="20"/>
          <w:color w:val="auto"/>
        </w:rPr>
      </w:pPr>
      <w:r>
        <w:rPr>
          <w:rFonts w:ascii="Arial" w:cs="Arial" w:eastAsia="Arial" w:hAnsi="Arial"/>
          <w:sz w:val="18"/>
          <w:szCs w:val="18"/>
          <w:color w:val="auto"/>
        </w:rPr>
        <w:t>The information required by this item concerning Equity Compensation Plan information is incorporated by reference to the caption “COMPENSATION OF EXECUTIVE OFFICERS AND DIRECTORS” contained in the Registrant’s definitive Proxy Statement for its 2014 Annual Meeting of Shareholders, which will be filed with the Securities and Exchange Commission on or about March 6, 2014.</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Incorporated by reference to the captions “TRANSACTIONS WITH DIRECTORS AND EXECUTIVE OFFICERS” and “BOARD OF DIRECTORS, COMMITTEES OF THE BOARD AND ATTENDANCE” contained in the Registrant’s definitive Proxy Statement for its 2014 Annual Meeting of Shareholders, which will be filed with the Securities and Exchange Commission on or about March 6, 2014.</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Incorporated by reference to the caption “PROPOSAL TO RATIFY THE APPOINTMENT OF PRICEWATERHOUSECOOPERS LLP AS THE INDEPENDENT REGISTERED PUBLIC ACCOUNTING FIRM OF M&amp;T BANK CORPORATION” contained in the Registrant’s definitive Proxy Statement for its 2014 Annual Meeting of Shareholders, which will be filed with the Securities and Exchange Commission on or about March 6, 2014.</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right="140" w:firstLine="693"/>
        <w:spacing w:after="0" w:line="286" w:lineRule="auto"/>
        <w:tabs>
          <w:tab w:leader="none" w:pos="9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firstLine="693"/>
        <w:spacing w:after="0" w:line="250" w:lineRule="auto"/>
        <w:tabs>
          <w:tab w:leader="none" w:pos="9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exhibits listed on the Exhibit Index of this Annual Report on Form 10-K have been previously filed, are filed herewith or are incorporated herein by reference to other filings.</w:t>
      </w:r>
    </w:p>
    <w:p>
      <w:pPr>
        <w:ind w:left="920" w:hanging="227"/>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21st day of February, 2014.</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Robert G. Wilmers</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8"/>
              </w:rPr>
              <w:t>Chairman of the Board and</w:t>
            </w:r>
          </w:p>
        </w:tc>
      </w:tr>
      <w:tr>
        <w:trPr>
          <w:trHeight w:val="222"/>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bl>
    <w:p>
      <w:pPr>
        <w:spacing w:after="0" w:line="88" w:lineRule="exact"/>
        <w:rPr>
          <w:sz w:val="20"/>
          <w:szCs w:val="20"/>
          <w:color w:val="auto"/>
        </w:rPr>
      </w:pPr>
    </w:p>
    <w:p>
      <w:pPr>
        <w:ind w:right="540" w:firstLine="685"/>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1900" w:type="dxa"/>
            <w:vAlign w:val="bottom"/>
          </w:tcPr>
          <w:p>
            <w:pPr>
              <w:spacing w:after="0"/>
              <w:rPr>
                <w:sz w:val="14"/>
                <w:szCs w:val="1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26"/>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5"/>
              </w:rPr>
              <w:t>/s/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Chairman of the Board</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Robert G. Wilmers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and Chief Executive Officer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Principal Financial Officer:</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/s/ R</w:t>
            </w:r>
            <w:r>
              <w:rPr>
                <w:rFonts w:ascii="Arial" w:cs="Arial" w:eastAsia="Arial" w:hAnsi="Arial"/>
                <w:sz w:val="14"/>
                <w:szCs w:val="14"/>
                <w:color w:val="auto"/>
                <w:w w:val="91"/>
              </w:rPr>
              <w:t>ENÉ</w:t>
            </w:r>
            <w:r>
              <w:rPr>
                <w:rFonts w:ascii="Arial" w:cs="Arial" w:eastAsia="Arial" w:hAnsi="Arial"/>
                <w:sz w:val="18"/>
                <w:szCs w:val="18"/>
                <w:color w:val="auto"/>
                <w:w w:val="91"/>
              </w:rPr>
              <w:t xml:space="preserve"> F. J</w:t>
            </w:r>
            <w:r>
              <w:rPr>
                <w:rFonts w:ascii="Arial" w:cs="Arial" w:eastAsia="Arial" w:hAnsi="Arial"/>
                <w:sz w:val="14"/>
                <w:szCs w:val="14"/>
                <w:color w:val="auto"/>
                <w:w w:val="91"/>
              </w:rPr>
              <w:t>ONES</w:t>
            </w:r>
          </w:p>
        </w:tc>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Executive Vice President</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3"/>
              </w:rPr>
              <w:t>René F. Jones</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and Chief Financial Officer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Principal Accounting Officer:</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9"/>
              </w:rPr>
              <w:t>/s/ M</w:t>
            </w:r>
            <w:r>
              <w:rPr>
                <w:rFonts w:ascii="Arial" w:cs="Arial" w:eastAsia="Arial" w:hAnsi="Arial"/>
                <w:sz w:val="14"/>
                <w:szCs w:val="14"/>
                <w:color w:val="auto"/>
                <w:w w:val="99"/>
              </w:rPr>
              <w:t>ICHAEL</w:t>
            </w:r>
            <w:r>
              <w:rPr>
                <w:rFonts w:ascii="Arial" w:cs="Arial" w:eastAsia="Arial" w:hAnsi="Arial"/>
                <w:sz w:val="18"/>
                <w:szCs w:val="18"/>
                <w:color w:val="auto"/>
                <w:w w:val="99"/>
              </w:rPr>
              <w:t xml:space="preserve"> R. S</w:t>
            </w:r>
            <w:r>
              <w:rPr>
                <w:rFonts w:ascii="Arial" w:cs="Arial" w:eastAsia="Arial" w:hAnsi="Arial"/>
                <w:sz w:val="14"/>
                <w:szCs w:val="14"/>
                <w:color w:val="auto"/>
                <w:w w:val="99"/>
              </w:rPr>
              <w:t>PYCHALA</w:t>
            </w:r>
          </w:p>
        </w:tc>
        <w:tc>
          <w:tcPr>
            <w:tcW w:w="40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Senior Vice President and</w:t>
            </w: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5"/>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Michael R. Spychala</w:t>
            </w:r>
          </w:p>
        </w:tc>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Controller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4000" w:type="dxa"/>
            <w:vAlign w:val="bottom"/>
            <w:gridSpan w:val="4"/>
          </w:tcPr>
          <w:p>
            <w:pPr>
              <w:spacing w:after="0"/>
              <w:rPr>
                <w:sz w:val="20"/>
                <w:szCs w:val="20"/>
                <w:color w:val="auto"/>
              </w:rPr>
            </w:pPr>
            <w:r>
              <w:rPr>
                <w:rFonts w:ascii="Arial" w:cs="Arial" w:eastAsia="Arial" w:hAnsi="Arial"/>
                <w:sz w:val="18"/>
                <w:szCs w:val="18"/>
                <w:color w:val="auto"/>
              </w:rPr>
              <w:t>A majority of the board of directors: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RENT</w:t>
            </w:r>
            <w:r>
              <w:rPr>
                <w:rFonts w:ascii="Arial" w:cs="Arial" w:eastAsia="Arial" w:hAnsi="Arial"/>
                <w:sz w:val="18"/>
                <w:szCs w:val="18"/>
                <w:color w:val="auto"/>
                <w:w w:val="97"/>
              </w:rPr>
              <w:t xml:space="preserve"> D. B</w:t>
            </w:r>
            <w:r>
              <w:rPr>
                <w:rFonts w:ascii="Arial" w:cs="Arial" w:eastAsia="Arial" w:hAnsi="Arial"/>
                <w:sz w:val="14"/>
                <w:szCs w:val="14"/>
                <w:color w:val="auto"/>
                <w:w w:val="97"/>
              </w:rPr>
              <w:t>AIRD</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Brent D. Baird</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7"/>
              </w:rPr>
              <w:t>/s/ C. A</w:t>
            </w:r>
            <w:r>
              <w:rPr>
                <w:rFonts w:ascii="Arial" w:cs="Arial" w:eastAsia="Arial" w:hAnsi="Arial"/>
                <w:sz w:val="14"/>
                <w:szCs w:val="14"/>
                <w:color w:val="auto"/>
                <w:w w:val="97"/>
              </w:rPr>
              <w:t>NGELA</w:t>
            </w:r>
            <w:r>
              <w:rPr>
                <w:rFonts w:ascii="Arial" w:cs="Arial" w:eastAsia="Arial" w:hAnsi="Arial"/>
                <w:sz w:val="18"/>
                <w:szCs w:val="18"/>
                <w:color w:val="auto"/>
                <w:w w:val="97"/>
              </w:rPr>
              <w:t xml:space="preserve"> B</w:t>
            </w:r>
            <w:r>
              <w:rPr>
                <w:rFonts w:ascii="Arial" w:cs="Arial" w:eastAsia="Arial" w:hAnsi="Arial"/>
                <w:sz w:val="14"/>
                <w:szCs w:val="14"/>
                <w:color w:val="auto"/>
                <w:w w:val="97"/>
              </w:rPr>
              <w:t>ONTEMPO</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 Angela Bontempo</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Robert T. Brady</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8"/>
              </w:rPr>
              <w:t>/s/ T. J</w:t>
            </w:r>
            <w:r>
              <w:rPr>
                <w:rFonts w:ascii="Arial" w:cs="Arial" w:eastAsia="Arial" w:hAnsi="Arial"/>
                <w:sz w:val="14"/>
                <w:szCs w:val="14"/>
                <w:color w:val="auto"/>
                <w:w w:val="98"/>
              </w:rPr>
              <w:t>EFFERSON</w:t>
            </w:r>
            <w:r>
              <w:rPr>
                <w:rFonts w:ascii="Arial" w:cs="Arial" w:eastAsia="Arial" w:hAnsi="Arial"/>
                <w:sz w:val="18"/>
                <w:szCs w:val="18"/>
                <w:color w:val="auto"/>
                <w:w w:val="98"/>
              </w:rPr>
              <w:t xml:space="preserve"> C</w:t>
            </w:r>
            <w:r>
              <w:rPr>
                <w:rFonts w:ascii="Arial" w:cs="Arial" w:eastAsia="Arial" w:hAnsi="Arial"/>
                <w:sz w:val="14"/>
                <w:szCs w:val="14"/>
                <w:color w:val="auto"/>
                <w:w w:val="98"/>
              </w:rPr>
              <w:t>UNNINGHAM</w:t>
            </w:r>
            <w:r>
              <w:rPr>
                <w:rFonts w:ascii="Arial" w:cs="Arial" w:eastAsia="Arial" w:hAnsi="Arial"/>
                <w:sz w:val="18"/>
                <w:szCs w:val="18"/>
                <w:color w:val="auto"/>
                <w:w w:val="98"/>
              </w:rPr>
              <w:t xml:space="preserve"> III</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T. Jefferson Cunningham III</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9"/>
              </w:rPr>
              <w:t>/s/ M</w:t>
            </w:r>
            <w:r>
              <w:rPr>
                <w:rFonts w:ascii="Arial" w:cs="Arial" w:eastAsia="Arial" w:hAnsi="Arial"/>
                <w:sz w:val="14"/>
                <w:szCs w:val="14"/>
                <w:color w:val="auto"/>
                <w:w w:val="99"/>
              </w:rPr>
              <w:t>ARK</w:t>
            </w:r>
            <w:r>
              <w:rPr>
                <w:rFonts w:ascii="Arial" w:cs="Arial" w:eastAsia="Arial" w:hAnsi="Arial"/>
                <w:sz w:val="18"/>
                <w:szCs w:val="18"/>
                <w:color w:val="auto"/>
                <w:w w:val="99"/>
              </w:rPr>
              <w:t xml:space="preserve"> J. C</w:t>
            </w:r>
            <w:r>
              <w:rPr>
                <w:rFonts w:ascii="Arial" w:cs="Arial" w:eastAsia="Arial" w:hAnsi="Arial"/>
                <w:sz w:val="14"/>
                <w:szCs w:val="14"/>
                <w:color w:val="auto"/>
                <w:w w:val="99"/>
              </w:rPr>
              <w:t>ZARNECKI</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Mark J. Czarnecki</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5"/>
              </w:rPr>
              <w:t>/s/ G</w:t>
            </w:r>
            <w:r>
              <w:rPr>
                <w:rFonts w:ascii="Arial" w:cs="Arial" w:eastAsia="Arial" w:hAnsi="Arial"/>
                <w:sz w:val="14"/>
                <w:szCs w:val="14"/>
                <w:color w:val="auto"/>
                <w:w w:val="95"/>
              </w:rPr>
              <w:t>ARY</w:t>
            </w:r>
            <w:r>
              <w:rPr>
                <w:rFonts w:ascii="Arial" w:cs="Arial" w:eastAsia="Arial" w:hAnsi="Arial"/>
                <w:sz w:val="18"/>
                <w:szCs w:val="18"/>
                <w:color w:val="auto"/>
                <w:w w:val="95"/>
              </w:rPr>
              <w:t xml:space="preserve"> N. G</w:t>
            </w:r>
            <w:r>
              <w:rPr>
                <w:rFonts w:ascii="Arial" w:cs="Arial" w:eastAsia="Arial" w:hAnsi="Arial"/>
                <w:sz w:val="14"/>
                <w:szCs w:val="14"/>
                <w:color w:val="auto"/>
                <w:w w:val="95"/>
              </w:rPr>
              <w:t>EISEL</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Gary N. Geisel</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220" w:type="dxa"/>
            <w:vAlign w:val="bottom"/>
          </w:tcPr>
          <w:p>
            <w:pPr>
              <w:spacing w:after="0"/>
              <w:rPr>
                <w:sz w:val="24"/>
                <w:szCs w:val="24"/>
                <w:color w:val="auto"/>
              </w:rPr>
            </w:pPr>
          </w:p>
        </w:tc>
        <w:tc>
          <w:tcPr>
            <w:tcW w:w="37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4"/>
              </w:rPr>
              <w:t>/s/ J</w:t>
            </w:r>
            <w:r>
              <w:rPr>
                <w:rFonts w:ascii="Arial" w:cs="Arial" w:eastAsia="Arial" w:hAnsi="Arial"/>
                <w:sz w:val="14"/>
                <w:szCs w:val="14"/>
                <w:color w:val="auto"/>
                <w:w w:val="94"/>
              </w:rPr>
              <w:t>OHN</w:t>
            </w:r>
            <w:r>
              <w:rPr>
                <w:rFonts w:ascii="Arial" w:cs="Arial" w:eastAsia="Arial" w:hAnsi="Arial"/>
                <w:sz w:val="18"/>
                <w:szCs w:val="18"/>
                <w:color w:val="auto"/>
                <w:w w:val="94"/>
              </w:rPr>
              <w:t xml:space="preserve"> D. H</w:t>
            </w:r>
            <w:r>
              <w:rPr>
                <w:rFonts w:ascii="Arial" w:cs="Arial" w:eastAsia="Arial" w:hAnsi="Arial"/>
                <w:sz w:val="14"/>
                <w:szCs w:val="14"/>
                <w:color w:val="auto"/>
                <w:w w:val="94"/>
              </w:rPr>
              <w:t>AWKE</w:t>
            </w:r>
            <w:r>
              <w:rPr>
                <w:rFonts w:ascii="Arial" w:cs="Arial" w:eastAsia="Arial" w:hAnsi="Arial"/>
                <w:sz w:val="18"/>
                <w:szCs w:val="18"/>
                <w:color w:val="auto"/>
                <w:w w:val="94"/>
              </w:rPr>
              <w:t>, J</w:t>
            </w:r>
            <w:r>
              <w:rPr>
                <w:rFonts w:ascii="Arial" w:cs="Arial" w:eastAsia="Arial" w:hAnsi="Arial"/>
                <w:sz w:val="14"/>
                <w:szCs w:val="14"/>
                <w:color w:val="auto"/>
                <w:w w:val="94"/>
              </w:rPr>
              <w:t>R</w:t>
            </w:r>
            <w:r>
              <w:rPr>
                <w:rFonts w:ascii="Arial" w:cs="Arial" w:eastAsia="Arial" w:hAnsi="Arial"/>
                <w:sz w:val="18"/>
                <w:szCs w:val="18"/>
                <w:color w:val="auto"/>
                <w:w w:val="94"/>
              </w:rPr>
              <w:t>.</w:t>
            </w: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gridSpan w:val="3"/>
          </w:tcPr>
          <w:p>
            <w:pPr>
              <w:jc w:val="center"/>
              <w:ind w:left="934"/>
              <w:spacing w:after="0"/>
              <w:rPr>
                <w:sz w:val="20"/>
                <w:szCs w:val="20"/>
                <w:color w:val="auto"/>
              </w:rPr>
            </w:pPr>
            <w:r>
              <w:rPr>
                <w:rFonts w:ascii="Arial" w:cs="Arial" w:eastAsia="Arial" w:hAnsi="Arial"/>
                <w:sz w:val="18"/>
                <w:szCs w:val="18"/>
                <w:color w:val="auto"/>
                <w:w w:val="88"/>
              </w:rPr>
              <w:t>February 21, 2014</w:t>
            </w:r>
          </w:p>
        </w:tc>
      </w:tr>
      <w:tr>
        <w:trPr>
          <w:trHeight w:val="216"/>
        </w:trPr>
        <w:tc>
          <w:tcPr>
            <w:tcW w:w="220" w:type="dxa"/>
            <w:vAlign w:val="bottom"/>
          </w:tcPr>
          <w:p>
            <w:pPr>
              <w:spacing w:after="0"/>
              <w:rPr>
                <w:sz w:val="18"/>
                <w:szCs w:val="18"/>
                <w:color w:val="auto"/>
              </w:rPr>
            </w:pPr>
          </w:p>
        </w:tc>
        <w:tc>
          <w:tcPr>
            <w:tcW w:w="37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John D. Hawke, Jr.</w:t>
            </w: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1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ATRICK</w:t>
      </w:r>
      <w:r>
        <w:rPr>
          <w:rFonts w:ascii="Arial" w:cs="Arial" w:eastAsia="Arial" w:hAnsi="Arial"/>
          <w:sz w:val="18"/>
          <w:szCs w:val="18"/>
          <w:color w:val="auto"/>
        </w:rPr>
        <w:t xml:space="preserve"> W.E. H</w:t>
      </w:r>
      <w:r>
        <w:rPr>
          <w:rFonts w:ascii="Arial" w:cs="Arial" w:eastAsia="Arial" w:hAnsi="Arial"/>
          <w:sz w:val="14"/>
          <w:szCs w:val="14"/>
          <w:color w:val="auto"/>
        </w:rPr>
        <w:t>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009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Patrick W.E. Hodgson</w:t>
      </w:r>
    </w:p>
    <w:p>
      <w:pPr>
        <w:spacing w:after="0" w:line="239"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G. K</w:t>
      </w:r>
      <w:r>
        <w:rPr>
          <w:rFonts w:ascii="Arial" w:cs="Arial" w:eastAsia="Arial" w:hAnsi="Arial"/>
          <w:sz w:val="14"/>
          <w:szCs w:val="14"/>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009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Richard G.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294005</wp:posOffset>
            </wp:positionV>
            <wp:extent cx="24009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Jorge G. Pereira</w:t>
      </w:r>
    </w:p>
    <w:p>
      <w:pPr>
        <w:spacing w:after="0" w:line="239"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ELINDA</w:t>
      </w:r>
      <w:r>
        <w:rPr>
          <w:rFonts w:ascii="Arial" w:cs="Arial" w:eastAsia="Arial" w:hAnsi="Arial"/>
          <w:sz w:val="18"/>
          <w:szCs w:val="18"/>
          <w:color w:val="auto"/>
        </w:rPr>
        <w:t xml:space="preserve"> R. R</w:t>
      </w:r>
      <w:r>
        <w:rPr>
          <w:rFonts w:ascii="Arial" w:cs="Arial" w:eastAsia="Arial" w:hAnsi="Arial"/>
          <w:sz w:val="14"/>
          <w:szCs w:val="14"/>
          <w:color w:val="auto"/>
        </w:rPr>
        <w: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009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Melinda R. Rich</w:t>
      </w:r>
    </w:p>
    <w:p>
      <w:pPr>
        <w:spacing w:after="0" w:line="239"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E. S</w:t>
      </w:r>
      <w:r>
        <w:rPr>
          <w:rFonts w:ascii="Arial" w:cs="Arial" w:eastAsia="Arial" w:hAnsi="Arial"/>
          <w:sz w:val="14"/>
          <w:szCs w:val="14"/>
          <w:color w:val="auto"/>
        </w:rPr>
        <w:t>ADLER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009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Robert E. Sadler, Jr.</w:t>
      </w:r>
    </w:p>
    <w:p>
      <w:pPr>
        <w:spacing w:after="0" w:line="239"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/s/ H</w:t>
      </w:r>
      <w:r>
        <w:rPr>
          <w:rFonts w:ascii="Arial" w:cs="Arial" w:eastAsia="Arial" w:hAnsi="Arial"/>
          <w:sz w:val="13"/>
          <w:szCs w:val="13"/>
          <w:color w:val="auto"/>
        </w:rPr>
        <w:t>ERBERT</w:t>
      </w:r>
      <w:r>
        <w:rPr>
          <w:rFonts w:ascii="Arial" w:cs="Arial" w:eastAsia="Arial" w:hAnsi="Arial"/>
          <w:sz w:val="16"/>
          <w:szCs w:val="16"/>
          <w:color w:val="auto"/>
        </w:rPr>
        <w:t xml:space="preserve"> L. W</w:t>
      </w:r>
      <w:r>
        <w:rPr>
          <w:rFonts w:ascii="Arial" w:cs="Arial" w:eastAsia="Arial" w:hAnsi="Arial"/>
          <w:sz w:val="13"/>
          <w:szCs w:val="13"/>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25400</wp:posOffset>
            </wp:positionV>
            <wp:extent cx="24009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6"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Herbert L. Washington</w:t>
      </w:r>
    </w:p>
    <w:p>
      <w:pPr>
        <w:spacing w:after="0" w:line="239"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4009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Robert G. Wilmers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21, 2014</w:t>
      </w:r>
    </w:p>
    <w:p>
      <w:pPr>
        <w:sectPr>
          <w:pgSz w:w="11900" w:h="16838" w:orient="portrait"/>
          <w:cols w:equalWidth="0" w:num="2">
            <w:col w:w="8340" w:space="720"/>
            <w:col w:w="1300"/>
          </w:cols>
          <w:pgMar w:left="240" w:top="459" w:right="1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9920" w:type="dxa"/>
            <w:vAlign w:val="bottom"/>
          </w:tcPr>
          <w:p>
            <w:pPr>
              <w:spacing w:after="0"/>
              <w:rPr>
                <w:sz w:val="19"/>
                <w:szCs w:val="19"/>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2.1</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Agreement and Plan of Merger, dated as of August 27, 2012, by and among M&amp;T Bank Corporation, Hudson City Bancorp, Inc. and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Wilmington Trust Corporation. Incorporated by reference to Exhibit 2.1 to the Form 8-K dated August 31, 2012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2.2</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1, dated as of April 13, 2013, to Agreement and Plan of Merger, dated as of August 27, 2012, by and among M&amp;T Bank</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Corporation, Hudson City Bancorp., Inc. and Wilmington Trust Corporation. Incorporated by reference to Exhibit 2.1 to the Form 8-K</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dated April 13, 2013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2.3</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2, dated as of December 16, 2013, to Agreement and Plan of Merger, dated as of August 27, 2012, by and among M&amp;T</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Bank Corporation, Hudson City Bancorp., Inc. and Wilmington Trust Corporation. Incorporated by reference to Exhibit 2.1 to the Form</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8-K dated December 17, 2013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3.1</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Restated Certificate of Incorporation of M&amp;T Bank Corporation dated November 18, 2010. Incorporated by reference to Exhibit 3.1 to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3.2</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Amended and Restated Bylaws of M&amp;T Bank Corporation, effective November 16, 2010. Incorporated by reference to Exhibit 3.2 to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3.3</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Certificate of Amendment to Certificate of Incorporation with respect to Perpetual 6.875% Non-Cumulative Preferred Stock, Series 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dated May 26, 2011. Incorporated by reference to Exhibit 99.2 of M&amp;T Bank Corporation’s Form 8-K dated May 26, 2011 (File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3.4</w:t>
            </w: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Certificate of Amendment to Restated Certificate of Incorporation of M&amp;T Bank Corporation, dated April 19, 2013. Incorporated by</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reference to Exhibit 3.1 to the Form 8-K dated April 22, 2013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3.5</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Certificate of Amendment to Restated Certificate of Incorporation of M&amp;T Bank Corporation, dated February 11, 2014. Incorporated by</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reference to Exhibit 3.1 to the Form 8-K dated February 11, 2014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4.1</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There are no instruments with respect to long-term debt of M&amp;T Bank Corporation and its subsidiaries that involve securities authorized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88"/>
              </w:rPr>
              <w:t>under the instrument in an amount exceeding 10 percent of the total assets of M&amp;T Bank Corporation and its subsidiaries on a consolidated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basis. M&amp;T Bank Corporation agrees to provide the SEC with a copy of instruments defining the rights of holders of long-term debt of</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M&amp;T Bank Corporation and its subsidiaries on request.</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4.2</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Warrant to purchase shares of M&amp;T Bank Corporation Common Stock dated as of March 26, 2010. Incorporated by reference to Exhibit</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4.2 to the Form 10-K for the year ended December 31, 2012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4.3</w:t>
            </w: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Warrant to purchase shares of M&amp;T Bank Corporation Common Stock effective May 16, 2011. Incorporated by reference to Exhibit 4.1 to</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the Form 8-K dated May 19, 2011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4.4</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Warrant Agreement (including Form of Warrant), dated as of December 11, 2012, between M&amp;T Bank Corporation and Registrar and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Transfer Company. Incorporated by reference to Exhibit 4.1 to the Form 8-A dated December 12, 2012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Credit Agreement, dated as of December 15, 2000, between M&amp;T Bank Corporation and Citibank, N.A. Incorporated by reference to</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Exhibit 10.1 to the Form 10-K for the year ended December 31, 2000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10.2</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1, dated December 9, 2003, to the Credit Agreement, dated as of December 15, 2000, between M&amp;T Bank Corporation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and Citibank, N.A. Incorporated by reference to Exhibit 10.3 to the Form 10-K for the year ended December 31, 2003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10.3</w:t>
            </w:r>
          </w:p>
        </w:tc>
        <w:tc>
          <w:tcPr>
            <w:tcW w:w="9920" w:type="dxa"/>
            <w:vAlign w:val="bottom"/>
          </w:tcPr>
          <w:p>
            <w:pPr>
              <w:ind w:left="120"/>
              <w:spacing w:after="0"/>
              <w:rPr>
                <w:sz w:val="20"/>
                <w:szCs w:val="20"/>
                <w:color w:val="auto"/>
              </w:rPr>
            </w:pPr>
            <w:r>
              <w:rPr>
                <w:rFonts w:ascii="Arial" w:cs="Arial" w:eastAsia="Arial" w:hAnsi="Arial"/>
                <w:sz w:val="18"/>
                <w:szCs w:val="18"/>
                <w:color w:val="auto"/>
                <w:w w:val="88"/>
              </w:rPr>
              <w:t>Amendment No. 2, dated January 30, 2009, to the Credit Agreement, dated as of December 15, 2000, between M&amp;T Bank Corporation and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Citibank, N.A. Incorporated by reference to Exhibit 10.3 to the Form 10-K for the year ended December 31, 2008 (File No. 1-9861).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Amendment No. 3, dated December 4, 2009, to the Credit Agreement, dated as of December 15, 2000, between M&amp;T Bank Corporation</w:t>
            </w:r>
          </w:p>
        </w:tc>
      </w:tr>
      <w:tr>
        <w:trPr>
          <w:trHeight w:val="222"/>
        </w:trPr>
        <w:tc>
          <w:tcPr>
            <w:tcW w:w="1500" w:type="dxa"/>
            <w:vAlign w:val="bottom"/>
          </w:tcPr>
          <w:p>
            <w:pPr>
              <w:spacing w:after="0"/>
              <w:rPr>
                <w:sz w:val="19"/>
                <w:szCs w:val="19"/>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and Citibank, N.A. Incorporated by reference to Exhibit 10.4 to the Form 10-K for the year ended December 31, 2009 (File No. 1-9861).</w:t>
            </w:r>
          </w:p>
        </w:tc>
      </w:tr>
      <w:tr>
        <w:trPr>
          <w:trHeight w:val="312"/>
        </w:trPr>
        <w:tc>
          <w:tcPr>
            <w:tcW w:w="1500" w:type="dxa"/>
            <w:vAlign w:val="bottom"/>
          </w:tcPr>
          <w:p>
            <w:pPr>
              <w:spacing w:after="0"/>
              <w:rPr>
                <w:sz w:val="24"/>
                <w:szCs w:val="24"/>
                <w:color w:val="auto"/>
              </w:rPr>
            </w:pPr>
          </w:p>
        </w:tc>
        <w:tc>
          <w:tcPr>
            <w:tcW w:w="9920" w:type="dxa"/>
            <w:vAlign w:val="bottom"/>
          </w:tcPr>
          <w:p>
            <w:pPr>
              <w:ind w:left="9720"/>
              <w:spacing w:after="0"/>
              <w:rPr>
                <w:sz w:val="20"/>
                <w:szCs w:val="20"/>
                <w:color w:val="auto"/>
              </w:rPr>
            </w:pPr>
            <w:r>
              <w:rPr>
                <w:rFonts w:ascii="Arial" w:cs="Arial" w:eastAsia="Arial" w:hAnsi="Arial"/>
                <w:sz w:val="14"/>
                <w:szCs w:val="14"/>
                <w:color w:val="auto"/>
                <w:w w:val="76"/>
              </w:rPr>
              <w:t>177</w:t>
            </w: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Amendment No. 4, dated December 3, 2010, to the Credit Agreement, dated as of December 15, 2000, between M&amp;T Bank Corporation</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and Citibank, N.A. Incorporated by reference to Exhibit 10.5 to the Form 10-K for the year ended December 31, 2010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Amendment No. 5, dated November 21, 2011, to the Credit Agreement, dated as of December 15, 2000, between M&amp;T Bank Corporation</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and Citibank, N.A. Incorporated by reference to Exhibit 10.6 to the Form 10-K for the year ended December 31, 2011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Amendment No. 6, dated November 26, 2012, to the Credit Agreement, dated as of December 15, 2000, between M&amp;T Bank Corporation</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and Citibank, N.A. Incorporated by reference to Exhibit 10.7 to the Form 10-K for the year ended December 31, 2012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Amendment No. 7, dated November 22, 2013, to the Credit Agreement, dated as of December 15, 2000, between M&amp;T Bank Corporation</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and Citibank, N.A. Filed herewith.</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tcPr>
          <w:p>
            <w:pPr>
              <w:ind w:left="620"/>
              <w:spacing w:after="0"/>
              <w:rPr>
                <w:sz w:val="20"/>
                <w:szCs w:val="20"/>
                <w:color w:val="auto"/>
              </w:rPr>
            </w:pPr>
            <w:r>
              <w:rPr>
                <w:rFonts w:ascii="Arial" w:cs="Arial" w:eastAsia="Arial" w:hAnsi="Arial"/>
                <w:sz w:val="18"/>
                <w:szCs w:val="18"/>
                <w:color w:val="auto"/>
                <w:w w:val="96"/>
              </w:rPr>
              <w:t>M&amp;T Bank Corporation 2001 Stock Option Plan. Incorporated by reference to Appendix A to the Proxy Statement of M&amp;T Bank</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Corporation dated March 6, 2001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M&amp;T Bank Corporation Annual Executive Incentive Plan. Incorporated by reference to Exhibit No. 10.3 to the Form 10-Q for the quarter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ended June 30, 1998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Supplemental Deferred Compensation Agreement between Manufacturers and Traders Trust Company and Brian E. Hickey dated as of</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July 21, 1994. Incorporated by reference to Exhibit 10.8 to the Form 10-K for the year ended December 31, 1995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620"/>
              <w:spacing w:after="0"/>
              <w:rPr>
                <w:sz w:val="20"/>
                <w:szCs w:val="20"/>
                <w:color w:val="auto"/>
              </w:rPr>
            </w:pPr>
            <w:r>
              <w:rPr>
                <w:rFonts w:ascii="Arial" w:cs="Arial" w:eastAsia="Arial" w:hAnsi="Arial"/>
                <w:sz w:val="18"/>
                <w:szCs w:val="18"/>
                <w:color w:val="auto"/>
                <w:w w:val="87"/>
              </w:rPr>
              <w:t>First amendment, dated as of August 1, 2006, to the Supplemental Deferred Compensation Agreement between Manufacturers and Traders</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Trust Company and Brian E. Hickey dated as of July 21, 1994. Incorporated by reference to Exhibit 10.2 to the Form 10-Q for the quarter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ended September 30, 2006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620"/>
              <w:spacing w:after="0"/>
              <w:rPr>
                <w:sz w:val="20"/>
                <w:szCs w:val="20"/>
                <w:color w:val="auto"/>
              </w:rPr>
            </w:pPr>
            <w:r>
              <w:rPr>
                <w:rFonts w:ascii="Arial" w:cs="Arial" w:eastAsia="Arial" w:hAnsi="Arial"/>
                <w:sz w:val="18"/>
                <w:szCs w:val="18"/>
                <w:color w:val="auto"/>
                <w:w w:val="95"/>
              </w:rPr>
              <w:t>Supplemental Deferred Compensation Agreement, dated July 17, 1989, between The East New York Savings Bank and Atwood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4"/>
              </w:rPr>
              <w:t>Collins, III. Incorporated by reference to Exhibit 10.11 to the Form 10-K for the year ended December 31, 1991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First amendment, dated as of August 1, 2006, to the Supplemental Deferred Compensation Agreement, dated July 17, 1989, between The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w w:val="91"/>
              </w:rPr>
              <w:t>East New York Savings Bank and Atwood Collins, III. Incorporated by reference to Exhibit 10.3 to the Form 10-Q for the quarter ended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September 30, 2006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620"/>
              <w:spacing w:after="0"/>
              <w:rPr>
                <w:sz w:val="20"/>
                <w:szCs w:val="20"/>
                <w:color w:val="auto"/>
              </w:rPr>
            </w:pPr>
            <w:r>
              <w:rPr>
                <w:rFonts w:ascii="Arial" w:cs="Arial" w:eastAsia="Arial" w:hAnsi="Arial"/>
                <w:sz w:val="18"/>
                <w:szCs w:val="18"/>
                <w:color w:val="auto"/>
                <w:w w:val="88"/>
              </w:rPr>
              <w:t>Consulting Agreement, dated as of June 28, 2012, between M&amp;T Bank Corporation and Robert E. Sadler, Jr. Incorporated by reference to</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Exhibit 10.2 to the Form 8-K dated December 10, 2012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M&amp;T Bank Corporation Supplemental Pension Plan, as amended and restated. Incorporated by reference to Exhibit 10.1 to the Form 8-K</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dated November 15,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tcPr>
          <w:p>
            <w:pPr>
              <w:ind w:left="620"/>
              <w:spacing w:after="0"/>
              <w:rPr>
                <w:sz w:val="20"/>
                <w:szCs w:val="20"/>
                <w:color w:val="auto"/>
              </w:rPr>
            </w:pPr>
            <w:r>
              <w:rPr>
                <w:rFonts w:ascii="Arial" w:cs="Arial" w:eastAsia="Arial" w:hAnsi="Arial"/>
                <w:sz w:val="18"/>
                <w:szCs w:val="18"/>
                <w:color w:val="auto"/>
                <w:w w:val="95"/>
              </w:rPr>
              <w:t>M&amp;T Bank Corporation Supplemental Retirement Savings Plan. Incorporated by reference to Exhibit 10.2 to the Form 8-K dated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November 15,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M&amp;T Bank Corporation Deferred Bonus Plan, as amended and restated. Incorporated by reference to Exhibit 10.12 to the Form 10-K for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the year ended December 31, 2004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M&amp;T Bank Corporation 2008 Directors’ Stock Plan. Incorporated by reference to Exhibit 4.1 to the Form S-8 dated April 7, 2008 (File</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No. 333-150122).*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M&amp;T Bank Corporation 2008 Directors’ Stock Plan, as amended. Incorporated by reference to Exhibit 4.1 to the Form S-8 dated October</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19, 2012 (File No. 333-184504).*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380" w:type="dxa"/>
            <w:vAlign w:val="bottom"/>
          </w:tcPr>
          <w:p>
            <w:pPr>
              <w:ind w:left="620"/>
              <w:spacing w:after="0"/>
              <w:rPr>
                <w:sz w:val="20"/>
                <w:szCs w:val="20"/>
                <w:color w:val="auto"/>
              </w:rPr>
            </w:pPr>
            <w:r>
              <w:rPr>
                <w:rFonts w:ascii="Arial" w:cs="Arial" w:eastAsia="Arial" w:hAnsi="Arial"/>
                <w:sz w:val="18"/>
                <w:szCs w:val="18"/>
                <w:color w:val="auto"/>
                <w:w w:val="89"/>
              </w:rPr>
              <w:t>Keystone Financial, Inc. 1992 Director Fee Plan. Incorporated by reference to Exhibit 10.11 to the Form 10-K of Keystone Financial, Inc.</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for the year ended December 31, 1999 (File No. 000-11460).*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10380" w:type="dxa"/>
            <w:vAlign w:val="bottom"/>
          </w:tcPr>
          <w:p>
            <w:pPr>
              <w:ind w:left="620"/>
              <w:spacing w:after="0"/>
              <w:rPr>
                <w:sz w:val="20"/>
                <w:szCs w:val="20"/>
                <w:color w:val="auto"/>
              </w:rPr>
            </w:pPr>
            <w:r>
              <w:rPr>
                <w:rFonts w:ascii="Arial" w:cs="Arial" w:eastAsia="Arial" w:hAnsi="Arial"/>
                <w:sz w:val="18"/>
                <w:szCs w:val="18"/>
                <w:color w:val="auto"/>
                <w:w w:val="90"/>
              </w:rPr>
              <w:t>M&amp;T Bank Corporation Employee Stock Purchase Plan. Incorporated by reference to Exhibit 10.22 to the Form 10-K for the year ended</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December 31, 2012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380" w:type="dxa"/>
            <w:vAlign w:val="bottom"/>
          </w:tcPr>
          <w:p>
            <w:pPr>
              <w:ind w:left="620"/>
              <w:spacing w:after="0"/>
              <w:rPr>
                <w:sz w:val="20"/>
                <w:szCs w:val="20"/>
                <w:color w:val="auto"/>
              </w:rPr>
            </w:pPr>
            <w:r>
              <w:rPr>
                <w:rFonts w:ascii="Arial" w:cs="Arial" w:eastAsia="Arial" w:hAnsi="Arial"/>
                <w:sz w:val="18"/>
                <w:szCs w:val="18"/>
                <w:color w:val="auto"/>
                <w:w w:val="92"/>
              </w:rPr>
              <w:t>M&amp;T Bank Corporation 2005 Incentive Compensation Plan. Incorporated by reference to Appendix A to the Proxy Statement of M&amp;T</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Bank Corporation dated March 4, 2005 (File No. 1-9861).*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380" w:type="dxa"/>
            <w:vAlign w:val="bottom"/>
          </w:tcPr>
          <w:p>
            <w:pPr>
              <w:ind w:left="620"/>
              <w:spacing w:after="0"/>
              <w:rPr>
                <w:sz w:val="20"/>
                <w:szCs w:val="20"/>
                <w:color w:val="auto"/>
              </w:rPr>
            </w:pPr>
            <w:r>
              <w:rPr>
                <w:rFonts w:ascii="Arial" w:cs="Arial" w:eastAsia="Arial" w:hAnsi="Arial"/>
                <w:sz w:val="18"/>
                <w:szCs w:val="18"/>
                <w:color w:val="auto"/>
                <w:w w:val="91"/>
              </w:rPr>
              <w:t>M&amp;T Bank Corporation 2009 Equity Incentive Compensation Plan. Incorporated by reference to Appendix A to the Proxy Statement of</w:t>
            </w:r>
          </w:p>
        </w:tc>
      </w:tr>
      <w:tr>
        <w:trPr>
          <w:trHeight w:val="216"/>
        </w:trPr>
        <w:tc>
          <w:tcPr>
            <w:tcW w:w="1000" w:type="dxa"/>
            <w:vAlign w:val="bottom"/>
          </w:tcPr>
          <w:p>
            <w:pPr>
              <w:spacing w:after="0"/>
              <w:rPr>
                <w:sz w:val="18"/>
                <w:szCs w:val="18"/>
                <w:color w:val="auto"/>
              </w:rPr>
            </w:pPr>
          </w:p>
        </w:tc>
        <w:tc>
          <w:tcPr>
            <w:tcW w:w="10380" w:type="dxa"/>
            <w:vAlign w:val="bottom"/>
          </w:tcPr>
          <w:p>
            <w:pPr>
              <w:ind w:left="620"/>
              <w:spacing w:after="0"/>
              <w:rPr>
                <w:sz w:val="20"/>
                <w:szCs w:val="20"/>
                <w:color w:val="auto"/>
              </w:rPr>
            </w:pPr>
            <w:r>
              <w:rPr>
                <w:rFonts w:ascii="Arial" w:cs="Arial" w:eastAsia="Arial" w:hAnsi="Arial"/>
                <w:sz w:val="18"/>
                <w:szCs w:val="18"/>
                <w:color w:val="auto"/>
              </w:rPr>
              <w:t>M&amp;T Bank Corporation dated March 6, 2009 (File No. 1-9861).*</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10380" w:type="dxa"/>
            <w:vAlign w:val="bottom"/>
          </w:tcPr>
          <w:p>
            <w:pPr>
              <w:ind w:left="620"/>
              <w:spacing w:after="0"/>
              <w:rPr>
                <w:sz w:val="20"/>
                <w:szCs w:val="20"/>
                <w:color w:val="auto"/>
              </w:rPr>
            </w:pPr>
            <w:r>
              <w:rPr>
                <w:rFonts w:ascii="Arial" w:cs="Arial" w:eastAsia="Arial" w:hAnsi="Arial"/>
                <w:sz w:val="18"/>
                <w:szCs w:val="18"/>
                <w:color w:val="auto"/>
              </w:rPr>
              <w:t>M&amp;T Bank Corporation Form of Restricted Stock Award Agreement. Filed herewith.*</w:t>
            </w:r>
          </w:p>
        </w:tc>
      </w:tr>
      <w:tr>
        <w:trPr>
          <w:trHeight w:val="312"/>
        </w:trPr>
        <w:tc>
          <w:tcPr>
            <w:tcW w:w="1000" w:type="dxa"/>
            <w:vAlign w:val="bottom"/>
          </w:tcPr>
          <w:p>
            <w:pPr>
              <w:spacing w:after="0"/>
              <w:rPr>
                <w:sz w:val="20"/>
                <w:szCs w:val="20"/>
                <w:color w:val="auto"/>
              </w:rPr>
            </w:pPr>
            <w:r>
              <w:rPr>
                <w:rFonts w:ascii="Arial" w:cs="Arial" w:eastAsia="Arial" w:hAnsi="Arial"/>
                <w:sz w:val="14"/>
                <w:szCs w:val="14"/>
                <w:color w:val="auto"/>
              </w:rPr>
              <w:t>178</w:t>
            </w:r>
          </w:p>
        </w:tc>
        <w:tc>
          <w:tcPr>
            <w:tcW w:w="1038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10.26</w:t>
            </w:r>
          </w:p>
        </w:tc>
        <w:tc>
          <w:tcPr>
            <w:tcW w:w="10160" w:type="dxa"/>
            <w:vAlign w:val="bottom"/>
          </w:tcPr>
          <w:p>
            <w:pPr>
              <w:ind w:left="400"/>
              <w:spacing w:after="0"/>
              <w:rPr>
                <w:sz w:val="20"/>
                <w:szCs w:val="20"/>
                <w:color w:val="auto"/>
              </w:rPr>
            </w:pPr>
            <w:r>
              <w:rPr>
                <w:rFonts w:ascii="Arial" w:cs="Arial" w:eastAsia="Arial" w:hAnsi="Arial"/>
                <w:sz w:val="18"/>
                <w:szCs w:val="18"/>
                <w:color w:val="auto"/>
              </w:rPr>
              <w:t>M&amp;T Bank Corporation Form of Restricted Stock Unit Award Agreement.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10.27</w:t>
            </w:r>
          </w:p>
        </w:tc>
        <w:tc>
          <w:tcPr>
            <w:tcW w:w="10160" w:type="dxa"/>
            <w:vAlign w:val="bottom"/>
          </w:tcPr>
          <w:p>
            <w:pPr>
              <w:ind w:left="400"/>
              <w:spacing w:after="0"/>
              <w:rPr>
                <w:sz w:val="20"/>
                <w:szCs w:val="20"/>
                <w:color w:val="auto"/>
              </w:rPr>
            </w:pPr>
            <w:r>
              <w:rPr>
                <w:rFonts w:ascii="Arial" w:cs="Arial" w:eastAsia="Arial" w:hAnsi="Arial"/>
                <w:sz w:val="18"/>
                <w:szCs w:val="18"/>
                <w:color w:val="auto"/>
              </w:rPr>
              <w:t>M&amp;T Bank Corporation Form of Performance-Vested Restricted Stock Unit Award Agreement.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10.28</w:t>
            </w:r>
          </w:p>
        </w:tc>
        <w:tc>
          <w:tcPr>
            <w:tcW w:w="10160" w:type="dxa"/>
            <w:vAlign w:val="bottom"/>
          </w:tcPr>
          <w:p>
            <w:pPr>
              <w:ind w:left="400"/>
              <w:spacing w:after="0"/>
              <w:rPr>
                <w:sz w:val="20"/>
                <w:szCs w:val="20"/>
                <w:color w:val="auto"/>
              </w:rPr>
            </w:pPr>
            <w:r>
              <w:rPr>
                <w:rFonts w:ascii="Arial" w:cs="Arial" w:eastAsia="Arial" w:hAnsi="Arial"/>
                <w:sz w:val="18"/>
                <w:szCs w:val="18"/>
                <w:color w:val="auto"/>
                <w:w w:val="92"/>
              </w:rPr>
              <w:t>M&amp;T Bank Corporation Employee Severance Plan. Incorporated by reference to Exhibit 10.2 to the Form 10-Q for the quarter ended</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March 31, 2005 (File No. 1-9861).*</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10.29</w:t>
            </w:r>
          </w:p>
        </w:tc>
        <w:tc>
          <w:tcPr>
            <w:tcW w:w="10160" w:type="dxa"/>
            <w:vAlign w:val="bottom"/>
          </w:tcPr>
          <w:p>
            <w:pPr>
              <w:ind w:left="400"/>
              <w:spacing w:after="0"/>
              <w:rPr>
                <w:sz w:val="20"/>
                <w:szCs w:val="20"/>
                <w:color w:val="auto"/>
              </w:rPr>
            </w:pPr>
            <w:r>
              <w:rPr>
                <w:rFonts w:ascii="Arial" w:cs="Arial" w:eastAsia="Arial" w:hAnsi="Arial"/>
                <w:sz w:val="18"/>
                <w:szCs w:val="18"/>
                <w:color w:val="auto"/>
                <w:w w:val="88"/>
              </w:rPr>
              <w:t>Provident Bankshares Corporation Amended and Restated Stock Option Plan. Incorporated by reference to Exhibit 4.1 to the Registration</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Statement on Form S-8 dated June 5, 2009 (File No. 333-159795).*</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10.30</w:t>
            </w:r>
          </w:p>
        </w:tc>
        <w:tc>
          <w:tcPr>
            <w:tcW w:w="10160" w:type="dxa"/>
            <w:vAlign w:val="bottom"/>
          </w:tcPr>
          <w:p>
            <w:pPr>
              <w:ind w:left="400"/>
              <w:spacing w:after="0"/>
              <w:rPr>
                <w:sz w:val="20"/>
                <w:szCs w:val="20"/>
                <w:color w:val="auto"/>
              </w:rPr>
            </w:pPr>
            <w:r>
              <w:rPr>
                <w:rFonts w:ascii="Arial" w:cs="Arial" w:eastAsia="Arial" w:hAnsi="Arial"/>
                <w:sz w:val="18"/>
                <w:szCs w:val="18"/>
                <w:color w:val="auto"/>
                <w:w w:val="88"/>
              </w:rPr>
              <w:t>Provident Bankshares Corporation 2004 Equity Compensation Plan. Incorporated by reference to Exhibit 4.2 to the Registration Statement</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on Form S-8 dated June 5, 2009 (File No. 333-159795).*</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10.31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Wilmington Trust Corporation Amended and Restated 2002 Long-Term Incentive Plan. Incorporated by reference to Exhibit 10.64 to the</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Form 10-Q of Wilmington Trust Corporation filed on November 9, 2004 (File No. 1-14659).*</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10.32</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Wilmington Trust Corporation Amended and Restated 2005 Long-Term Incentive Plan. Incorporated by reference to Exhibit 10.21 to the</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Form 10-K of Wilmington Trust Corporation filed on February 29, 2008 (File No. 1-14659).*</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10.33</w:t>
            </w:r>
          </w:p>
        </w:tc>
        <w:tc>
          <w:tcPr>
            <w:tcW w:w="10160" w:type="dxa"/>
            <w:vAlign w:val="bottom"/>
          </w:tcPr>
          <w:p>
            <w:pPr>
              <w:ind w:left="400"/>
              <w:spacing w:after="0"/>
              <w:rPr>
                <w:sz w:val="20"/>
                <w:szCs w:val="20"/>
                <w:color w:val="auto"/>
              </w:rPr>
            </w:pPr>
            <w:r>
              <w:rPr>
                <w:rFonts w:ascii="Arial" w:cs="Arial" w:eastAsia="Arial" w:hAnsi="Arial"/>
                <w:sz w:val="18"/>
                <w:szCs w:val="18"/>
                <w:color w:val="auto"/>
                <w:w w:val="96"/>
              </w:rPr>
              <w:t>Wilmington Trust Corporation 2009 Long-Term Incentive Plan. Incorporated by reference to Exhibit D to the Proxy Statement of</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Wilmington Trust Corporation filed on March 16, 2009 (File No. 1-14659).*</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11.1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Statement re: Computation of Earnings Per Common Share. Incorporated by reference to note 14 of Notes to Financial Statements filed</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herewith in Part II, Item 8, “Financial Statements and Supplementary Data.”</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12.1</w:t>
            </w:r>
          </w:p>
        </w:tc>
        <w:tc>
          <w:tcPr>
            <w:tcW w:w="10160" w:type="dxa"/>
            <w:vAlign w:val="bottom"/>
          </w:tcPr>
          <w:p>
            <w:pPr>
              <w:ind w:left="40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14.1</w:t>
            </w:r>
          </w:p>
        </w:tc>
        <w:tc>
          <w:tcPr>
            <w:tcW w:w="10160" w:type="dxa"/>
            <w:vAlign w:val="bottom"/>
          </w:tcPr>
          <w:p>
            <w:pPr>
              <w:ind w:left="400"/>
              <w:spacing w:after="0"/>
              <w:rPr>
                <w:sz w:val="20"/>
                <w:szCs w:val="20"/>
                <w:color w:val="auto"/>
              </w:rPr>
            </w:pPr>
            <w:r>
              <w:rPr>
                <w:rFonts w:ascii="Arial" w:cs="Arial" w:eastAsia="Arial" w:hAnsi="Arial"/>
                <w:sz w:val="18"/>
                <w:szCs w:val="18"/>
                <w:color w:val="auto"/>
                <w:w w:val="90"/>
              </w:rPr>
              <w:t>M&amp;T Bank Corporation Code of Ethics for CEO and Senior Financial Officers. Incorporated by reference to Exhibit 14.1 to the Form 10-</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K for the year ended December 31, 2003 (File No. 1-9861).</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21.1</w:t>
            </w:r>
          </w:p>
        </w:tc>
        <w:tc>
          <w:tcPr>
            <w:tcW w:w="10160" w:type="dxa"/>
            <w:vAlign w:val="bottom"/>
          </w:tcPr>
          <w:p>
            <w:pPr>
              <w:ind w:left="400"/>
              <w:spacing w:after="0"/>
              <w:rPr>
                <w:sz w:val="20"/>
                <w:szCs w:val="20"/>
                <w:color w:val="auto"/>
              </w:rPr>
            </w:pPr>
            <w:r>
              <w:rPr>
                <w:rFonts w:ascii="Arial" w:cs="Arial" w:eastAsia="Arial" w:hAnsi="Arial"/>
                <w:sz w:val="18"/>
                <w:szCs w:val="18"/>
                <w:color w:val="auto"/>
              </w:rPr>
              <w:t>Subsidiaries of the Registrant. Incorporated by reference to the caption “Subsidiaries” contained in Part I, Item 1 hereof.</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23.1</w:t>
            </w: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Consent of PricewaterhouseCoopers LLP re: Registration Statement Nos. 333-57330, 333-63660, 33-12207, 33-58500, 333-43171, 333-</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w w:val="88"/>
              </w:rPr>
              <w:t>43175, 333-63985, 333-97031, 33-32044, 333-16077, 333-84384, 333-127406, 333-150122, 333-164015, 333-163992, 333-160769, 333-</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159795, 333-170740, 333-182348, 333-189099 and 333-189097.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31.1</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32.1</w:t>
            </w:r>
          </w:p>
        </w:tc>
        <w:tc>
          <w:tcPr>
            <w:tcW w:w="10160" w:type="dxa"/>
            <w:vAlign w:val="bottom"/>
          </w:tcPr>
          <w:p>
            <w:pPr>
              <w:ind w:left="400"/>
              <w:spacing w:after="0"/>
              <w:rPr>
                <w:sz w:val="20"/>
                <w:szCs w:val="20"/>
                <w:color w:val="auto"/>
              </w:rPr>
            </w:pPr>
            <w:r>
              <w:rPr>
                <w:rFonts w:ascii="Arial" w:cs="Arial" w:eastAsia="Arial" w:hAnsi="Arial"/>
                <w:sz w:val="18"/>
                <w:szCs w:val="18"/>
                <w:color w:val="auto"/>
                <w:w w:val="95"/>
              </w:rPr>
              <w:t>Certification of Chief Executive Officer under 18 U.S.C. §1350 pursuant to Section 906 of the Sarbanes-Oxley Act of 2002. Filed</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32.2</w:t>
            </w: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Certification of Chief Financial Officer under 18 U.S.C. §1350 pursuant to Section 906 of the Sarbanes-Oxley Act of 2002. Filed herewith.</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99.1</w:t>
            </w:r>
          </w:p>
        </w:tc>
        <w:tc>
          <w:tcPr>
            <w:tcW w:w="10160" w:type="dxa"/>
            <w:vAlign w:val="bottom"/>
          </w:tcPr>
          <w:p>
            <w:pPr>
              <w:ind w:left="400"/>
              <w:spacing w:after="0"/>
              <w:rPr>
                <w:sz w:val="20"/>
                <w:szCs w:val="20"/>
                <w:color w:val="auto"/>
              </w:rPr>
            </w:pPr>
            <w:r>
              <w:rPr>
                <w:rFonts w:ascii="Arial" w:cs="Arial" w:eastAsia="Arial" w:hAnsi="Arial"/>
                <w:sz w:val="18"/>
                <w:szCs w:val="18"/>
                <w:color w:val="auto"/>
                <w:w w:val="93"/>
              </w:rPr>
              <w:t>Replacement Capital Covenant of M&amp;T Bank Corporation dated January 31, 2008. Incorporated by reference to Exhibit 99.1 to the</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rPr>
              <w:t>Form 8-K dated January 31, 2008 (File No. 1-9861).</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99.2</w:t>
            </w:r>
          </w:p>
        </w:tc>
        <w:tc>
          <w:tcPr>
            <w:tcW w:w="10160" w:type="dxa"/>
            <w:vAlign w:val="bottom"/>
          </w:tcPr>
          <w:p>
            <w:pPr>
              <w:ind w:left="400"/>
              <w:spacing w:after="0"/>
              <w:rPr>
                <w:sz w:val="20"/>
                <w:szCs w:val="20"/>
                <w:color w:val="auto"/>
              </w:rPr>
            </w:pPr>
            <w:r>
              <w:rPr>
                <w:rFonts w:ascii="Arial" w:cs="Arial" w:eastAsia="Arial" w:hAnsi="Arial"/>
                <w:sz w:val="18"/>
                <w:szCs w:val="18"/>
                <w:color w:val="auto"/>
                <w:w w:val="89"/>
              </w:rPr>
              <w:t>Amendment to Replacement Capital Covenant of M&amp;T Bank Corporation, dated as of May 27, 2011, amending the Replacement Capital</w:t>
            </w:r>
          </w:p>
        </w:tc>
      </w:tr>
      <w:tr>
        <w:trPr>
          <w:trHeight w:val="216"/>
        </w:trPr>
        <w:tc>
          <w:tcPr>
            <w:tcW w:w="1220" w:type="dxa"/>
            <w:vAlign w:val="bottom"/>
          </w:tcPr>
          <w:p>
            <w:pPr>
              <w:spacing w:after="0"/>
              <w:rPr>
                <w:sz w:val="18"/>
                <w:szCs w:val="18"/>
                <w:color w:val="auto"/>
              </w:rPr>
            </w:pPr>
          </w:p>
        </w:tc>
        <w:tc>
          <w:tcPr>
            <w:tcW w:w="10160" w:type="dxa"/>
            <w:vAlign w:val="bottom"/>
          </w:tcPr>
          <w:p>
            <w:pPr>
              <w:ind w:left="400"/>
              <w:spacing w:after="0"/>
              <w:rPr>
                <w:sz w:val="20"/>
                <w:szCs w:val="20"/>
                <w:color w:val="auto"/>
              </w:rPr>
            </w:pPr>
            <w:r>
              <w:rPr>
                <w:rFonts w:ascii="Arial" w:cs="Arial" w:eastAsia="Arial" w:hAnsi="Arial"/>
                <w:sz w:val="18"/>
                <w:szCs w:val="18"/>
                <w:color w:val="auto"/>
                <w:w w:val="88"/>
              </w:rPr>
              <w:t>Covenant, dated as of January 31, 2008. Incorporated by reference to Exhibit 99.2 to the Form 8-K dated May 26, 2011 (File No. 1-9861).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40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w:t>
      </w:r>
    </w:p>
    <w:p>
      <w:pPr>
        <w:spacing w:after="0" w:line="15" w:lineRule="exact"/>
        <w:rPr>
          <w:sz w:val="20"/>
          <w:szCs w:val="20"/>
          <w:color w:val="auto"/>
        </w:rPr>
      </w:pPr>
    </w:p>
    <w:p>
      <w:pPr>
        <w:ind w:left="460" w:right="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As provided in Rule 406T of Regulation S-T, this information is furnished and not filed for purposes of Sections 11 and 12 of the Securities Act of 1933 and Section 18 of the Securities Exchange Act of 1934.</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420"/>
          </w:cols>
          <w:pgMar w:left="240" w:top="46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7 TO CREDIT AGREEMENT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Amendment Agreement dated as of November 22, 2013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between M&amp;T BANK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CITIBANK, N.A.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1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WHEREAS, the Borrower and the Lender entered into that certain Credit Agreement dated as of December 15, 2000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as amended by (i) that certain Amendment No. 1 dated as of December 9, 2003, (ii) that certain Amendment No.2 dated as of January 30, 2009, (iii) that certain Amendment No.3 dated as of December 4, 2009, (iv) that certain Amendment No. 4 dated as of December 3, 2010, (v) that certain Amendment No. 5 dated as of November 21, 2011, and (vi) that certain Amendment No. 6 dated as of November 26, 2012 (the Original Agreement, as so amended, being hereinafter referred to as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and the Lender desire to amend the Agreement in certain respects;</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agrees as follows: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meanings attributed thereto in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right="800" w:firstLine="464"/>
        <w:spacing w:after="0" w:line="277" w:lineRule="auto"/>
        <w:tabs>
          <w:tab w:leader="none" w:pos="7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definition of “Commitment Termination Date” in Section 1.01 of the Agreement is amended by replacing “November 26, 2012” with “November 25, 2013”.</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5.02(b) of the Agreement is amended by replacing (i) “$1,000,000,000” with “$5,000,000,000” and (ii) “4.5%” with “6.0%”.</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5.02(c) of the Agreement is amended by replacing “3.5 to 1.0” with “4.0 to 1.0”.</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True; No Default</w:t>
      </w:r>
      <w:r>
        <w:rPr>
          <w:rFonts w:ascii="Arial" w:cs="Arial" w:eastAsia="Arial" w:hAnsi="Arial"/>
          <w:sz w:val="18"/>
          <w:szCs w:val="18"/>
          <w:color w:val="auto"/>
        </w:rPr>
        <w:t>. On and as of the date hereof and on and as of the Effective Date (as defined below), the Borrower represents and warrants to the Lender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80" w:name="page181"/>
    <w:bookmarkEnd w:id="180"/>
    <w:p>
      <w:pPr>
        <w:ind w:right="40" w:firstLine="464"/>
        <w:spacing w:after="0" w:line="277"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representations and warranties contained in Article IV of the Agreement are correct on and as of the date of this Amendment as though made on and as of such date;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 event has occurred and is continuing, or would result from the execution and delivery of this Amendment, which constitutes a Default.</w:t>
      </w: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Legal Obligation</w:t>
      </w:r>
      <w:r>
        <w:rPr>
          <w:rFonts w:ascii="Arial" w:cs="Arial" w:eastAsia="Arial" w:hAnsi="Arial"/>
          <w:sz w:val="18"/>
          <w:szCs w:val="18"/>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Ratification</w:t>
      </w:r>
      <w:r>
        <w:rPr>
          <w:rFonts w:ascii="Arial" w:cs="Arial" w:eastAsia="Arial" w:hAnsi="Arial"/>
          <w:sz w:val="18"/>
          <w:szCs w:val="18"/>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to the Agreement set forth in Section 2 hereof will become effective on and as of the first date on which the Lender has received the following, each in form and substance satisfactory to the Lender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counterpart of this Agreement duly executed by the Lender and the Borrower;</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certified copies of all documents evidencing necessary corporate action and governmental and other third party approvals, if any, with respect to this Amendment;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favorable written opinion of the Deputy General Counsel of the Borrower, covering such matters relating to this Amendment as the Lender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210" w:lineRule="exact"/>
        <w:rPr>
          <w:rFonts w:ascii="Arial" w:cs="Arial" w:eastAsia="Arial" w:hAnsi="Arial"/>
          <w:sz w:val="16"/>
          <w:szCs w:val="16"/>
          <w:color w:val="auto"/>
        </w:rPr>
      </w:pPr>
    </w:p>
    <w:p>
      <w:pPr>
        <w:ind w:right="560" w:firstLine="464"/>
        <w:spacing w:after="0" w:line="27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certificate of the Borrower’s Corporate Secretary or Assistant Secretary certifying the names and true signatures of the Borrower’s officers authorized to sign this Amendment; and</w:t>
      </w:r>
    </w:p>
    <w:p>
      <w:pPr>
        <w:spacing w:after="0" w:line="170" w:lineRule="exact"/>
        <w:rPr>
          <w:rFonts w:ascii="Arial" w:cs="Arial" w:eastAsia="Arial" w:hAnsi="Arial"/>
          <w:sz w:val="18"/>
          <w:szCs w:val="18"/>
          <w:color w:val="auto"/>
        </w:rPr>
      </w:pPr>
    </w:p>
    <w:p>
      <w:pPr>
        <w:ind w:right="120" w:firstLine="464"/>
        <w:spacing w:after="0" w:line="277"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5660" w:right="3200" w:hanging="5196"/>
        <w:spacing w:after="0" w:line="449"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Agreement and this Amendment shall be read, taken and construed as one and the same instrument. 2</w:t>
      </w:r>
    </w:p>
    <w:p>
      <w:pPr>
        <w:sectPr>
          <w:pgSz w:w="11900" w:h="16838" w:orient="portrait"/>
          <w:cols w:equalWidth="0" w:num="1">
            <w:col w:w="11400"/>
          </w:cols>
          <w:pgMar w:left="240" w:top="274" w:right="259" w:bottom="1440" w:gutter="0" w:footer="0" w:header="0"/>
        </w:sectPr>
      </w:pPr>
    </w:p>
    <w:bookmarkStart w:id="181" w:name="page182"/>
    <w:bookmarkEnd w:id="181"/>
    <w:p>
      <w:pPr>
        <w:ind w:left="440" w:hanging="25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shall be governed by, and construed in accordance with, the law of the State of New York.</w:t>
      </w:r>
    </w:p>
    <w:p>
      <w:pPr>
        <w:spacing w:after="0" w:line="225" w:lineRule="exact"/>
        <w:rPr>
          <w:rFonts w:ascii="Arial" w:cs="Arial" w:eastAsia="Arial" w:hAnsi="Arial"/>
          <w:sz w:val="18"/>
          <w:szCs w:val="18"/>
          <w:color w:val="auto"/>
        </w:rPr>
      </w:pPr>
    </w:p>
    <w:p>
      <w:pPr>
        <w:jc w:val="both"/>
        <w:ind w:left="-280" w:right="80" w:firstLine="464"/>
        <w:spacing w:after="0" w:line="264" w:lineRule="auto"/>
        <w:tabs>
          <w:tab w:leader="none" w:pos="4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reference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181" w:lineRule="exact"/>
        <w:rPr>
          <w:rFonts w:ascii="Arial" w:cs="Arial" w:eastAsia="Arial" w:hAnsi="Arial"/>
          <w:sz w:val="18"/>
          <w:szCs w:val="18"/>
          <w:color w:val="auto"/>
        </w:rPr>
      </w:pPr>
    </w:p>
    <w:p>
      <w:pPr>
        <w:ind w:left="-280" w:firstLine="464"/>
        <w:spacing w:after="0" w:line="277" w:lineRule="auto"/>
        <w:tabs>
          <w:tab w:leader="none" w:pos="4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by different parties hereto in separate counterparts, each of which when so executed shall be deemed an original and all of which when taken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274" w:right="519" w:bottom="1440" w:gutter="0" w:footer="0" w:header="0"/>
        </w:sectPr>
      </w:pPr>
    </w:p>
    <w:bookmarkStart w:id="182" w:name="page183"/>
    <w:bookmarkEnd w:id="18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by their respective officers thereunto duly authorized, as of the date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Darlene A.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Name: Darlene A. Spychala</w:t>
      </w:r>
    </w:p>
    <w:p>
      <w:pPr>
        <w:spacing w:after="0" w:line="1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Administrative Vice President</w:t>
      </w:r>
    </w:p>
    <w:p>
      <w:pPr>
        <w:sectPr>
          <w:pgSz w:w="11900" w:h="16838" w:orient="portrait"/>
          <w:cols w:equalWidth="0" w:num="1">
            <w:col w:w="11240"/>
          </w:cols>
          <w:pgMar w:left="240" w:top="274" w:right="419" w:bottom="1440" w:gutter="0" w:footer="0" w:header="0"/>
        </w:sectPr>
      </w:pPr>
    </w:p>
    <w:bookmarkStart w:id="183" w:name="page184"/>
    <w:bookmarkEnd w:id="18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p>
    <w:p>
      <w:pPr>
        <w:spacing w:after="0" w:line="225"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29210</wp:posOffset>
            </wp:positionV>
            <wp:extent cx="2538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B. Goldstein</w:t>
      </w:r>
    </w:p>
    <w:p>
      <w:pPr>
        <w:spacing w:after="0" w:line="25"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Managing Director</w:t>
      </w:r>
    </w:p>
    <w:p>
      <w:pPr>
        <w:sectPr>
          <w:pgSz w:w="11900" w:h="16838" w:orient="portrait"/>
          <w:cols w:equalWidth="0" w:num="1">
            <w:col w:w="9019"/>
          </w:cols>
          <w:pgMar w:left="1440" w:top="274" w:right="144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 &lt;Participant Name&gt;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GRANT: &lt;Grant Date&gt;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SHARES: &lt;Shares Granted&gt;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M&amp;T Bank Corporation (the “Company”) hereby grants to the Grantee a Restricted Stock Award for that number of shares of Common Stock equal to the Covered Shares. This grant is made pursuant to the M&amp;T Bank Corporation 2009 Equity Incentive Compensation Plan (the “Plan”) and is subject to the terms and conditions of the Plan and this Agreement. As used herein, the term “Agreement” shall mean, collectively, this cover page, the related Terms and Conditions of Restricted Stock Award delivered to the Grantee with this cover page, </w:t>
      </w:r>
      <w:r>
        <w:rPr>
          <w:rFonts w:ascii="Arial" w:cs="Arial" w:eastAsia="Arial" w:hAnsi="Arial"/>
          <w:sz w:val="16"/>
          <w:szCs w:val="16"/>
          <w:b w:val="1"/>
          <w:bCs w:val="1"/>
          <w:color w:val="auto"/>
        </w:rPr>
        <w:t>[and the Policy for Alignment of Incentive Compensation with Risk</w:t>
      </w:r>
      <w:r>
        <w:rPr>
          <w:rFonts w:ascii="Arial" w:cs="Arial" w:eastAsia="Arial" w:hAnsi="Arial"/>
          <w:sz w:val="16"/>
          <w:szCs w:val="16"/>
          <w:color w:val="auto"/>
        </w:rPr>
        <w:t xml:space="preserve"> </w:t>
      </w:r>
      <w:r>
        <w:rPr>
          <w:rFonts w:ascii="Arial" w:cs="Arial" w:eastAsia="Arial" w:hAnsi="Arial"/>
          <w:sz w:val="16"/>
          <w:szCs w:val="16"/>
          <w:b w:val="1"/>
          <w:bCs w:val="1"/>
          <w:color w:val="auto"/>
        </w:rPr>
        <w:t>(the “Forfeiture Policy”)]*</w:t>
      </w:r>
      <w:r>
        <w:rPr>
          <w:rFonts w:ascii="Arial" w:cs="Arial" w:eastAsia="Arial" w:hAnsi="Arial"/>
          <w:sz w:val="16"/>
          <w:szCs w:val="16"/>
          <w:color w:val="auto"/>
        </w:rPr>
        <w:t>. As used herein, the term “vest” shall mean the lapsing of the restrictions described herein and in the Plan with respect to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Covered Shares. Capitalized terms used in this Agreement without definition shall have the meanings assigned to them in the Plan. A copy of the Plan </w:t>
      </w:r>
      <w:r>
        <w:rPr>
          <w:rFonts w:ascii="Arial" w:cs="Arial" w:eastAsia="Arial" w:hAnsi="Arial"/>
          <w:sz w:val="16"/>
          <w:szCs w:val="16"/>
          <w:b w:val="1"/>
          <w:bCs w:val="1"/>
          <w:color w:val="auto"/>
        </w:rPr>
        <w:t xml:space="preserve">[and the Forfeiture Policy]* </w:t>
      </w:r>
      <w:r>
        <w:rPr>
          <w:rFonts w:ascii="Arial" w:cs="Arial" w:eastAsia="Arial" w:hAnsi="Arial"/>
          <w:sz w:val="16"/>
          <w:szCs w:val="16"/>
          <w:color w:val="auto"/>
        </w:rPr>
        <w:t>can be viewed and downloaded from the Company’s Intranet under the Human Resources page.</w:t>
      </w:r>
    </w:p>
    <w:p>
      <w:pPr>
        <w:spacing w:after="0" w:line="16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Subject to the terms of the Plan </w:t>
      </w:r>
      <w:r>
        <w:rPr>
          <w:rFonts w:ascii="Arial" w:cs="Arial" w:eastAsia="Arial" w:hAnsi="Arial"/>
          <w:sz w:val="18"/>
          <w:szCs w:val="18"/>
          <w:b w:val="1"/>
          <w:bCs w:val="1"/>
          <w:color w:val="auto"/>
        </w:rPr>
        <w:t>[, the Forfeiture Policy,]*</w:t>
      </w:r>
      <w:r>
        <w:rPr>
          <w:rFonts w:ascii="Arial" w:cs="Arial" w:eastAsia="Arial" w:hAnsi="Arial"/>
          <w:sz w:val="18"/>
          <w:szCs w:val="18"/>
          <w:color w:val="auto"/>
        </w:rPr>
        <w:t xml:space="preserve"> and this Agreement, including without limitation, the Grantee’s fulfillment of the employment requirements in Paragraph 3(b) of the Terms and Conditions of Restricted Stock Award, the Covered Shares acquired hereunder shall vest in accordance with the following vesting schedule and the applicable provisions of the Plan and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vesting schedule, if any, as determined by the Committee.]</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unvested portion of the Grantee’s Restricted Stock Award is subject to forfeiture under Paragraph 3(b) of the Terms and Conditions of Restricted Stock Award </w:t>
      </w:r>
      <w:r>
        <w:rPr>
          <w:rFonts w:ascii="Arial" w:cs="Arial" w:eastAsia="Arial" w:hAnsi="Arial"/>
          <w:sz w:val="18"/>
          <w:szCs w:val="18"/>
          <w:b w:val="1"/>
          <w:bCs w:val="1"/>
          <w:color w:val="auto"/>
        </w:rPr>
        <w:t>[and the Forfeiture Policy]*</w:t>
      </w:r>
      <w:r>
        <w:rPr>
          <w:rFonts w:ascii="Arial" w:cs="Arial" w:eastAsia="Arial" w:hAnsi="Arial"/>
          <w:sz w:val="18"/>
          <w:szCs w:val="18"/>
          <w:color w:val="auto"/>
        </w:rPr>
        <w:t>. The foregoing vesting schedule may be accelerated under the circumstances described in Paragraph 3(c) of the Terms and Conditions of Restricted Stock Award.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44"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9"/>
          <w:szCs w:val="19"/>
          <w:color w:val="auto"/>
        </w:rPr>
        <w:t>M&amp;T BANK CORPORATION</w:t>
      </w:r>
    </w:p>
    <w:p>
      <w:pPr>
        <w:spacing w:after="0" w:line="22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719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language will be included to the extent the award is covered by the Company’s Forfeiture Policy]</w:t>
      </w:r>
    </w:p>
    <w:p>
      <w:pPr>
        <w:sectPr>
          <w:pgSz w:w="11900" w:h="16838" w:orient="portrait"/>
          <w:cols w:equalWidth="0" w:num="1">
            <w:col w:w="11420"/>
          </w:cols>
          <w:pgMar w:left="240" w:top="121" w:right="239" w:bottom="1440" w:gutter="0" w:footer="0" w:header="0"/>
        </w:sectPr>
      </w:pPr>
    </w:p>
    <w:bookmarkStart w:id="185" w:name="page186"/>
    <w:bookmarkEnd w:id="185"/>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M&amp;T BANK CORPORATION</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4992"/>
        <w:spacing w:after="0"/>
        <w:tabs>
          <w:tab w:leader="none" w:pos="5632" w:val="left"/>
          <w:tab w:leader="none" w:pos="6312"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RESTRICTED STOCK AWARD</w:t>
      </w:r>
    </w:p>
    <w:p>
      <w:pPr>
        <w:spacing w:after="0" w:line="211" w:lineRule="exact"/>
        <w:rPr>
          <w:sz w:val="20"/>
          <w:szCs w:val="20"/>
          <w:color w:val="auto"/>
        </w:rPr>
      </w:pPr>
    </w:p>
    <w:p>
      <w:pPr>
        <w:ind w:left="-8" w:right="120" w:firstLine="464"/>
        <w:spacing w:after="0" w:line="277" w:lineRule="auto"/>
        <w:tabs>
          <w:tab w:leader="none" w:pos="628"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170" w:lineRule="exact"/>
        <w:rPr>
          <w:rFonts w:ascii="Arial" w:cs="Arial" w:eastAsia="Arial" w:hAnsi="Arial"/>
          <w:sz w:val="18"/>
          <w:szCs w:val="18"/>
          <w:color w:val="auto"/>
        </w:rPr>
      </w:pPr>
    </w:p>
    <w:p>
      <w:pPr>
        <w:ind w:left="-8" w:right="180" w:firstLine="921"/>
        <w:spacing w:after="0" w:line="277" w:lineRule="auto"/>
        <w:tabs>
          <w:tab w:leader="none" w:pos="1150"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“Covered Shares” means the shares of Common Stock subject to the Restricted Stock Award set forth as the “Covered Shares” on the cover page of this Agreement.</w:t>
      </w:r>
    </w:p>
    <w:p>
      <w:pPr>
        <w:spacing w:after="0" w:line="170" w:lineRule="exact"/>
        <w:rPr>
          <w:rFonts w:ascii="Arial" w:cs="Arial" w:eastAsia="Arial" w:hAnsi="Arial"/>
          <w:sz w:val="18"/>
          <w:szCs w:val="18"/>
          <w:color w:val="auto"/>
        </w:rPr>
      </w:pPr>
    </w:p>
    <w:p>
      <w:pPr>
        <w:ind w:left="1172" w:hanging="259"/>
        <w:spacing w:after="0"/>
        <w:tabs>
          <w:tab w:leader="none" w:pos="1172" w:val="left"/>
        </w:tabs>
        <w:numPr>
          <w:ilvl w:val="2"/>
          <w:numId w:val="68"/>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2"/>
          <w:numId w:val="68"/>
        </w:numPr>
        <w:rPr>
          <w:rFonts w:ascii="Arial" w:cs="Arial" w:eastAsia="Arial" w:hAnsi="Arial"/>
          <w:sz w:val="18"/>
          <w:szCs w:val="18"/>
          <w:color w:val="auto"/>
        </w:rPr>
      </w:pPr>
      <w:r>
        <w:rPr>
          <w:rFonts w:ascii="Arial" w:cs="Arial" w:eastAsia="Arial" w:hAnsi="Arial"/>
          <w:sz w:val="18"/>
          <w:szCs w:val="18"/>
          <w:color w:val="auto"/>
        </w:rPr>
        <w:t>“Grantee” means the person identified as the “Grantee” on the cover page of this Agreement.</w:t>
      </w:r>
    </w:p>
    <w:p>
      <w:pPr>
        <w:spacing w:after="0" w:line="225" w:lineRule="exact"/>
        <w:rPr>
          <w:rFonts w:ascii="Arial" w:cs="Arial" w:eastAsia="Arial" w:hAnsi="Arial"/>
          <w:sz w:val="18"/>
          <w:szCs w:val="18"/>
          <w:color w:val="auto"/>
        </w:rPr>
      </w:pPr>
    </w:p>
    <w:p>
      <w:pPr>
        <w:ind w:left="1172" w:hanging="259"/>
        <w:spacing w:after="0"/>
        <w:tabs>
          <w:tab w:leader="none" w:pos="1172" w:val="left"/>
        </w:tabs>
        <w:numPr>
          <w:ilvl w:val="2"/>
          <w:numId w:val="68"/>
        </w:numPr>
        <w:rPr>
          <w:rFonts w:ascii="Arial" w:cs="Arial" w:eastAsia="Arial" w:hAnsi="Arial"/>
          <w:sz w:val="18"/>
          <w:szCs w:val="18"/>
          <w:color w:val="auto"/>
        </w:rPr>
      </w:pPr>
      <w:r>
        <w:rPr>
          <w:rFonts w:ascii="Arial" w:cs="Arial" w:eastAsia="Arial" w:hAnsi="Arial"/>
          <w:sz w:val="18"/>
          <w:szCs w:val="18"/>
          <w:color w:val="auto"/>
        </w:rPr>
        <w:t>“Restricted Stock Award” means the Restricted Stock granted to the Grantee on the cover page of this Agreement.</w:t>
      </w:r>
    </w:p>
    <w:p>
      <w:pPr>
        <w:spacing w:after="0" w:line="225" w:lineRule="exact"/>
        <w:rPr>
          <w:rFonts w:ascii="Arial" w:cs="Arial" w:eastAsia="Arial" w:hAnsi="Arial"/>
          <w:sz w:val="18"/>
          <w:szCs w:val="18"/>
          <w:color w:val="auto"/>
        </w:rPr>
      </w:pPr>
    </w:p>
    <w:p>
      <w:pPr>
        <w:ind w:left="-8" w:right="380" w:firstLine="921"/>
        <w:spacing w:after="0" w:line="277" w:lineRule="auto"/>
        <w:tabs>
          <w:tab w:leader="none" w:pos="115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“Third Party Administrator” means the entity to which the Committee has delegated its authority to administer the issuance of Restricted Stock granted under the Plan.</w:t>
      </w:r>
    </w:p>
    <w:p>
      <w:pPr>
        <w:spacing w:after="0" w:line="170" w:lineRule="exact"/>
        <w:rPr>
          <w:rFonts w:ascii="Arial" w:cs="Arial" w:eastAsia="Arial" w:hAnsi="Arial"/>
          <w:sz w:val="18"/>
          <w:szCs w:val="18"/>
          <w:color w:val="auto"/>
        </w:rPr>
      </w:pPr>
    </w:p>
    <w:p>
      <w:pPr>
        <w:ind w:left="632" w:hanging="176"/>
        <w:spacing w:after="0"/>
        <w:tabs>
          <w:tab w:leader="none" w:pos="632"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Award</w:t>
      </w:r>
      <w:r>
        <w:rPr>
          <w:rFonts w:ascii="Arial" w:cs="Arial" w:eastAsia="Arial" w:hAnsi="Arial"/>
          <w:sz w:val="17"/>
          <w:szCs w:val="17"/>
          <w:color w:val="auto"/>
        </w:rPr>
        <w:t>. The Restricted Stock Award granted hereby is granted in accordance with the cover page of this Agreement.</w:t>
      </w:r>
    </w:p>
    <w:p>
      <w:pPr>
        <w:spacing w:after="0" w:line="236" w:lineRule="exact"/>
        <w:rPr>
          <w:rFonts w:ascii="Arial" w:cs="Arial" w:eastAsia="Arial" w:hAnsi="Arial"/>
          <w:sz w:val="17"/>
          <w:szCs w:val="17"/>
          <w:color w:val="auto"/>
        </w:rPr>
      </w:pPr>
    </w:p>
    <w:p>
      <w:pPr>
        <w:ind w:left="632" w:hanging="176"/>
        <w:spacing w:after="0"/>
        <w:tabs>
          <w:tab w:leader="none" w:pos="63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Terms of the Restricted Stock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700" w:firstLine="921"/>
        <w:spacing w:after="0" w:line="342" w:lineRule="auto"/>
        <w:tabs>
          <w:tab w:leader="none" w:pos="1149"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w:t>
      </w:r>
      <w:r>
        <w:rPr>
          <w:rFonts w:ascii="Arial" w:cs="Arial" w:eastAsia="Arial" w:hAnsi="Arial"/>
          <w:sz w:val="16"/>
          <w:szCs w:val="16"/>
          <w:color w:val="auto"/>
        </w:rPr>
        <w:t>. Shares of Restricted Stock are actual shares of Common Stock issued to the Grantee, and shall be evidenced in such manner as the Committee may deem appropriate, including book-entry registration or issuance of one or more stock certficates.</w:t>
      </w:r>
    </w:p>
    <w:p>
      <w:pPr>
        <w:spacing w:after="0" w:line="123" w:lineRule="exact"/>
        <w:rPr>
          <w:rFonts w:ascii="Arial" w:cs="Arial" w:eastAsia="Arial" w:hAnsi="Arial"/>
          <w:sz w:val="16"/>
          <w:szCs w:val="16"/>
          <w:color w:val="auto"/>
        </w:rPr>
      </w:pPr>
    </w:p>
    <w:p>
      <w:pPr>
        <w:ind w:left="-8" w:firstLine="921"/>
        <w:spacing w:after="0" w:line="285" w:lineRule="auto"/>
        <w:tabs>
          <w:tab w:leader="none" w:pos="1160"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Employment Requirement; Forfeiture</w:t>
      </w:r>
      <w:r>
        <w:rPr>
          <w:rFonts w:ascii="Arial" w:cs="Arial" w:eastAsia="Arial" w:hAnsi="Arial"/>
          <w:sz w:val="16"/>
          <w:szCs w:val="16"/>
          <w:color w:val="auto"/>
        </w:rPr>
        <w:t>. Except as provided herein, the Grantee must remain continuously employed by the Company or one of its Affiliates since the Date of Grant and until the Restricted Stock Award (or a portion thereof) has vested in order to retain the Restricted Stock Award (or portion thereof, as the case may be). If the Grantee’s employment with the Company or an Affiliate terminates for any reason, including for Cause or as a result of the Grantee’s Resignation (other than due to death, Retirement or Disability), before the Grantee’s entire Restricted Stock Award has fully vested, the Grantee will forfeit that portion of the Covered Shares that have not vested as of the date of the Grantee’s termination of employment. The Grantee hereby</w:t>
      </w:r>
    </w:p>
    <w:p>
      <w:pPr>
        <w:spacing w:after="0" w:line="2" w:lineRule="exact"/>
        <w:rPr>
          <w:rFonts w:ascii="Arial" w:cs="Arial" w:eastAsia="Arial" w:hAnsi="Arial"/>
          <w:sz w:val="16"/>
          <w:szCs w:val="16"/>
          <w:color w:val="auto"/>
        </w:rPr>
      </w:pPr>
    </w:p>
    <w:p>
      <w:pPr>
        <w:ind w:left="212" w:hanging="212"/>
        <w:spacing w:after="0"/>
        <w:tabs>
          <w:tab w:leader="none" w:pos="2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acknowledges that the Covered Shares may be held in book</w:t>
      </w:r>
    </w:p>
    <w:p>
      <w:pPr>
        <w:spacing w:after="0" w:line="143" w:lineRule="exact"/>
        <w:rPr>
          <w:rFonts w:ascii="Arial" w:cs="Arial" w:eastAsia="Arial" w:hAnsi="Arial"/>
          <w:sz w:val="18"/>
          <w:szCs w:val="18"/>
          <w:color w:val="auto"/>
        </w:rPr>
      </w:pPr>
    </w:p>
    <w:p>
      <w:pPr>
        <w:ind w:left="5652" w:hanging="96"/>
        <w:spacing w:after="0"/>
        <w:tabs>
          <w:tab w:leader="none" w:pos="5652" w:val="left"/>
        </w:tabs>
        <w:numPr>
          <w:ilvl w:val="3"/>
          <w:numId w:val="69"/>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92"/>
          </w:cols>
          <w:pgMar w:left="248" w:top="274" w:right="259" w:bottom="1440" w:gutter="0" w:footer="0" w:header="0"/>
        </w:sectPr>
      </w:pPr>
    </w:p>
    <w:bookmarkStart w:id="186" w:name="page187"/>
    <w:bookmarkEnd w:id="18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entry form on the books of Registrar and Transfer Company (or another institution specified by the Company), and irrevocably authorizes the Company to take such actions as may be necessary or appropriate to effectuate a transfer of the record ownership of any such shares that are unvested and forfeited hereunder, (ii) agrees to deliver to the Company, as a condition to the issuance of any stock certificates or certificates with respect to unvested Covered Shares, one or more stock powers, endorsed in blank, with respect to such shares, and (iii) agrees to sign such other powers and take such other actions as the Company may reasonably request to accomplish the transfer or forfeiture hereunder.</w:t>
      </w:r>
    </w:p>
    <w:p>
      <w:pPr>
        <w:spacing w:after="0" w:line="188" w:lineRule="exact"/>
        <w:rPr>
          <w:sz w:val="20"/>
          <w:szCs w:val="20"/>
          <w:color w:val="auto"/>
        </w:rPr>
      </w:pPr>
    </w:p>
    <w:p>
      <w:pPr>
        <w:ind w:right="640" w:firstLine="921"/>
        <w:spacing w:after="0" w:line="286" w:lineRule="auto"/>
        <w:tabs>
          <w:tab w:leader="none" w:pos="1157"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Acceleration of Vesting</w:t>
      </w:r>
      <w:r>
        <w:rPr>
          <w:rFonts w:ascii="Arial" w:cs="Arial" w:eastAsia="Arial" w:hAnsi="Arial"/>
          <w:sz w:val="17"/>
          <w:szCs w:val="17"/>
          <w:color w:val="auto"/>
        </w:rPr>
        <w:t>. Notwithstanding the above provisions of Paragraph 3(b) and the vesting schedule on the cover page of this Agreement, the unvested portion of the Restricted Stock Award shall vest in full (i) on the date a Change in Control occurs or (ii) upon the Grantee’s termination of employment with the Company or an Affiliate due to the Grantee’s death, Retirement or Disability.</w:t>
      </w:r>
    </w:p>
    <w:p>
      <w:pPr>
        <w:spacing w:after="0" w:line="165" w:lineRule="exact"/>
        <w:rPr>
          <w:rFonts w:ascii="Arial" w:cs="Arial" w:eastAsia="Arial" w:hAnsi="Arial"/>
          <w:sz w:val="17"/>
          <w:szCs w:val="17"/>
          <w:color w:val="auto"/>
        </w:rPr>
      </w:pPr>
    </w:p>
    <w:p>
      <w:pPr>
        <w:ind w:right="620" w:firstLine="921"/>
        <w:spacing w:after="0" w:line="277" w:lineRule="auto"/>
        <w:tabs>
          <w:tab w:leader="none" w:pos="1168"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Until they have vested, Covered Shares may not be sold, transferred, pledged, assigned, or otherwise alienated or hypothecated other than by will or by the laws of descent and distribution.</w:t>
      </w:r>
    </w:p>
    <w:p>
      <w:pPr>
        <w:spacing w:after="0" w:line="170" w:lineRule="exact"/>
        <w:rPr>
          <w:rFonts w:ascii="Arial" w:cs="Arial" w:eastAsia="Arial" w:hAnsi="Arial"/>
          <w:sz w:val="18"/>
          <w:szCs w:val="18"/>
          <w:color w:val="auto"/>
        </w:rPr>
      </w:pPr>
    </w:p>
    <w:p>
      <w:pPr>
        <w:ind w:right="40" w:firstLine="464"/>
        <w:spacing w:after="0" w:line="276" w:lineRule="auto"/>
        <w:tabs>
          <w:tab w:leader="none" w:pos="63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Voting and Dividends</w:t>
      </w:r>
      <w:r>
        <w:rPr>
          <w:rFonts w:ascii="Arial" w:cs="Arial" w:eastAsia="Arial" w:hAnsi="Arial"/>
          <w:sz w:val="17"/>
          <w:szCs w:val="17"/>
          <w:color w:val="auto"/>
        </w:rPr>
        <w:t>. The Grantee shall have the right to vote unvested Covered Shares and to receive any cash dividends or cash distributions that may be paid with respect thereto. In the event of a stock dividend, stock distribution, stock split, division of shares or other corporate structure change which results in the issuance of additional shares with respect to any unvested Covered Share, such additional shares will be subject to the restrictions of this Restricted Stock Award in the same manner and for so long as such unvested Covered Share remains subject to such restrictions, and such additional shares shall be promptly forfeited to the Company if and when such unvested Covered Share is so forfeited.</w:t>
      </w:r>
    </w:p>
    <w:p>
      <w:pPr>
        <w:spacing w:after="0" w:line="172" w:lineRule="exact"/>
        <w:rPr>
          <w:rFonts w:ascii="Arial" w:cs="Arial" w:eastAsia="Arial" w:hAnsi="Arial"/>
          <w:sz w:val="17"/>
          <w:szCs w:val="17"/>
          <w:color w:val="auto"/>
        </w:rPr>
      </w:pPr>
    </w:p>
    <w:p>
      <w:pPr>
        <w:ind w:right="52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Covered Shares is subject to adjustment, in accordance with Section 4.2 of the Plan, on an equitable and proportionate basis in the manner deemed appropriate by the Committee.</w:t>
      </w:r>
    </w:p>
    <w:p>
      <w:pPr>
        <w:spacing w:after="0" w:line="170" w:lineRule="exact"/>
        <w:rPr>
          <w:rFonts w:ascii="Arial" w:cs="Arial" w:eastAsia="Arial" w:hAnsi="Arial"/>
          <w:sz w:val="18"/>
          <w:szCs w:val="18"/>
          <w:color w:val="auto"/>
        </w:rPr>
      </w:pPr>
    </w:p>
    <w:p>
      <w:pPr>
        <w:ind w:right="160" w:firstLine="464"/>
        <w:spacing w:after="0" w:line="264"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Stock Certificates; Legend</w:t>
      </w:r>
      <w:r>
        <w:rPr>
          <w:rFonts w:ascii="Arial" w:cs="Arial" w:eastAsia="Arial" w:hAnsi="Arial"/>
          <w:sz w:val="18"/>
          <w:szCs w:val="18"/>
          <w:color w:val="auto"/>
        </w:rPr>
        <w:t>. Any stock certificate or certificates representing unvested Covered Shares shall be held by the Company, and any such certificate (and to the extent determined necessary or appropriate by the Company, any other evidence of ownership of unvested Covered Shares) shall contain the following legend:</w:t>
      </w:r>
    </w:p>
    <w:p>
      <w:pPr>
        <w:spacing w:after="0" w:line="65" w:lineRule="exact"/>
        <w:rPr>
          <w:sz w:val="20"/>
          <w:szCs w:val="20"/>
          <w:color w:val="auto"/>
        </w:rPr>
      </w:pPr>
    </w:p>
    <w:p>
      <w:pPr>
        <w:ind w:left="1040"/>
        <w:spacing w:after="0" w:line="260"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M&amp;T BANK CORPORATION 2009 EQUITY INCENTIVE COMPENSATION PLAN AND ANY AMENDMENTS THERETO AND A RESTRICTED STOCK AWARD AGREEMENT ENTERED INTO BETWEEN THE REGISTERED OWNER HEREOF AND M&amp;T BANK CORPORATION. COPIES OF SUCH PLAN AND AGREEMENT ARE ON FILE IN THE OFFICES OF M&amp;T BANK CORPORATION.</w:t>
      </w:r>
    </w:p>
    <w:p>
      <w:pPr>
        <w:spacing w:after="0" w:line="1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soon as administratively feasible after the vesting of Covered Shares (or any portion thereof) and the Grantee’s payment of any applicable taxes, the Company will deliver to the Grantee evidence of the Grantee’s ownership (by book entry or certificate) of the Covered Shares that have vested and for which any applicable taxes have been paid, without the aforesaid legend.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40" w:top="274" w:right="319" w:bottom="1440" w:gutter="0" w:footer="0" w:header="0"/>
        </w:sectPr>
      </w:pPr>
    </w:p>
    <w:bookmarkStart w:id="187" w:name="page188"/>
    <w:bookmarkEnd w:id="187"/>
    <w:p>
      <w:pPr>
        <w:ind w:left="176" w:hanging="176"/>
        <w:spacing w:after="0"/>
        <w:tabs>
          <w:tab w:leader="none" w:pos="1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4" w:firstLine="921"/>
        <w:spacing w:after="0" w:line="264" w:lineRule="auto"/>
        <w:tabs>
          <w:tab w:leader="none" w:pos="693"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Grantee expressly acknowledges that the vesting of Covered Shares acquired under this Restricted Stock Award will give rise to ordinary income that is subject to tax withholding. The amount of income realized will be the Fair Market Value of the Covered Shares upon vesting when the substantial risk of forfeiture lapses.</w:t>
      </w:r>
    </w:p>
    <w:p>
      <w:pPr>
        <w:spacing w:after="0" w:line="181" w:lineRule="exact"/>
        <w:rPr>
          <w:rFonts w:ascii="Arial" w:cs="Arial" w:eastAsia="Arial" w:hAnsi="Arial"/>
          <w:sz w:val="18"/>
          <w:szCs w:val="18"/>
          <w:color w:val="auto"/>
        </w:rPr>
      </w:pPr>
    </w:p>
    <w:p>
      <w:pPr>
        <w:ind w:left="-464" w:right="40" w:firstLine="921"/>
        <w:spacing w:after="0" w:line="255" w:lineRule="auto"/>
        <w:tabs>
          <w:tab w:leader="none" w:pos="703"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Company’s obligation to issue or deliver shares of Common Stock upon the vesting of Covered Shares that are free of restrictions shall be subject to the satisfaction of any applicable federal, state, local or foreign tax withholding requirements (including the Grantee’s FICA obligation). The Grantee may satisfy any such withholding obligation by any of the following means or by a combination of such means: (a) tendering a cash payment; (b) authorizing the Company or the Third Party Administrator to cancel or sell shares of Common Stock otherwise issuable to the Grantee upon vesting of Covered Shares; or (c) delivering Shares to the Company or the Third Party Administrator. For purposes of this Paragraph 7(b), shares of Common Stock that are cancelled, sold and/or delivered to satisfy applicable withholding taxes shall be valued at their Fair Market Value on the date the withholding tax obligation arises.</w:t>
      </w:r>
    </w:p>
    <w:p>
      <w:pPr>
        <w:spacing w:after="0" w:line="189" w:lineRule="exact"/>
        <w:rPr>
          <w:rFonts w:ascii="Arial" w:cs="Arial" w:eastAsia="Arial" w:hAnsi="Arial"/>
          <w:sz w:val="18"/>
          <w:szCs w:val="18"/>
          <w:color w:val="auto"/>
        </w:rPr>
      </w:pPr>
    </w:p>
    <w:p>
      <w:pPr>
        <w:ind w:left="-464" w:firstLine="921"/>
        <w:spacing w:after="0" w:line="279" w:lineRule="auto"/>
        <w:tabs>
          <w:tab w:leader="none" w:pos="693"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The Grantee may elect, within thirty (30) days of the Date of Grant, under Section 83(b) of the Code, to recognize income at the time the Restricted Stock Award is made. If the Grantee makes a Section 83(b) election, the Grantee must pay tax withholding based on the Fair Market Value of the Covered Shares on the Date of Grant. If the Covered Shares (or a portion thereof) are subsequently forfeited, the taxes paid are forfeited, and the Grantee may not claim a loss with respect to the income recognized or on the Covered Shares forfeited.</w:t>
      </w:r>
    </w:p>
    <w:p>
      <w:pPr>
        <w:spacing w:after="0" w:line="171" w:lineRule="exact"/>
        <w:rPr>
          <w:rFonts w:ascii="Arial" w:cs="Arial" w:eastAsia="Arial" w:hAnsi="Arial"/>
          <w:sz w:val="17"/>
          <w:szCs w:val="17"/>
          <w:color w:val="auto"/>
        </w:rPr>
      </w:pPr>
    </w:p>
    <w:p>
      <w:pPr>
        <w:ind w:left="-464" w:firstLine="464"/>
        <w:spacing w:after="0" w:line="269" w:lineRule="auto"/>
        <w:tabs>
          <w:tab w:leader="none" w:pos="17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Restriction on Issuance of Covered Shares</w:t>
      </w:r>
      <w:r>
        <w:rPr>
          <w:rFonts w:ascii="Arial" w:cs="Arial" w:eastAsia="Arial" w:hAnsi="Arial"/>
          <w:sz w:val="17"/>
          <w:szCs w:val="17"/>
          <w:color w:val="auto"/>
        </w:rPr>
        <w:t>. Notwithstanding any other provision of this Agreement, the Grantee agrees, for himself or herself and his or her successors, that the Covered Shares will not be issued at any time that the Company does 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Covered Shares,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 (b) 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182" w:lineRule="exact"/>
        <w:rPr>
          <w:rFonts w:ascii="Arial" w:cs="Arial" w:eastAsia="Arial" w:hAnsi="Arial"/>
          <w:sz w:val="17"/>
          <w:szCs w:val="17"/>
          <w:color w:val="auto"/>
        </w:rPr>
      </w:pPr>
    </w:p>
    <w:p>
      <w:pPr>
        <w:ind w:left="-464" w:right="260" w:firstLine="464"/>
        <w:spacing w:after="0" w:line="286" w:lineRule="auto"/>
        <w:tabs>
          <w:tab w:leader="none" w:pos="17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Neither the Restricted Stock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97" w:lineRule="exact"/>
        <w:rPr>
          <w:rFonts w:ascii="Arial" w:cs="Arial" w:eastAsia="Arial" w:hAnsi="Arial"/>
          <w:sz w:val="17"/>
          <w:szCs w:val="17"/>
          <w:color w:val="auto"/>
        </w:rPr>
      </w:pPr>
    </w:p>
    <w:p>
      <w:pPr>
        <w:ind w:left="5196" w:hanging="96"/>
        <w:spacing w:after="0"/>
        <w:tabs>
          <w:tab w:leader="none" w:pos="5196" w:val="left"/>
        </w:tabs>
        <w:numPr>
          <w:ilvl w:val="2"/>
          <w:numId w:val="7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36"/>
          </w:cols>
          <w:pgMar w:left="704" w:top="274" w:right="259" w:bottom="1440" w:gutter="0" w:footer="0" w:header="0"/>
        </w:sectPr>
      </w:pPr>
    </w:p>
    <w:bookmarkStart w:id="188" w:name="page189"/>
    <w:bookmarkEnd w:id="188"/>
    <w:p>
      <w:pPr>
        <w:ind w:left="-464" w:right="540" w:firstLine="464"/>
        <w:spacing w:after="0" w:line="286" w:lineRule="auto"/>
        <w:tabs>
          <w:tab w:leader="none" w:pos="26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Plan</w:t>
      </w:r>
      <w:r>
        <w:rPr>
          <w:rFonts w:ascii="Arial" w:cs="Arial" w:eastAsia="Arial" w:hAnsi="Arial"/>
          <w:sz w:val="17"/>
          <w:szCs w:val="17"/>
          <w:color w:val="auto"/>
        </w:rPr>
        <w:t>. The Restricted Stock Award evidenced by this Agreement are subject to the terms and conditions of the Plan, which are incorporated herein by reference and made a part hereof, but the terms of the Plan shall not be considered an enlargement of any benefits under this Agreement. In addition, the Restricted Stock Award is subject to any rules and regulations promulgated by the Committee.</w:t>
      </w:r>
    </w:p>
    <w:p>
      <w:pPr>
        <w:spacing w:after="0" w:line="165" w:lineRule="exact"/>
        <w:rPr>
          <w:rFonts w:ascii="Arial" w:cs="Arial" w:eastAsia="Arial" w:hAnsi="Arial"/>
          <w:sz w:val="17"/>
          <w:szCs w:val="17"/>
          <w:color w:val="auto"/>
        </w:rPr>
      </w:pPr>
    </w:p>
    <w:p>
      <w:pPr>
        <w:ind w:left="-464" w:firstLine="464"/>
        <w:spacing w:after="0" w:line="277"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102" w:lineRule="exact"/>
        <w:rPr>
          <w:rFonts w:ascii="Arial" w:cs="Arial" w:eastAsia="Arial" w:hAnsi="Arial"/>
          <w:sz w:val="18"/>
          <w:szCs w:val="18"/>
          <w:color w:val="auto"/>
        </w:rPr>
      </w:pPr>
    </w:p>
    <w:p>
      <w:pPr>
        <w:ind w:left="5196" w:hanging="96"/>
        <w:spacing w:after="0"/>
        <w:tabs>
          <w:tab w:leader="none" w:pos="5196" w:val="left"/>
        </w:tabs>
        <w:numPr>
          <w:ilvl w:val="1"/>
          <w:numId w:val="7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76"/>
          </w:cols>
          <w:pgMar w:left="704" w:top="274"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10.26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 &lt;Participant Name&gt;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GRANT: &lt;Grant Date&gt;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&lt;Shares Granted&gt;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M&amp;T Bank Corporation (the “Company”) hereby grants to the Grantee a Restricted Stock Unit Award. This grant is made pursuant to the M&amp;T Bank Corporation 2009 Equity Incentive Compensation Plan (the “Plan”) and is subject to the terms and conditions of the Plan and this Agreement. As used herein, the term “Agreement” shall mean, collectively, this cover page, the related Terms and Conditions of Restricted Stock Unit Award delivered to the Grantee with this cover page, </w:t>
      </w:r>
      <w:r>
        <w:rPr>
          <w:rFonts w:ascii="Arial" w:cs="Arial" w:eastAsia="Arial" w:hAnsi="Arial"/>
          <w:sz w:val="17"/>
          <w:szCs w:val="17"/>
          <w:b w:val="1"/>
          <w:bCs w:val="1"/>
          <w:color w:val="auto"/>
        </w:rPr>
        <w:t>[and the Policy for Alignment of Incentive Compensation with Risk (the “Forfeiture Policy”)]*</w:t>
      </w:r>
      <w:r>
        <w:rPr>
          <w:rFonts w:ascii="Arial" w:cs="Arial" w:eastAsia="Arial" w:hAnsi="Arial"/>
          <w:sz w:val="17"/>
          <w:szCs w:val="17"/>
          <w:color w:val="auto"/>
        </w:rPr>
        <w:t xml:space="preserve">. As used herein, the term “vest” shall mean the lapsing of the restrictions described herein and in the Plan with respect to one or more Restricted Stock Units but shall not mean the actual settlement of the Award. Capitalized terms used in this Agreement without definition shall have the meanings assigned to them in the Plan. A copy of the Plan </w:t>
      </w:r>
      <w:r>
        <w:rPr>
          <w:rFonts w:ascii="Arial" w:cs="Arial" w:eastAsia="Arial" w:hAnsi="Arial"/>
          <w:sz w:val="17"/>
          <w:szCs w:val="17"/>
          <w:b w:val="1"/>
          <w:bCs w:val="1"/>
          <w:color w:val="auto"/>
        </w:rPr>
        <w:t xml:space="preserve">[and the Forfeiture Policy]* </w:t>
      </w:r>
      <w:r>
        <w:rPr>
          <w:rFonts w:ascii="Arial" w:cs="Arial" w:eastAsia="Arial" w:hAnsi="Arial"/>
          <w:sz w:val="17"/>
          <w:szCs w:val="17"/>
          <w:color w:val="auto"/>
        </w:rPr>
        <w:t>can be viewed and downloaded from the Company’s Intranet under the Human Resources page.</w:t>
      </w:r>
    </w:p>
    <w:p>
      <w:pPr>
        <w:spacing w:after="0" w:line="174"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 xml:space="preserve">Subject to the terms of the Plan </w:t>
      </w:r>
      <w:r>
        <w:rPr>
          <w:rFonts w:ascii="Arial" w:cs="Arial" w:eastAsia="Arial" w:hAnsi="Arial"/>
          <w:sz w:val="16"/>
          <w:szCs w:val="16"/>
          <w:b w:val="1"/>
          <w:bCs w:val="1"/>
          <w:color w:val="auto"/>
        </w:rPr>
        <w:t>[, the Forfeiture Policy,]*</w:t>
      </w:r>
      <w:r>
        <w:rPr>
          <w:rFonts w:ascii="Arial" w:cs="Arial" w:eastAsia="Arial" w:hAnsi="Arial"/>
          <w:sz w:val="16"/>
          <w:szCs w:val="16"/>
          <w:color w:val="auto"/>
        </w:rPr>
        <w:t xml:space="preserve"> and this Agreement, including without limitation, the Grantee’s fulfillment of the employment requirements in Paragraph 3(b) of the Terms and Conditions of Restricted Stock Unit Award, the Restricted Stock Units awarded hereunder shall vest on the dates (the “Vesting Dates”) indicated on the following vesting schedule, subject to the applicable provisions of the Plan and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vesting schedule, if any, as determined by the Committee.]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shall be no proportionate or partial vesting in the periods prior to each Vesting Date and, except as provided in the Terms and Conditions of Restricted Stock Unit Award, all vesting shall occur only on the occurrence of applicable Vesting Date.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unvested portion of the Grantee’s Restricted Stock Units is subject to forfeiture under Paragraph 3(b) of the Terms and Conditions of the Restricted Stock Unit Award </w:t>
      </w:r>
      <w:r>
        <w:rPr>
          <w:rFonts w:ascii="Arial" w:cs="Arial" w:eastAsia="Arial" w:hAnsi="Arial"/>
          <w:sz w:val="18"/>
          <w:szCs w:val="18"/>
          <w:b w:val="1"/>
          <w:bCs w:val="1"/>
          <w:color w:val="auto"/>
        </w:rPr>
        <w:t>[and the Forfeiture Policy]*</w:t>
      </w:r>
      <w:r>
        <w:rPr>
          <w:rFonts w:ascii="Arial" w:cs="Arial" w:eastAsia="Arial" w:hAnsi="Arial"/>
          <w:sz w:val="18"/>
          <w:szCs w:val="18"/>
          <w:color w:val="auto"/>
        </w:rPr>
        <w:t>. The foregoing vesting schedule (but not necessarily the actual settlement of the Award) may be accelerated under the circumstances described in the Terms and Conditions of Restricted Stock Unit Award.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5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44"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9673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12700</wp:posOffset>
            </wp:positionV>
            <wp:extent cx="25984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language will be included to the extent the award is covered by the Company’s Forfeiture Policy]</w:t>
      </w:r>
    </w:p>
    <w:p>
      <w:pPr>
        <w:sectPr>
          <w:pgSz w:w="11900" w:h="16838" w:orient="portrait"/>
          <w:cols w:equalWidth="0" w:num="1">
            <w:col w:w="11420"/>
          </w:cols>
          <w:pgMar w:left="240" w:top="121" w:right="239" w:bottom="1440" w:gutter="0" w:footer="0" w:header="0"/>
        </w:sectPr>
      </w:pPr>
    </w:p>
    <w:bookmarkStart w:id="190" w:name="page191"/>
    <w:bookmarkEnd w:id="190"/>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M&amp;T BANK CORPORATION</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4992"/>
        <w:spacing w:after="0"/>
        <w:tabs>
          <w:tab w:leader="none" w:pos="5632" w:val="left"/>
          <w:tab w:leader="none" w:pos="6312"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RESTRICTED STOCK UNIT AWARD</w:t>
      </w:r>
    </w:p>
    <w:p>
      <w:pPr>
        <w:spacing w:after="0" w:line="238" w:lineRule="exact"/>
        <w:rPr>
          <w:sz w:val="20"/>
          <w:szCs w:val="20"/>
          <w:color w:val="auto"/>
        </w:rPr>
      </w:pPr>
    </w:p>
    <w:p>
      <w:pPr>
        <w:ind w:left="452" w:right="340" w:hanging="452"/>
        <w:spacing w:after="0" w:line="277" w:lineRule="auto"/>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“Grantee” means the person identified as the “Grantee”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“Restricted Stock Unit” means an Award denominated in Common Stock that will be settled in Common Stock.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74"/>
        </w:numPr>
        <w:rPr>
          <w:rFonts w:ascii="Arial" w:cs="Arial" w:eastAsia="Arial" w:hAnsi="Arial"/>
          <w:sz w:val="17"/>
          <w:szCs w:val="17"/>
          <w:color w:val="auto"/>
        </w:rPr>
      </w:pPr>
      <w:r>
        <w:rPr>
          <w:rFonts w:ascii="Arial" w:cs="Arial" w:eastAsia="Arial" w:hAnsi="Arial"/>
          <w:sz w:val="17"/>
          <w:szCs w:val="17"/>
          <w:color w:val="auto"/>
        </w:rPr>
        <w:t>“Restricted Stock Unit Award” means the Award of Restricted Stock Units granted to the Grantee on the cover page of this Agreement.</w:t>
      </w:r>
    </w:p>
    <w:p>
      <w:pPr>
        <w:spacing w:after="0" w:line="142" w:lineRule="exact"/>
        <w:rPr>
          <w:rFonts w:ascii="Arial" w:cs="Arial" w:eastAsia="Arial" w:hAnsi="Arial"/>
          <w:sz w:val="17"/>
          <w:szCs w:val="17"/>
          <w:color w:val="auto"/>
        </w:rPr>
      </w:pPr>
    </w:p>
    <w:p>
      <w:pPr>
        <w:ind w:left="892" w:right="380" w:hanging="446"/>
        <w:spacing w:after="0" w:line="308" w:lineRule="auto"/>
        <w:tabs>
          <w:tab w:leader="none" w:pos="892" w:val="left"/>
        </w:tabs>
        <w:numPr>
          <w:ilvl w:val="1"/>
          <w:numId w:val="74"/>
        </w:numPr>
        <w:rPr>
          <w:rFonts w:ascii="Arial" w:cs="Arial" w:eastAsia="Arial" w:hAnsi="Arial"/>
          <w:sz w:val="17"/>
          <w:szCs w:val="17"/>
          <w:color w:val="auto"/>
        </w:rPr>
      </w:pPr>
      <w:r>
        <w:rPr>
          <w:rFonts w:ascii="Arial" w:cs="Arial" w:eastAsia="Arial" w:hAnsi="Arial"/>
          <w:sz w:val="17"/>
          <w:szCs w:val="17"/>
          <w:color w:val="auto"/>
        </w:rPr>
        <w:t>“Specified Employee” means an individual who is a “specified employee,” as defined under Section 409A of the Code, as determined by the Company in accordance with its uniform policy with respect to all arrangements subject to Section 409A of the Code.</w:t>
      </w:r>
    </w:p>
    <w:p>
      <w:pPr>
        <w:spacing w:after="0" w:line="51" w:lineRule="exact"/>
        <w:rPr>
          <w:rFonts w:ascii="Arial" w:cs="Arial" w:eastAsia="Arial" w:hAnsi="Arial"/>
          <w:sz w:val="17"/>
          <w:szCs w:val="17"/>
          <w:color w:val="auto"/>
        </w:rPr>
      </w:pPr>
    </w:p>
    <w:p>
      <w:pPr>
        <w:ind w:left="892" w:right="660" w:hanging="446"/>
        <w:spacing w:after="0" w:line="277" w:lineRule="auto"/>
        <w:tabs>
          <w:tab w:leader="none" w:pos="8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the Grantee’s employment with the Company and its Affiliates that constitutes a “separation from service,” as defined under Section 409A of the Code.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 Award</w:t>
      </w:r>
      <w:r>
        <w:rPr>
          <w:rFonts w:ascii="Arial" w:cs="Arial" w:eastAsia="Arial" w:hAnsi="Arial"/>
          <w:sz w:val="16"/>
          <w:szCs w:val="16"/>
          <w:color w:val="auto"/>
        </w:rPr>
        <w:t>. The Restricted Stock Unit Award granted hereby is granted in accordance with the cover page of this Agreement.</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Terms of the Restricted Stock Unit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40" w:firstLine="921"/>
        <w:spacing w:after="0" w:line="342" w:lineRule="auto"/>
        <w:tabs>
          <w:tab w:leader="none" w:pos="1149"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 Award</w:t>
      </w:r>
      <w:r>
        <w:rPr>
          <w:rFonts w:ascii="Arial" w:cs="Arial" w:eastAsia="Arial" w:hAnsi="Arial"/>
          <w:sz w:val="16"/>
          <w:szCs w:val="16"/>
          <w:color w:val="auto"/>
        </w:rPr>
        <w:t>. Restricted Stock Units are not actual shares of Common Stock. The Grantee’s interest in Restricted Stock Units shall make the Grantee only a general, unsecured creditor of the Company until the Restricted Stock Units become vested and settled.</w:t>
      </w:r>
    </w:p>
    <w:p>
      <w:pPr>
        <w:spacing w:after="0" w:line="123" w:lineRule="exact"/>
        <w:rPr>
          <w:rFonts w:ascii="Arial" w:cs="Arial" w:eastAsia="Arial" w:hAnsi="Arial"/>
          <w:sz w:val="16"/>
          <w:szCs w:val="16"/>
          <w:color w:val="auto"/>
        </w:rPr>
      </w:pPr>
    </w:p>
    <w:p>
      <w:pPr>
        <w:ind w:left="-8" w:right="40" w:firstLine="921"/>
        <w:spacing w:after="0" w:line="279" w:lineRule="auto"/>
        <w:tabs>
          <w:tab w:leader="none" w:pos="1160" w:val="left"/>
        </w:tabs>
        <w:numPr>
          <w:ilvl w:val="2"/>
          <w:numId w:val="74"/>
        </w:numPr>
        <w:rPr>
          <w:rFonts w:ascii="Arial" w:cs="Arial" w:eastAsia="Arial" w:hAnsi="Arial"/>
          <w:sz w:val="17"/>
          <w:szCs w:val="17"/>
          <w:color w:val="auto"/>
        </w:rPr>
      </w:pPr>
      <w:r>
        <w:rPr>
          <w:rFonts w:ascii="Arial" w:cs="Arial" w:eastAsia="Arial" w:hAnsi="Arial"/>
          <w:sz w:val="17"/>
          <w:szCs w:val="17"/>
          <w:u w:val="single" w:color="auto"/>
          <w:color w:val="auto"/>
        </w:rPr>
        <w:t>Employment Requirement; Forfeiture</w:t>
      </w:r>
      <w:r>
        <w:rPr>
          <w:rFonts w:ascii="Arial" w:cs="Arial" w:eastAsia="Arial" w:hAnsi="Arial"/>
          <w:sz w:val="17"/>
          <w:szCs w:val="17"/>
          <w:color w:val="auto"/>
        </w:rPr>
        <w:t>. Except as provided herein, the Grantee must remain continuously employed by the Company or one of its Affiliates from the Date of Grant and until the Restricted Stock Unit Award (or a portion thereof) has vested in order to be entitled to receive shares of Common Stock in settlement of such Restricted Stock Unit Award (or portion thereof, as the case may be). Upon the Grantee’s Termination of Employment with the Company or an Affiliate for any reason, including for Cause or as a result of the Grantee’s Resignation (other than due</w:t>
      </w:r>
    </w:p>
    <w:p>
      <w:pPr>
        <w:spacing w:after="0" w:line="103" w:lineRule="exact"/>
        <w:rPr>
          <w:rFonts w:ascii="Arial" w:cs="Arial" w:eastAsia="Arial" w:hAnsi="Arial"/>
          <w:sz w:val="17"/>
          <w:szCs w:val="17"/>
          <w:color w:val="auto"/>
        </w:rPr>
      </w:pPr>
    </w:p>
    <w:p>
      <w:pPr>
        <w:ind w:left="5652" w:hanging="96"/>
        <w:spacing w:after="0"/>
        <w:tabs>
          <w:tab w:leader="none" w:pos="5652" w:val="left"/>
        </w:tabs>
        <w:numPr>
          <w:ilvl w:val="3"/>
          <w:numId w:val="7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12"/>
          </w:cols>
          <w:pgMar w:left="248" w:top="274" w:right="239" w:bottom="1440" w:gutter="0" w:footer="0" w:header="0"/>
        </w:sectPr>
      </w:pPr>
    </w:p>
    <w:bookmarkStart w:id="191" w:name="page192"/>
    <w:bookmarkEnd w:id="191"/>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death, Retirement or Disability), before the Grantee’s Restricted Stock Units have fully vested, the Grantee will forfeit that portion of the Restricted Stock Units that have not vested as of the date of the Grantee’s Termination of Employment.</w:t>
      </w:r>
    </w:p>
    <w:p>
      <w:pPr>
        <w:spacing w:after="0" w:line="170" w:lineRule="exact"/>
        <w:rPr>
          <w:sz w:val="20"/>
          <w:szCs w:val="20"/>
          <w:color w:val="auto"/>
        </w:rPr>
      </w:pPr>
    </w:p>
    <w:p>
      <w:pPr>
        <w:ind w:right="20" w:firstLine="921"/>
        <w:spacing w:after="0" w:line="291" w:lineRule="auto"/>
        <w:tabs>
          <w:tab w:leader="none" w:pos="115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Acceleration of Vesting</w:t>
      </w:r>
      <w:r>
        <w:rPr>
          <w:rFonts w:ascii="Arial" w:cs="Arial" w:eastAsia="Arial" w:hAnsi="Arial"/>
          <w:sz w:val="16"/>
          <w:szCs w:val="16"/>
          <w:color w:val="auto"/>
        </w:rPr>
        <w:t>. Notwithstanding the above provisions of Paragraph 3(b) and the vesting schedule on the cover page of this Agreement, the unvested portion of the Restricted Stock Unit Award shall vest in full and become nonforfeitable (i) on the date a Change in Control occurs or</w:t>
      </w:r>
    </w:p>
    <w:p>
      <w:pPr>
        <w:ind w:right="280" w:firstLine="8"/>
        <w:spacing w:after="0" w:line="261"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the Grantee’s Termination of Employment with the Company or an Affiliate due to the Grantee’s death, Retirement or as a result of the Grantee’s Disability.</w:t>
      </w:r>
    </w:p>
    <w:p>
      <w:pPr>
        <w:spacing w:after="0" w:line="183" w:lineRule="exact"/>
        <w:rPr>
          <w:rFonts w:ascii="Arial" w:cs="Arial" w:eastAsia="Arial" w:hAnsi="Arial"/>
          <w:sz w:val="18"/>
          <w:szCs w:val="18"/>
          <w:color w:val="auto"/>
        </w:rPr>
      </w:pPr>
    </w:p>
    <w:p>
      <w:pPr>
        <w:jc w:val="both"/>
        <w:ind w:firstLine="921"/>
        <w:spacing w:after="0" w:line="264" w:lineRule="auto"/>
        <w:tabs>
          <w:tab w:leader="none" w:pos="116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With respect to each Restricted Stock Unit that becomes vested and nonforfeitable, subject to the satisfaction of all tax obligations as provided in Paragraph 6, the Restricted Stock Unit shall be settled and the Company shall deliver to the Grantee one share of Common Stock for each such vested Restricted Stock Unit within ten business days of the first to occur of:</w:t>
      </w:r>
    </w:p>
    <w:p>
      <w:pPr>
        <w:spacing w:after="0" w:line="73" w:lineRule="exact"/>
        <w:rPr>
          <w:sz w:val="20"/>
          <w:szCs w:val="20"/>
          <w:color w:val="auto"/>
        </w:rPr>
      </w:pPr>
    </w:p>
    <w:p>
      <w:pPr>
        <w:ind w:left="1140" w:hanging="219"/>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Grantee’s Termination of Employment due to the Grantee’s death, Retirement or as a result of the Grantee’s Disability;</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applicable Vesting Date; and</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in Control.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Notwithstanding the foregoing, if a Restricted Stock Unit constitutes a “nonqualified deferred compensation arrangement” subject to Section 409A of the Code, then (1) the settlement of such Restricted Stock Unit upon the Grantee’s Termination of Employment, other than due to the Grantee’s death, shall be delayed if the Grantee is a “Specified Employee” until the earlier of (A) the first day of the seventh month following the Grantee’s Termination of Employment and (B) the Grantee’s death; and (2) in the event that a Change in Control does not constitute a “change in control event” within the meaning of Section 409A of the Code and the regulations thereunder, the Restricted Stock Units shall be settled upon the first to occur of the events or dates set forth in clauses (i) and (ii) of this Paragraph 3(d) (but shall not be subject to the forfeiture provisions of Paragraph 3(b) following such Change in Control).</w:t>
      </w:r>
    </w:p>
    <w:p>
      <w:pPr>
        <w:spacing w:after="0" w:line="165" w:lineRule="exact"/>
        <w:rPr>
          <w:sz w:val="20"/>
          <w:szCs w:val="20"/>
          <w:color w:val="auto"/>
        </w:rPr>
      </w:pPr>
    </w:p>
    <w:p>
      <w:pPr>
        <w:ind w:right="180" w:firstLine="921"/>
        <w:spacing w:after="0" w:line="291" w:lineRule="auto"/>
        <w:tabs>
          <w:tab w:leader="none" w:pos="115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Grantee hereby (i) acknowledges that the Common Stock issued with respect to a vested Restricted Stock Unit upon its settlement may be held in book entry form on the books of Registrar and Transfer Company (or another institution specified by the Company), and</w:t>
      </w:r>
    </w:p>
    <w:p>
      <w:pPr>
        <w:ind w:left="280" w:hanging="272"/>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agrees to sign such other powers and take such other actions as the Company may reasonably request to accomplish the transfer.</w:t>
      </w:r>
    </w:p>
    <w:p>
      <w:pPr>
        <w:spacing w:after="0" w:line="210" w:lineRule="exact"/>
        <w:rPr>
          <w:rFonts w:ascii="Arial" w:cs="Arial" w:eastAsia="Arial" w:hAnsi="Arial"/>
          <w:sz w:val="18"/>
          <w:szCs w:val="18"/>
          <w:color w:val="auto"/>
        </w:rPr>
      </w:pPr>
    </w:p>
    <w:p>
      <w:pPr>
        <w:ind w:right="140" w:firstLine="921"/>
        <w:spacing w:after="0" w:line="277" w:lineRule="auto"/>
        <w:tabs>
          <w:tab w:leader="none" w:pos="1138"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Restricted Stock Units may not be sold, transferred, pledged, assigned, or otherwise alienated or hypothecated other than by will or by the laws of descent and distribution.</w:t>
      </w:r>
    </w:p>
    <w:p>
      <w:pPr>
        <w:spacing w:after="0" w:line="170" w:lineRule="exact"/>
        <w:rPr>
          <w:rFonts w:ascii="Arial" w:cs="Arial" w:eastAsia="Arial" w:hAnsi="Arial"/>
          <w:sz w:val="18"/>
          <w:szCs w:val="18"/>
          <w:color w:val="auto"/>
        </w:rPr>
      </w:pPr>
    </w:p>
    <w:p>
      <w:pPr>
        <w:ind w:right="40" w:firstLine="921"/>
        <w:spacing w:after="0" w:line="279" w:lineRule="auto"/>
        <w:tabs>
          <w:tab w:leader="none" w:pos="1168"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If on any date the Company pays any dividend with respect to its Common Stock (the “Payment Date”), then, within 60 days following the Payment Date, the Company shall pay, or cause an Affiliate to pay, to the Grantee an amount equal to: (i) the product of (x) the number of the Grantee’s Restricted Stock Units as of the Payment Date and (y) the per share cash amount of such dividend (or, in the case of a dividend payable in shares of Common Stock or in property other than cash, the per share equivalent fair market value of such dividend, as determined in</w:t>
      </w:r>
    </w:p>
    <w:p>
      <w:pPr>
        <w:spacing w:after="0" w:line="103" w:lineRule="exact"/>
        <w:rPr>
          <w:rFonts w:ascii="Arial" w:cs="Arial" w:eastAsia="Arial" w:hAnsi="Arial"/>
          <w:sz w:val="17"/>
          <w:szCs w:val="17"/>
          <w:color w:val="auto"/>
        </w:rPr>
      </w:pPr>
    </w:p>
    <w:p>
      <w:pPr>
        <w:ind w:left="5660" w:hanging="96"/>
        <w:spacing w:after="0"/>
        <w:tabs>
          <w:tab w:leader="none" w:pos="56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92" w:name="page193"/>
    <w:bookmarkEnd w:id="192"/>
    <w:p>
      <w:pPr>
        <w:ind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faith by the Committee). Notwithstanding the foregoing, dividends and distributions other than regular cash dividends, if any, may result in an adjustment pursuant to Paragraph 6, rather than under this Paragraph 3.</w:t>
      </w:r>
    </w:p>
    <w:p>
      <w:pPr>
        <w:spacing w:after="0" w:line="76" w:lineRule="exact"/>
        <w:rPr>
          <w:sz w:val="20"/>
          <w:szCs w:val="20"/>
          <w:color w:val="auto"/>
        </w:rPr>
      </w:pPr>
    </w:p>
    <w:p>
      <w:pPr>
        <w:ind w:left="460" w:right="80" w:hanging="452"/>
        <w:spacing w:after="0" w:line="273"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The Grantee acknowledges and agrees that, with respect to the Restricted Stock Units, he or she has no voting rights with respect to the Company unless and until such Restricted Stock Units are settled in Common Stock pursuant to Paragraph 3(d). Upon and following the settlement of a Restricted Stock Unit, the Grantee shall be the record owner of the Common Stock issued to him or her unless and until such shares are sold or otherwise disposed of, and as record owner shall be entitled to all rights of a stockholder of the Company holding such Common Stock, including, without limitation, voting rights, if any, with respect to such Common Stock. Prior to the Settlement Date, the Grantee shall not be deemed for any purpose to be the owner of any Common Stock denominated by the Restricted Stock Unit Award.</w:t>
      </w:r>
    </w:p>
    <w:p>
      <w:pPr>
        <w:spacing w:after="0" w:line="83"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Restricted Stock Units is subject to adjustment, in accordance with Section 4.2 of the Plan, on an equitable and proportionate basis in the manner deemed appropriate by the Committee.</w:t>
      </w:r>
    </w:p>
    <w:p>
      <w:pPr>
        <w:spacing w:after="0" w:line="75" w:lineRule="exact"/>
        <w:rPr>
          <w:rFonts w:ascii="Arial" w:cs="Arial" w:eastAsia="Arial" w:hAnsi="Arial"/>
          <w:sz w:val="18"/>
          <w:szCs w:val="18"/>
          <w:color w:val="auto"/>
        </w:rPr>
      </w:pPr>
    </w:p>
    <w:p>
      <w:pPr>
        <w:ind w:left="460" w:right="60" w:hanging="452"/>
        <w:spacing w:after="0" w:line="288"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Grantee expressly acknowledges that: (a) the Grantee’s Restricted Stock Units will constitute wages under the Federal Insurance Contributions Act (FICA) and Federal Unemployment Tax Act (FUTA) that are subject to tax withholding by the Company or its Affiliate upon becoming vested (including when the Grantee has met all of the requirements for Retirement (other than terminating employment)) and (b) the Common Stock delivered to a Grantee upon the settlement of his or her Restricted Stock Units will constitute wages for purposes of federal and all other employment taxes, subject to tax withholding by the Company or its Affiliate. The Company’s obligation to issue or deliver shares of Common Stock with respect to the settlement of Restricted Stock Units shall be subject to the satisfaction of any applicable federal, state, local or foreign tax withholding requirements (including the Grantee’s FICA and FUTA obligation). To the extent permitted by law, the Company and its Affiliates shall have the right to deduct any such taxes from any payment otherwise due to the Grantee (or his or her beneficiary). The Committee may establish such procedures as it deems appropriate, including making irrevocable elections, for the settlement of withholding obligations with Common Stock having a Fair Market Value on the date of withholding equal to the minimum amount (and not any greater amount) required to be withheld for tax purposes.</w:t>
      </w:r>
    </w:p>
    <w:p>
      <w:pPr>
        <w:spacing w:after="0" w:line="74"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Restriction on Issuance of Common Stock</w:t>
      </w:r>
      <w:r>
        <w:rPr>
          <w:rFonts w:ascii="Arial" w:cs="Arial" w:eastAsia="Arial" w:hAnsi="Arial"/>
          <w:sz w:val="16"/>
          <w:szCs w:val="16"/>
          <w:color w:val="auto"/>
        </w:rPr>
        <w:t>. Notwithstanding any other provision of this Agreement, the Grantee agrees, for himself or herself and his or her successors, that Common Stock will not be issued at any time that the Company does 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Common Stock,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w:t>
      </w:r>
    </w:p>
    <w:p>
      <w:pPr>
        <w:spacing w:after="0" w:line="2" w:lineRule="exact"/>
        <w:rPr>
          <w:rFonts w:ascii="Arial" w:cs="Arial" w:eastAsia="Arial" w:hAnsi="Arial"/>
          <w:sz w:val="16"/>
          <w:szCs w:val="16"/>
          <w:color w:val="auto"/>
        </w:rPr>
      </w:pPr>
    </w:p>
    <w:p>
      <w:pPr>
        <w:ind w:left="460" w:right="440" w:hanging="6"/>
        <w:spacing w:after="0" w:line="261" w:lineRule="auto"/>
        <w:tabs>
          <w:tab w:leader="none" w:pos="71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staff of the Securities and Exchange Commission has issued a “no-action” letter with respect to such disposition; or (c) such registration or notification as is, in the opinion of counsel for the Company, required for the lawful disposition of such shares</w:t>
      </w:r>
    </w:p>
    <w:p>
      <w:pPr>
        <w:spacing w:after="0" w:line="116" w:lineRule="exact"/>
        <w:rPr>
          <w:rFonts w:ascii="Arial" w:cs="Arial" w:eastAsia="Arial" w:hAnsi="Arial"/>
          <w:sz w:val="18"/>
          <w:szCs w:val="18"/>
          <w:color w:val="auto"/>
        </w:rPr>
      </w:pPr>
    </w:p>
    <w:p>
      <w:pPr>
        <w:ind w:left="5660" w:hanging="96"/>
        <w:spacing w:after="0"/>
        <w:tabs>
          <w:tab w:leader="none" w:pos="56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sectPr>
      </w:pPr>
    </w:p>
    <w:bookmarkStart w:id="193" w:name="page194"/>
    <w:bookmarkEnd w:id="193"/>
    <w:p>
      <w:pPr>
        <w:ind w:left="452"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29" w:lineRule="exact"/>
        <w:rPr>
          <w:sz w:val="20"/>
          <w:szCs w:val="20"/>
          <w:color w:val="auto"/>
        </w:rPr>
      </w:pPr>
    </w:p>
    <w:p>
      <w:pPr>
        <w:jc w:val="both"/>
        <w:ind w:left="452" w:right="80" w:hanging="452"/>
        <w:spacing w:after="0" w:line="286" w:lineRule="auto"/>
        <w:tabs>
          <w:tab w:leader="none" w:pos="45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Neither the Restricted Stock Unit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70" w:lineRule="exact"/>
        <w:rPr>
          <w:rFonts w:ascii="Arial" w:cs="Arial" w:eastAsia="Arial" w:hAnsi="Arial"/>
          <w:sz w:val="17"/>
          <w:szCs w:val="17"/>
          <w:color w:val="auto"/>
        </w:rPr>
      </w:pPr>
    </w:p>
    <w:p>
      <w:pPr>
        <w:ind w:left="452" w:right="20" w:hanging="452"/>
        <w:spacing w:after="0" w:line="264"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Committee may permit the Grantee to file with the Company a written designation of a beneficiary on such form as may be prescribed by the Committee and may, from time to time, amend or revoke such designation. In the absence of any such designation or if all designated beneficiaries predecease the Grantee, the Grantee’s estate shall be deemed to be the Grantee’s beneficiary.</w:t>
      </w:r>
    </w:p>
    <w:p>
      <w:pPr>
        <w:spacing w:after="0" w:line="86" w:lineRule="exact"/>
        <w:rPr>
          <w:rFonts w:ascii="Arial" w:cs="Arial" w:eastAsia="Arial" w:hAnsi="Arial"/>
          <w:sz w:val="18"/>
          <w:szCs w:val="18"/>
          <w:color w:val="auto"/>
        </w:rPr>
      </w:pPr>
    </w:p>
    <w:p>
      <w:pPr>
        <w:ind w:left="452" w:right="340" w:hanging="452"/>
        <w:spacing w:after="0" w:line="312" w:lineRule="auto"/>
        <w:tabs>
          <w:tab w:leader="none" w:pos="45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Subject to the Plan</w:t>
      </w:r>
      <w:r>
        <w:rPr>
          <w:rFonts w:ascii="Arial" w:cs="Arial" w:eastAsia="Arial" w:hAnsi="Arial"/>
          <w:sz w:val="16"/>
          <w:szCs w:val="16"/>
          <w:color w:val="auto"/>
        </w:rPr>
        <w:t>. The Restricted Stock Unit Award evidenced by this Agreement are subject to the terms and conditions of the Plan, which are incorporated herein by reference and made a part hereof, but the terms of the Plan shall not be considered an enlargement of any benefits under this Agreement. In addition, the Restricted Stock Unit Award is subject to any rules and regulations promulgated by the Committee.</w:t>
      </w:r>
    </w:p>
    <w:p>
      <w:pPr>
        <w:spacing w:after="0" w:line="52"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Restricted Stock Unit Award is intended to comply with the requirements of Section 409A of the Code or an exemption or exclusion therefrom and shall in all respects be administered in accordance with Section 409A of the Code. If a Restricted Stock Unit does not constitute a “nonqualified deferred compensation arrangement” subject to Section 409A of the Code, then the Restricted Stock Unit shall be settled no later than the March 15th following the calendar year in which it became vested.</w:t>
      </w:r>
    </w:p>
    <w:p>
      <w:pPr>
        <w:spacing w:after="0" w:line="92" w:lineRule="exact"/>
        <w:rPr>
          <w:rFonts w:ascii="Arial" w:cs="Arial" w:eastAsia="Arial" w:hAnsi="Arial"/>
          <w:sz w:val="18"/>
          <w:szCs w:val="18"/>
          <w:color w:val="auto"/>
        </w:rPr>
      </w:pPr>
    </w:p>
    <w:p>
      <w:pPr>
        <w:ind w:left="452" w:right="320" w:hanging="452"/>
        <w:spacing w:after="0" w:line="277"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75" w:lineRule="exact"/>
        <w:rPr>
          <w:rFonts w:ascii="Arial" w:cs="Arial" w:eastAsia="Arial" w:hAnsi="Arial"/>
          <w:sz w:val="18"/>
          <w:szCs w:val="18"/>
          <w:color w:val="auto"/>
        </w:rPr>
      </w:pPr>
    </w:p>
    <w:p>
      <w:pPr>
        <w:ind w:left="452" w:right="180" w:hanging="452"/>
        <w:spacing w:after="0" w:line="277" w:lineRule="auto"/>
        <w:tabs>
          <w:tab w:leader="none" w:pos="45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5020"/>
        <w:spacing w:after="0"/>
        <w:tabs>
          <w:tab w:leader="none" w:pos="5680" w:val="left"/>
          <w:tab w:leader="none" w:pos="6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PERFORMANCE-VESTED RESTRICTED STOCK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 &lt;Participant Name&gt;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GRANT: &lt;Grant Date&gt;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&lt;Shares Granted&gt;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M&amp;T Bank Corporation (the “Company”) hereby grants to the Grantee a Performance-Vested Restricted Stock Unit Award. This grant is made pursuant to the M&amp;T Bank Corporation 2009 Equity Incentive Compensation Plan (the “Plan”) and is subject to the terms and conditions of the Plan and this Agreement. As used herein, the term “Agreement” shall mean, collectively, this cover page, the related Terms and Conditions of Restricted Stock Unit Award delivered to the Grantee with this cover page (the “Terms and Conditions”), and the Policy for Alignment of Incentive Compensation with Risk (the “Forfeiture Policy”). As used herein, the term “vest” shall mean the lapsing of the restrictions and the satisfaction of the conditions described herein and in the Plan with respect to one or more Performance-Vested Restricted Stock Units but shall not mean the actual settlement of the Award. Capitalized terms used in this Agreement without definition shall have the meanings assigned to them in the Plan. A copy of the Plan and the Forfeiture Policy can be viewed and downloaded from the Company’s Intranet under the Human Resources page.</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Subject to the terms of the Plan</w:t>
      </w:r>
      <w:r>
        <w:rPr>
          <w:rFonts w:ascii="Arial" w:cs="Arial" w:eastAsia="Arial" w:hAnsi="Arial"/>
          <w:sz w:val="18"/>
          <w:szCs w:val="18"/>
          <w:b w:val="1"/>
          <w:bCs w:val="1"/>
          <w:color w:val="auto"/>
        </w:rPr>
        <w:t>,</w:t>
      </w:r>
      <w:r>
        <w:rPr>
          <w:rFonts w:ascii="Arial" w:cs="Arial" w:eastAsia="Arial" w:hAnsi="Arial"/>
          <w:sz w:val="18"/>
          <w:szCs w:val="18"/>
          <w:color w:val="auto"/>
        </w:rPr>
        <w:t xml:space="preserve"> the Forfeiture Policy, and this Agreement, including without limitation, the Grantee’s fulfillment of the employment requirements in Paragraph 3(b) of the Terms and Conditions, the Restricted Stock Units awarded hereunder shall vest on the dates (the “Vesting Dates”) indicated on the following vesting schedule, subject to the applicable provisions of the Plan and this Agreement, provided that the performance requirements in Paragraph 3(c) of the Terms and Conditions are satisfied: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vesting schedule, if any, as determined by the Committee.]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shall be no proportionate or partial vesting in the periods prior to each Vesting Date and, except as provided in the Terms and Conditions, all vesting shall occur only on the occurrence of applicable Vesting Date.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unvested portion of the Grantee’s Restricted Stock Units is subject to forfeiture under Paragraph 3(b) of the Terms and Conditions and the Forfeiture Policy. The foregoing vesting schedule (but not necessarily the actual settlement of the Award) may be accelerated under the circumstances described in the Terms and Conditions.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5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6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525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5" w:name="page196"/>
    <w:bookmarkEnd w:id="195"/>
    <w:p>
      <w:pPr>
        <w:jc w:val="center"/>
        <w:ind w:right="-17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2009 EQUITY INCENTIVE COMPENSATION PLAN</w:t>
      </w:r>
    </w:p>
    <w:p>
      <w:pPr>
        <w:spacing w:after="0" w:line="207" w:lineRule="exact"/>
        <w:rPr>
          <w:sz w:val="20"/>
          <w:szCs w:val="20"/>
          <w:color w:val="auto"/>
        </w:rPr>
      </w:pPr>
    </w:p>
    <w:p>
      <w:pPr>
        <w:ind w:left="4992"/>
        <w:spacing w:after="0"/>
        <w:tabs>
          <w:tab w:leader="none" w:pos="5632" w:val="left"/>
          <w:tab w:leader="none" w:pos="6312"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PERFORMANCE-VESTED RESTRICTED STOCK UNIT AWARD</w:t>
      </w:r>
    </w:p>
    <w:p>
      <w:pPr>
        <w:spacing w:after="0" w:line="238" w:lineRule="exact"/>
        <w:rPr>
          <w:sz w:val="20"/>
          <w:szCs w:val="20"/>
          <w:color w:val="auto"/>
        </w:rPr>
      </w:pPr>
    </w:p>
    <w:p>
      <w:pPr>
        <w:ind w:left="452" w:right="160" w:hanging="452"/>
        <w:spacing w:after="0" w:line="277"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“Grantee” means the person identified as the “Grantee”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82"/>
        </w:numPr>
        <w:rPr>
          <w:rFonts w:ascii="Arial" w:cs="Arial" w:eastAsia="Arial" w:hAnsi="Arial"/>
          <w:sz w:val="17"/>
          <w:szCs w:val="17"/>
          <w:color w:val="auto"/>
        </w:rPr>
      </w:pPr>
      <w:r>
        <w:rPr>
          <w:rFonts w:ascii="Arial" w:cs="Arial" w:eastAsia="Arial" w:hAnsi="Arial"/>
          <w:sz w:val="17"/>
          <w:szCs w:val="17"/>
          <w:color w:val="auto"/>
        </w:rPr>
        <w:t>“Performance Period” means the full one calendar year (i.e., January 1 to December 31) immediately preceding a given Vesting Date.</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1"/>
          <w:numId w:val="82"/>
        </w:numPr>
        <w:rPr>
          <w:rFonts w:ascii="Arial" w:cs="Arial" w:eastAsia="Arial" w:hAnsi="Arial"/>
          <w:sz w:val="17"/>
          <w:szCs w:val="17"/>
          <w:color w:val="auto"/>
        </w:rPr>
      </w:pPr>
      <w:r>
        <w:rPr>
          <w:rFonts w:ascii="Arial" w:cs="Arial" w:eastAsia="Arial" w:hAnsi="Arial"/>
          <w:sz w:val="17"/>
          <w:szCs w:val="17"/>
          <w:color w:val="auto"/>
        </w:rPr>
        <w:t>“Performance-Vested Restricted Stock Unit” means an Award denominated in Common Stock that will be settled in Common Stock.</w:t>
      </w:r>
    </w:p>
    <w:p>
      <w:pPr>
        <w:spacing w:after="0" w:line="142"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“Performance-Vested Restricted Stock Unit Award” means the Award of Restricted Stock Units granted to the Grantee on the cover page of this Agreement.</w:t>
      </w:r>
    </w:p>
    <w:p>
      <w:pPr>
        <w:spacing w:after="0" w:line="75" w:lineRule="exact"/>
        <w:rPr>
          <w:rFonts w:ascii="Arial" w:cs="Arial" w:eastAsia="Arial" w:hAnsi="Arial"/>
          <w:sz w:val="18"/>
          <w:szCs w:val="18"/>
          <w:color w:val="auto"/>
        </w:rPr>
      </w:pPr>
    </w:p>
    <w:p>
      <w:pPr>
        <w:ind w:left="892" w:right="200" w:hanging="446"/>
        <w:spacing w:after="0" w:line="308" w:lineRule="auto"/>
        <w:tabs>
          <w:tab w:leader="none" w:pos="892" w:val="left"/>
        </w:tabs>
        <w:numPr>
          <w:ilvl w:val="1"/>
          <w:numId w:val="82"/>
        </w:numPr>
        <w:rPr>
          <w:rFonts w:ascii="Arial" w:cs="Arial" w:eastAsia="Arial" w:hAnsi="Arial"/>
          <w:sz w:val="17"/>
          <w:szCs w:val="17"/>
          <w:color w:val="auto"/>
        </w:rPr>
      </w:pPr>
      <w:r>
        <w:rPr>
          <w:rFonts w:ascii="Arial" w:cs="Arial" w:eastAsia="Arial" w:hAnsi="Arial"/>
          <w:sz w:val="17"/>
          <w:szCs w:val="17"/>
          <w:color w:val="auto"/>
        </w:rPr>
        <w:t>“Specified Employee” means an individual who is a “specified employee,” as defined under Section 409A of the Code, as determined by the Company in accordance with its uniform policy with respect to all arrangements subject to Section 409A of the Code.</w:t>
      </w:r>
    </w:p>
    <w:p>
      <w:pPr>
        <w:spacing w:after="0" w:line="51" w:lineRule="exact"/>
        <w:rPr>
          <w:rFonts w:ascii="Arial" w:cs="Arial" w:eastAsia="Arial" w:hAnsi="Arial"/>
          <w:sz w:val="17"/>
          <w:szCs w:val="17"/>
          <w:color w:val="auto"/>
        </w:rPr>
      </w:pPr>
    </w:p>
    <w:p>
      <w:pPr>
        <w:ind w:left="892" w:right="480" w:hanging="446"/>
        <w:spacing w:after="0" w:line="277" w:lineRule="auto"/>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the Grantee’s employment with the Company and its Affiliates that constitutes a “separation from service,” as defined under Section 409A of the Code.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82"/>
        </w:numPr>
        <w:rPr>
          <w:rFonts w:ascii="Arial" w:cs="Arial" w:eastAsia="Arial" w:hAnsi="Arial"/>
          <w:sz w:val="18"/>
          <w:szCs w:val="18"/>
          <w:color w:val="auto"/>
        </w:rPr>
      </w:pPr>
      <w:r>
        <w:rPr>
          <w:rFonts w:ascii="Arial" w:cs="Arial" w:eastAsia="Arial" w:hAnsi="Arial"/>
          <w:sz w:val="18"/>
          <w:szCs w:val="18"/>
          <w:color w:val="auto"/>
        </w:rPr>
        <w:t>“Vesting Dates” means the vesting dates designated in the schedule on the cover page of this Agreement.</w:t>
      </w:r>
    </w:p>
    <w:p>
      <w:pPr>
        <w:spacing w:after="0" w:line="130" w:lineRule="exact"/>
        <w:rPr>
          <w:rFonts w:ascii="Arial" w:cs="Arial" w:eastAsia="Arial" w:hAnsi="Arial"/>
          <w:sz w:val="18"/>
          <w:szCs w:val="18"/>
          <w:color w:val="auto"/>
        </w:rPr>
      </w:pPr>
    </w:p>
    <w:p>
      <w:pPr>
        <w:ind w:left="452" w:right="520" w:hanging="452"/>
        <w:spacing w:after="0" w:line="277" w:lineRule="auto"/>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Grant of Performance-Vested Restricted Stock Unit Award</w:t>
      </w:r>
      <w:r>
        <w:rPr>
          <w:rFonts w:ascii="Arial" w:cs="Arial" w:eastAsia="Arial" w:hAnsi="Arial"/>
          <w:sz w:val="18"/>
          <w:szCs w:val="18"/>
          <w:color w:val="auto"/>
        </w:rPr>
        <w:t>. The Performance-Vested Restricted Stock Unit Award granted hereby is granted in accordance with the cover page of this 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Terms of the Performance-Vested Restricted Stock Unit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0" w:firstLine="921"/>
        <w:spacing w:after="0" w:line="264" w:lineRule="auto"/>
        <w:tabs>
          <w:tab w:leader="none" w:pos="1149"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Nature of Performance-Vested Restricted Stock Unit Award</w:t>
      </w:r>
      <w:r>
        <w:rPr>
          <w:rFonts w:ascii="Arial" w:cs="Arial" w:eastAsia="Arial" w:hAnsi="Arial"/>
          <w:sz w:val="18"/>
          <w:szCs w:val="18"/>
          <w:color w:val="auto"/>
        </w:rPr>
        <w:t>. Performance-Vested Restricted Stock Units are not actual shares of Common Stock. The Grantee’s interest in Performance-Vested Restricted Stock Units shall make the Grantee only a general, unsecured creditor of the Company until the Performance-Vested Restricted Stock Units become vested and settled.</w:t>
      </w:r>
    </w:p>
    <w:p>
      <w:pPr>
        <w:spacing w:after="0" w:line="113" w:lineRule="exact"/>
        <w:rPr>
          <w:rFonts w:ascii="Arial" w:cs="Arial" w:eastAsia="Arial" w:hAnsi="Arial"/>
          <w:sz w:val="18"/>
          <w:szCs w:val="18"/>
          <w:color w:val="auto"/>
        </w:rPr>
      </w:pPr>
    </w:p>
    <w:p>
      <w:pPr>
        <w:ind w:left="5652" w:hanging="96"/>
        <w:spacing w:after="0"/>
        <w:tabs>
          <w:tab w:leader="none" w:pos="5652" w:val="left"/>
        </w:tabs>
        <w:numPr>
          <w:ilvl w:val="3"/>
          <w:numId w:val="8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32"/>
          </w:cols>
          <w:pgMar w:left="248" w:top="274" w:right="419" w:bottom="1440" w:gutter="0" w:footer="0" w:header="0"/>
        </w:sectPr>
      </w:pPr>
    </w:p>
    <w:bookmarkStart w:id="196" w:name="page197"/>
    <w:bookmarkEnd w:id="196"/>
    <w:p>
      <w:pPr>
        <w:ind w:right="20" w:firstLine="921"/>
        <w:spacing w:after="0" w:line="255" w:lineRule="auto"/>
        <w:tabs>
          <w:tab w:leader="none" w:pos="116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Requirement; Forfeiture</w:t>
      </w:r>
      <w:r>
        <w:rPr>
          <w:rFonts w:ascii="Arial" w:cs="Arial" w:eastAsia="Arial" w:hAnsi="Arial"/>
          <w:sz w:val="18"/>
          <w:szCs w:val="18"/>
          <w:color w:val="auto"/>
        </w:rPr>
        <w:t>. Except as provided herein, the Grantee must remain continuously employed by the Company or one of its Affiliates from the Date of Grant and until the Performance-Vested Restricted Stock Unit Award (or a portion thereof) has vested in order to be entitled to receive shares of Common Stock in settlement of such Performance-Vested Performance-Vested Restricted Stock Unit Award (or portion thereof, as the case may be). Upon the Grantee’s Termination of Employment with the Company or an Affiliate for any reason, including for Cause or as a result of the Grantee’s Resignation (other than due to death, Retirement or Disability), before the Grantee’s Performance-Vested Restricted Stock Units have fully vested, the Grantee will forfeit that portion of the Performance-Vested Restricted Stock Units that have not vested as of the date of the Grantee’s Termination of Employment.</w:t>
      </w:r>
    </w:p>
    <w:p>
      <w:pPr>
        <w:spacing w:after="0" w:line="185" w:lineRule="exact"/>
        <w:rPr>
          <w:rFonts w:ascii="Arial" w:cs="Arial" w:eastAsia="Arial" w:hAnsi="Arial"/>
          <w:sz w:val="18"/>
          <w:szCs w:val="18"/>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Performance Requirement</w:t>
      </w:r>
      <w:r>
        <w:rPr>
          <w:rFonts w:ascii="Arial" w:cs="Arial" w:eastAsia="Arial" w:hAnsi="Arial"/>
          <w:sz w:val="18"/>
          <w:szCs w:val="18"/>
          <w:color w:val="auto"/>
        </w:rPr>
        <w:t xml:space="preserve">. </w:t>
      </w:r>
      <w:r>
        <w:rPr>
          <w:rFonts w:ascii="Arial" w:cs="Arial" w:eastAsia="Arial" w:hAnsi="Arial"/>
          <w:sz w:val="18"/>
          <w:szCs w:val="18"/>
          <w:b w:val="1"/>
          <w:bCs w:val="1"/>
          <w:color w:val="auto"/>
        </w:rPr>
        <w:t>[Insert performance metric approved by the Committee.]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 xml:space="preserve">Calculation of </w:t>
      </w:r>
      <w:r>
        <w:rPr>
          <w:rFonts w:ascii="Arial" w:cs="Arial" w:eastAsia="Arial" w:hAnsi="Arial"/>
          <w:sz w:val="18"/>
          <w:szCs w:val="18"/>
          <w:b w:val="1"/>
          <w:bCs w:val="1"/>
          <w:u w:val="single" w:color="auto"/>
          <w:color w:val="auto"/>
        </w:rPr>
        <w:t>[Insert Performance metric approved by the Committee]</w:t>
      </w:r>
      <w:r>
        <w:rPr>
          <w:rFonts w:ascii="Arial" w:cs="Arial" w:eastAsia="Arial" w:hAnsi="Arial"/>
          <w:sz w:val="18"/>
          <w:szCs w:val="18"/>
          <w:u w:val="single" w:color="auto"/>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[Insert description of the performance metric approved by the Committee.]</w:t>
      </w:r>
    </w:p>
    <w:p>
      <w:pPr>
        <w:spacing w:after="0" w:line="229" w:lineRule="exact"/>
        <w:rPr>
          <w:sz w:val="20"/>
          <w:szCs w:val="20"/>
          <w:color w:val="auto"/>
        </w:rPr>
      </w:pPr>
    </w:p>
    <w:p>
      <w:pPr>
        <w:jc w:val="both"/>
        <w:ind w:right="20" w:firstLine="921"/>
        <w:spacing w:after="0" w:line="259" w:lineRule="auto"/>
        <w:tabs>
          <w:tab w:leader="none" w:pos="115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Acceleration of Vesting</w:t>
      </w:r>
      <w:r>
        <w:rPr>
          <w:rFonts w:ascii="Arial" w:cs="Arial" w:eastAsia="Arial" w:hAnsi="Arial"/>
          <w:sz w:val="18"/>
          <w:szCs w:val="18"/>
          <w:color w:val="auto"/>
        </w:rPr>
        <w:t>. Notwithstanding the above provisions of Paragraphs 3(b) and 3(c) and the vesting schedule on the cover page of this Agreement, the unvested portion of the Performance-Vested Restricted Stock Unit Award shall vest in full and become nonforfeitable (i) on the date a Change in Control occurs or (ii) upon the Grantee’s Termination of Employment with the Company or an Affiliate due to the Grantee’s death, Retirement or as a result of the Grantee’s Disability.</w:t>
      </w:r>
    </w:p>
    <w:p>
      <w:pPr>
        <w:spacing w:after="0" w:line="186" w:lineRule="exact"/>
        <w:rPr>
          <w:rFonts w:ascii="Arial" w:cs="Arial" w:eastAsia="Arial" w:hAnsi="Arial"/>
          <w:sz w:val="18"/>
          <w:szCs w:val="18"/>
          <w:color w:val="auto"/>
        </w:rPr>
      </w:pPr>
    </w:p>
    <w:p>
      <w:pPr>
        <w:jc w:val="both"/>
        <w:ind w:right="40" w:firstLine="921"/>
        <w:spacing w:after="0" w:line="286" w:lineRule="auto"/>
        <w:tabs>
          <w:tab w:leader="none" w:pos="113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With respect to each Performance-Vested Restricted Stock Unit that becomes vested and nonforfeitable, subject to the satisfaction of all tax obligations as provided in Paragraph 6, the Performance-Vested Restricted Stock Unit shall be settled and the Company shall deliver to the Grantee one share of Common Stock for each such vested Performance-Vested Restricted Stock Unit at the earliest of:</w:t>
      </w:r>
    </w:p>
    <w:p>
      <w:pPr>
        <w:spacing w:after="0" w:line="57" w:lineRule="exact"/>
        <w:rPr>
          <w:sz w:val="20"/>
          <w:szCs w:val="20"/>
          <w:color w:val="auto"/>
        </w:rPr>
      </w:pPr>
    </w:p>
    <w:p>
      <w:pPr>
        <w:ind w:left="920" w:right="220" w:firstLine="1"/>
        <w:spacing w:after="0" w:line="277" w:lineRule="auto"/>
        <w:tabs>
          <w:tab w:leader="none" w:pos="11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ten business days of the Grantee’s Termination of Employment due to the Grantee’s death, Retirement or as a result of the Grantee’s Disability;</w:t>
      </w:r>
    </w:p>
    <w:p>
      <w:pPr>
        <w:spacing w:after="0" w:line="62" w:lineRule="exact"/>
        <w:rPr>
          <w:rFonts w:ascii="Arial" w:cs="Arial" w:eastAsia="Arial" w:hAnsi="Arial"/>
          <w:sz w:val="18"/>
          <w:szCs w:val="18"/>
          <w:color w:val="auto"/>
        </w:rPr>
      </w:pPr>
    </w:p>
    <w:p>
      <w:pPr>
        <w:ind w:left="920" w:right="100" w:firstLine="1"/>
        <w:spacing w:after="0" w:line="277" w:lineRule="auto"/>
        <w:tabs>
          <w:tab w:leader="none" w:pos="11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thirty business days of the applicable Vesting Date, provided that the Vesting Requirement for the applicable Performance Period has been satisfied; and</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Within ten business days of a Change in Control.</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the foregoing, if a Performance-Vested Restricted Stock Unit constitutes a “nonqualified deferred compensation arrangement” subject to Section 409A of the Code, then (1) the settlement of such Performance-Vested Restricted Stock Unit upon the Grantee’s Termination of Employment, other than due to the Grantee’s death, shall be delayed if the Grantee is a “Specified Employee” until the earlier of (A) the first day of the seventh month following the Grantee’s Termination of Employment and (B) the Grantee’s death; and (2) in the event that a Change in Control does not constitute a “change in control event” within the meaning of Section 409A of the Code and the regulations thereunder, the Performance-Vested Restricted Stock Units shall be settled upon the first to occur of the events or dates set forth in clauses (i) and (ii) of this Paragraph 3(f) (but shall not be subject to the forfeiture provisions of Paragraph 3(b) following such Change in Control).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197" w:name="page198"/>
    <w:bookmarkEnd w:id="197"/>
    <w:p>
      <w:pPr>
        <w:ind w:left="-8" w:right="20" w:firstLine="921"/>
        <w:spacing w:after="0" w:line="312"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Certificates</w:t>
      </w:r>
      <w:r>
        <w:rPr>
          <w:rFonts w:ascii="Arial" w:cs="Arial" w:eastAsia="Arial" w:hAnsi="Arial"/>
          <w:sz w:val="16"/>
          <w:szCs w:val="16"/>
          <w:color w:val="auto"/>
        </w:rPr>
        <w:t>. The Grantee hereby (i) acknowledges that the Common Stock issued with respect to a vested Performance-Vested Restricted Stock Unit upon its settlement may be held in book entry form on the books of Registrar and Transfer Company (or another institution specified by the Company), and (ii) agrees to sign such other powers and take such other actions as the Company may reasonably request to accomplish the transfer.</w:t>
      </w:r>
    </w:p>
    <w:p>
      <w:pPr>
        <w:spacing w:after="0" w:line="146" w:lineRule="exact"/>
        <w:rPr>
          <w:rFonts w:ascii="Arial" w:cs="Arial" w:eastAsia="Arial" w:hAnsi="Arial"/>
          <w:sz w:val="16"/>
          <w:szCs w:val="16"/>
          <w:color w:val="auto"/>
        </w:rPr>
      </w:pPr>
    </w:p>
    <w:p>
      <w:pPr>
        <w:ind w:left="-8" w:right="380" w:firstLine="921"/>
        <w:spacing w:after="0" w:line="277"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Performance-Vested Restricted Stock Units may not be sold, transferred, pledged, assigned, or otherwise alienated or hypothecated other than by will or by the laws of descent and distribution.</w:t>
      </w:r>
    </w:p>
    <w:p>
      <w:pPr>
        <w:spacing w:after="0" w:line="170" w:lineRule="exact"/>
        <w:rPr>
          <w:rFonts w:ascii="Arial" w:cs="Arial" w:eastAsia="Arial" w:hAnsi="Arial"/>
          <w:sz w:val="18"/>
          <w:szCs w:val="18"/>
          <w:color w:val="auto"/>
        </w:rPr>
      </w:pPr>
    </w:p>
    <w:p>
      <w:pPr>
        <w:ind w:left="-8" w:firstLine="921"/>
        <w:spacing w:after="0" w:line="255" w:lineRule="auto"/>
        <w:tabs>
          <w:tab w:leader="none" w:pos="112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on any date the Company pays any dividend with respect to its Common Stock (the “Payment Date”), then, within 60 days following the Payment Date, the Company shall pay, or cause an Affiliate to pay, to the Grantee an amount equal to: (i) the product of (x) the number of the Grantee’s Performance-Vested Restricted Stock Units as of the Payment Date and (y) the per share cash amount of such dividend (or, in the case of a dividend payable in shares of Common Stock or in property other than cash, the per share equivalent fair market value of such dividend, as determined in good faith by the Committee). Notwithstanding the foregoing, dividends and distributions other than regular cash dividends, if any, may result in an adjustment pursuant to Paragraph 6, rather than under this Paragraph 3.</w:t>
      </w:r>
    </w:p>
    <w:p>
      <w:pPr>
        <w:spacing w:after="0" w:line="98" w:lineRule="exact"/>
        <w:rPr>
          <w:rFonts w:ascii="Arial" w:cs="Arial" w:eastAsia="Arial" w:hAnsi="Arial"/>
          <w:sz w:val="18"/>
          <w:szCs w:val="18"/>
          <w:color w:val="auto"/>
        </w:rPr>
      </w:pPr>
    </w:p>
    <w:p>
      <w:pPr>
        <w:ind w:left="452" w:right="40" w:hanging="452"/>
        <w:spacing w:after="0" w:line="25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Grantee acknowledges and agrees that, with respect to the Performance-Vested Restricted Stock Units, he or she has no voting rights with respect to the Company unless and until such Performance-Vested Restricted Stock Units are settled in Common Stock pursuant to Paragraph 3(f). Upon and following the settlement of a Performance-Vested Restricted Stock Unit, the Grantee shall be the record owner of the Common Stock issued to him or her unless and until such shares are sold or otherwise disposed of, and as record owner shall be entitled to all rights of a stockholder of the Company holding such Common Stock, including, without limitation, voting rights, if any, with respect to such Common Stock. Prior to the Settlement Date, the Grantee shall not be deemed for any purpose to be the owner of any Common Stock denominated by the Performance-Vested Restricted Stock Unit Award.</w:t>
      </w:r>
    </w:p>
    <w:p>
      <w:pPr>
        <w:spacing w:after="0" w:line="94"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Performance-Vested Restricted Stock Units is subject to adjustment, in accordance with Section 4.2 of the Plan, on an equitable and proportionate basis in the manner deemed appropriate by the Committee.</w:t>
      </w:r>
    </w:p>
    <w:p>
      <w:pPr>
        <w:spacing w:after="0" w:line="75" w:lineRule="exact"/>
        <w:rPr>
          <w:rFonts w:ascii="Arial" w:cs="Arial" w:eastAsia="Arial" w:hAnsi="Arial"/>
          <w:sz w:val="18"/>
          <w:szCs w:val="18"/>
          <w:color w:val="auto"/>
        </w:rPr>
      </w:pPr>
    </w:p>
    <w:p>
      <w:pPr>
        <w:ind w:left="452" w:right="20" w:hanging="452"/>
        <w:spacing w:after="0" w:line="289" w:lineRule="auto"/>
        <w:tabs>
          <w:tab w:leader="none" w:pos="45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Grantee expressly acknowledges that: (a) the Grantee’s Performance-Vested Restricted Stock Units will constitute wages under the Federal Insurance Contributions Act (FICA) and Federal Unemployment Tax Act (FUTA) that are subject to tax withholding by the Company or its Affiliate upon becoming vested (including when the Grantee has met all of the requirements for Retirement (other than terminating employment)) and (b) the Common Stock delivered to a Grantee upon the settlement of his or her Performance-Vested Restricted Stock Units will constitute wages for purposes of federal and all other employment taxes, subject to tax withholding by the Company or its Affiliate. The Company’s obligation to issue or deliver shares of Common Stock with respect to the settlement of Performance-Vested Restricted Stock Units shall be subject to the satisfaction of any applicable federal, state, local or foreign tax withholding requirements (including the Grantee’s FICA and FUTA obligation). To the extent permitted by law, the Company and its Affiliates shall have the right to deduct any such taxes from any payment otherwise due to the Grantee (or his or her beneficiary). The Committee may establish such procedures as it deems appropriate, including making</w:t>
      </w:r>
    </w:p>
    <w:p>
      <w:pPr>
        <w:spacing w:after="0" w:line="99" w:lineRule="exact"/>
        <w:rPr>
          <w:rFonts w:ascii="Arial" w:cs="Arial" w:eastAsia="Arial" w:hAnsi="Arial"/>
          <w:sz w:val="16"/>
          <w:szCs w:val="16"/>
          <w:color w:val="auto"/>
        </w:rPr>
      </w:pPr>
    </w:p>
    <w:p>
      <w:pPr>
        <w:ind w:left="5652" w:hanging="96"/>
        <w:spacing w:after="0"/>
        <w:tabs>
          <w:tab w:leader="none" w:pos="5652" w:val="left"/>
        </w:tabs>
        <w:numPr>
          <w:ilvl w:val="2"/>
          <w:numId w:val="8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92"/>
          </w:cols>
          <w:pgMar w:left="248" w:top="274" w:right="259" w:bottom="1440" w:gutter="0" w:footer="0" w:header="0"/>
        </w:sectPr>
      </w:pPr>
    </w:p>
    <w:bookmarkStart w:id="198" w:name="page199"/>
    <w:bookmarkEnd w:id="198"/>
    <w:p>
      <w:pPr>
        <w:ind w:left="452"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irrevocable elections, for the settlement of withholding obligations with Common Stock having a Fair Market Value on the date of withholding equal to the minimum amount (and not any greater amount) required to be withheld for tax purposes.</w:t>
      </w:r>
    </w:p>
    <w:p>
      <w:pPr>
        <w:spacing w:after="0" w:line="76" w:lineRule="exact"/>
        <w:rPr>
          <w:sz w:val="20"/>
          <w:szCs w:val="20"/>
          <w:color w:val="auto"/>
        </w:rPr>
      </w:pPr>
    </w:p>
    <w:p>
      <w:pPr>
        <w:ind w:left="452" w:hanging="452"/>
        <w:spacing w:after="0" w:line="284"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Restriction on Issuance of Common Stock</w:t>
      </w:r>
      <w:r>
        <w:rPr>
          <w:rFonts w:ascii="Arial" w:cs="Arial" w:eastAsia="Arial" w:hAnsi="Arial"/>
          <w:sz w:val="16"/>
          <w:szCs w:val="16"/>
          <w:color w:val="auto"/>
        </w:rPr>
        <w:t>. Notwithstanding any other provision of this Agreement, the Grantee agrees, for himself or herself and his or her successors, that Common Stock will not be issued at any time that the Company does 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Common Stock,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w:t>
      </w:r>
    </w:p>
    <w:p>
      <w:pPr>
        <w:spacing w:after="0" w:line="2" w:lineRule="exact"/>
        <w:rPr>
          <w:rFonts w:ascii="Arial" w:cs="Arial" w:eastAsia="Arial" w:hAnsi="Arial"/>
          <w:sz w:val="16"/>
          <w:szCs w:val="16"/>
          <w:color w:val="auto"/>
        </w:rPr>
      </w:pPr>
    </w:p>
    <w:p>
      <w:pPr>
        <w:ind w:left="452" w:right="120" w:hanging="6"/>
        <w:spacing w:after="0" w:line="273" w:lineRule="auto"/>
        <w:tabs>
          <w:tab w:leader="none" w:pos="707"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82" w:lineRule="exact"/>
        <w:rPr>
          <w:rFonts w:ascii="Arial" w:cs="Arial" w:eastAsia="Arial" w:hAnsi="Arial"/>
          <w:sz w:val="17"/>
          <w:szCs w:val="17"/>
          <w:color w:val="auto"/>
        </w:rPr>
      </w:pPr>
    </w:p>
    <w:p>
      <w:pPr>
        <w:jc w:val="both"/>
        <w:ind w:left="452" w:right="120" w:hanging="452"/>
        <w:spacing w:after="0" w:line="312"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Neither the Performance-Vested Restricted Stock Unit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52" w:lineRule="exact"/>
        <w:rPr>
          <w:rFonts w:ascii="Arial" w:cs="Arial" w:eastAsia="Arial" w:hAnsi="Arial"/>
          <w:sz w:val="16"/>
          <w:szCs w:val="16"/>
          <w:color w:val="auto"/>
        </w:rPr>
      </w:pPr>
    </w:p>
    <w:p>
      <w:pPr>
        <w:ind w:left="452" w:right="20" w:hanging="452"/>
        <w:spacing w:after="0" w:line="264"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Committee may permit the Grantee to file with the Company a written designation of a beneficiary on such form as may be prescribed by the Committee and may, from time to time, amend or revoke such designation. In the absence of any such designation or if all designated beneficiaries predecease the Grantee, the Grantee’s estate shall be deemed to be the Grantee’s beneficiary.</w:t>
      </w:r>
    </w:p>
    <w:p>
      <w:pPr>
        <w:spacing w:after="0" w:line="86"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Subject to the Plan</w:t>
      </w:r>
      <w:r>
        <w:rPr>
          <w:rFonts w:ascii="Arial" w:cs="Arial" w:eastAsia="Arial" w:hAnsi="Arial"/>
          <w:sz w:val="18"/>
          <w:szCs w:val="18"/>
          <w:color w:val="auto"/>
        </w:rPr>
        <w:t>. The Performance-Vested Restricted Stock Unit Award evidenced by this Agreement is subject to the terms and conditions of the Plan, which are incorporated herein by reference and made a part hereof, but the terms of the Plan shall not be considered an enlargement of any benefits under this Agreement. In addition, the Performance-Vested Restricted Stock Unit Award is subject to any rules and regulations promulgated by the Committee.</w:t>
      </w:r>
    </w:p>
    <w:p>
      <w:pPr>
        <w:spacing w:after="0" w:line="92" w:lineRule="exact"/>
        <w:rPr>
          <w:rFonts w:ascii="Arial" w:cs="Arial" w:eastAsia="Arial" w:hAnsi="Arial"/>
          <w:sz w:val="18"/>
          <w:szCs w:val="18"/>
          <w:color w:val="auto"/>
        </w:rPr>
      </w:pPr>
    </w:p>
    <w:p>
      <w:pPr>
        <w:ind w:left="452" w:right="240" w:hanging="452"/>
        <w:spacing w:after="0" w:line="302"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Performance-Vested Restricted Stock Unit Award is intended to comply with the requirements of Section 409A of the Code or an exemption or exclusion therefrom and shall in all respects be administered in accordance with Section 409A of the Code. If a Performance-Vested Restricted Stock Unit does not constitute a “nonqualified deferred compensation arrangement” subject to Section 409A of the Code, then the Performance-Vested Restricted Stock Unit shall be settled no later than the March 15th following the calendar year in which it became vested.</w:t>
      </w:r>
    </w:p>
    <w:p>
      <w:pPr>
        <w:spacing w:after="0" w:line="86" w:lineRule="exact"/>
        <w:rPr>
          <w:rFonts w:ascii="Arial" w:cs="Arial" w:eastAsia="Arial" w:hAnsi="Arial"/>
          <w:sz w:val="16"/>
          <w:szCs w:val="16"/>
          <w:color w:val="auto"/>
        </w:rPr>
      </w:pPr>
    </w:p>
    <w:p>
      <w:pPr>
        <w:ind w:left="5652" w:hanging="96"/>
        <w:spacing w:after="0"/>
        <w:tabs>
          <w:tab w:leader="none" w:pos="5652" w:val="left"/>
        </w:tabs>
        <w:numPr>
          <w:ilvl w:val="2"/>
          <w:numId w:val="8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199" w:name="page200"/>
    <w:bookmarkEnd w:id="199"/>
    <w:p>
      <w:pPr>
        <w:ind w:left="452" w:hanging="452"/>
        <w:spacing w:after="0" w:line="282"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The validity, construction, interpretation and enforceability of this Agreement shall be determined and governed by the laws of the State of New York without giving effect to the principles of conflicts of laws.</w:t>
      </w:r>
    </w:p>
    <w:p>
      <w:pPr>
        <w:spacing w:after="0" w:line="71" w:lineRule="exact"/>
        <w:rPr>
          <w:rFonts w:ascii="Arial" w:cs="Arial" w:eastAsia="Arial" w:hAnsi="Arial"/>
          <w:sz w:val="18"/>
          <w:szCs w:val="18"/>
          <w:color w:val="auto"/>
        </w:rPr>
      </w:pPr>
    </w:p>
    <w:p>
      <w:pPr>
        <w:ind w:left="452" w:right="40" w:hanging="452"/>
        <w:spacing w:after="0" w:line="277" w:lineRule="auto"/>
        <w:tabs>
          <w:tab w:leader="none" w:pos="4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1"/>
          <w:numId w:val="8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252"/>
          </w:cols>
          <w:pgMar w:left="248" w:top="270" w:right="3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Computations of Consolidated Ratios of Earnings to Fixed Charges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Year Ended December 31</w:t>
            </w:r>
          </w:p>
        </w:tc>
        <w:tc>
          <w:tcPr>
            <w:tcW w:w="7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4"/>
          </w:tcPr>
          <w:p>
            <w:pPr>
              <w:jc w:val="center"/>
              <w:ind w:left="59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Fixed charges: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(excluding interest on deposits)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200,413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226,583</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244,896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274,584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factor within rent expense (a)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36,696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34,341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31,565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236,903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263,279</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279,237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$1,757,549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1,552,526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1,224,600</w:t>
            </w: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1,092,789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Fixed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236,903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263,279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279,237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306,149</w:t>
            </w:r>
          </w:p>
        </w:tc>
        <w:tc>
          <w:tcPr>
            <w:tcW w:w="780" w:type="dxa"/>
            <w:vAlign w:val="bottom"/>
          </w:tcPr>
          <w:p>
            <w:pPr>
              <w:jc w:val="right"/>
              <w:spacing w:after="0"/>
              <w:rPr>
                <w:sz w:val="20"/>
                <w:szCs w:val="20"/>
                <w:color w:val="auto"/>
              </w:rPr>
            </w:pPr>
            <w:r>
              <w:rPr>
                <w:rFonts w:ascii="Arial" w:cs="Arial" w:eastAsia="Arial" w:hAnsi="Arial"/>
                <w:sz w:val="18"/>
                <w:szCs w:val="18"/>
                <w:color w:val="auto"/>
              </w:rPr>
              <w:t>376,836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1,994,452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1,815,805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1,503,837</w:t>
            </w: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1,398,938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excluding interest on deposits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Fixed charges: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284,105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343,169</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402,331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462,269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factor within rent expense (a)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36,696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34,341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31,565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29,670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320,595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379,865</w:t>
            </w: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436,672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493,834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699,119</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$1,757,549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1,552,526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1,224,600</w:t>
            </w: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1,092,789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Fixed charges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320,595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379,865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436,672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493,834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699,119</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2,078,144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1,932,391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1,661,272</w:t>
            </w:r>
          </w:p>
        </w:tc>
        <w:tc>
          <w:tcPr>
            <w:tcW w:w="2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1,586,623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1,218,410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including interest on deposits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The portion of rents shown as representative of the interest factor is one-third of total net operating lease expenses.</w:t>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333-57330, 333-63660, 33-12207, 33-58500, 333-43171, 333-43175, 333-63985, 333-97031, 33-32044, 333-16077, 333-84384, 333-127406, 333-150122, 333-164015, 333-163992, 333-160769, 333-159795, 333-170740, 333-189099 and 333-189097) and Form S-3 (333-182348) of M&amp;T Bank Corporation of our report dated February 21, 2014, relating to the financial statements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36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5"/>
          <w:szCs w:val="15"/>
          <w:color w:val="auto"/>
        </w:rPr>
        <w:t>OBERT</w:t>
      </w:r>
      <w:r>
        <w:rPr>
          <w:rFonts w:ascii="Arial" w:cs="Arial" w:eastAsia="Arial" w:hAnsi="Arial"/>
          <w:sz w:val="18"/>
          <w:szCs w:val="18"/>
          <w:color w:val="auto"/>
        </w:rPr>
        <w:t xml:space="preserve"> G. W</w:t>
      </w:r>
      <w:r>
        <w:rPr>
          <w:rFonts w:ascii="Arial" w:cs="Arial" w:eastAsia="Arial" w:hAnsi="Arial"/>
          <w:sz w:val="15"/>
          <w:szCs w:val="15"/>
          <w:color w:val="auto"/>
        </w:rPr>
        <w:t>ILMERS</w:t>
      </w:r>
    </w:p>
    <w:p>
      <w:pPr>
        <w:spacing w:after="0" w:line="37" w:lineRule="exact"/>
        <w:rPr>
          <w:sz w:val="20"/>
          <w:szCs w:val="20"/>
          <w:color w:val="auto"/>
        </w:rPr>
      </w:pPr>
    </w:p>
    <w:p>
      <w:pPr>
        <w:jc w:val="center"/>
        <w:ind w:left="7240"/>
        <w:spacing w:after="0"/>
        <w:rPr>
          <w:sz w:val="20"/>
          <w:szCs w:val="20"/>
          <w:color w:val="auto"/>
        </w:rPr>
      </w:pPr>
      <w:r>
        <w:rPr>
          <w:rFonts w:ascii="Arial" w:cs="Arial" w:eastAsia="Arial" w:hAnsi="Arial"/>
          <w:sz w:val="19"/>
          <w:szCs w:val="19"/>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-137795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9"/>
          <w:szCs w:val="19"/>
          <w:i w:val="1"/>
          <w:iCs w:val="1"/>
          <w:color w:val="auto"/>
        </w:rPr>
        <w:t>Chairman of the Board</w:t>
      </w:r>
    </w:p>
    <w:p>
      <w:pPr>
        <w:jc w:val="center"/>
        <w:ind w:left="7240"/>
        <w:spacing w:after="0"/>
        <w:rPr>
          <w:sz w:val="20"/>
          <w:szCs w:val="20"/>
          <w:color w:val="auto"/>
        </w:rPr>
      </w:pPr>
      <w:r>
        <w:rPr>
          <w:rFonts w:ascii="Arial" w:cs="Arial" w:eastAsia="Arial" w:hAnsi="Arial"/>
          <w:sz w:val="19"/>
          <w:szCs w:val="19"/>
          <w:i w:val="1"/>
          <w:iCs w:val="1"/>
          <w:color w:val="auto"/>
        </w:rPr>
        <w:t>and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36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5"/>
          <w:szCs w:val="15"/>
          <w:color w:val="auto"/>
        </w:rPr>
        <w:t>ENÉ</w:t>
      </w:r>
      <w:r>
        <w:rPr>
          <w:rFonts w:ascii="Arial" w:cs="Arial" w:eastAsia="Arial" w:hAnsi="Arial"/>
          <w:sz w:val="18"/>
          <w:szCs w:val="18"/>
          <w:color w:val="auto"/>
        </w:rPr>
        <w:t xml:space="preserve"> F. J</w:t>
      </w:r>
      <w:r>
        <w:rPr>
          <w:rFonts w:ascii="Arial" w:cs="Arial" w:eastAsia="Arial" w:hAnsi="Arial"/>
          <w:sz w:val="15"/>
          <w:szCs w:val="15"/>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2" w:lineRule="exact"/>
        <w:rPr>
          <w:sz w:val="20"/>
          <w:szCs w:val="20"/>
          <w:color w:val="auto"/>
        </w:rPr>
      </w:pPr>
    </w:p>
    <w:p>
      <w:pPr>
        <w:jc w:val="center"/>
        <w:ind w:left="7280"/>
        <w:spacing w:after="0"/>
        <w:rPr>
          <w:sz w:val="20"/>
          <w:szCs w:val="20"/>
          <w:color w:val="auto"/>
        </w:rPr>
      </w:pPr>
      <w:r>
        <w:rPr>
          <w:rFonts w:ascii="Arial" w:cs="Arial" w:eastAsia="Arial" w:hAnsi="Arial"/>
          <w:sz w:val="19"/>
          <w:szCs w:val="19"/>
          <w:color w:val="auto"/>
        </w:rPr>
        <w:t>René F. Jones</w:t>
      </w:r>
    </w:p>
    <w:p>
      <w:pPr>
        <w:jc w:val="center"/>
        <w:ind w:left="7280"/>
        <w:spacing w:after="0" w:line="237" w:lineRule="auto"/>
        <w:rPr>
          <w:sz w:val="20"/>
          <w:szCs w:val="20"/>
          <w:color w:val="auto"/>
        </w:rPr>
      </w:pPr>
      <w:r>
        <w:rPr>
          <w:rFonts w:ascii="Arial" w:cs="Arial" w:eastAsia="Arial" w:hAnsi="Arial"/>
          <w:sz w:val="19"/>
          <w:szCs w:val="19"/>
          <w:i w:val="1"/>
          <w:iCs w:val="1"/>
          <w:color w:val="auto"/>
        </w:rPr>
        <w:t>Executive Vice President</w:t>
      </w:r>
    </w:p>
    <w:p>
      <w:pPr>
        <w:jc w:val="center"/>
        <w:ind w:left="7280"/>
        <w:spacing w:after="0"/>
        <w:rPr>
          <w:sz w:val="20"/>
          <w:szCs w:val="20"/>
          <w:color w:val="auto"/>
        </w:rPr>
      </w:pPr>
      <w:r>
        <w:rPr>
          <w:rFonts w:ascii="Arial" w:cs="Arial" w:eastAsia="Arial" w:hAnsi="Arial"/>
          <w:sz w:val="19"/>
          <w:szCs w:val="19"/>
          <w:i w:val="1"/>
          <w:iCs w:val="1"/>
          <w:color w:val="auto"/>
        </w:rPr>
        <w:t>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2014</w:t>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70" w:lineRule="exact"/>
        <w:rPr>
          <w:sz w:val="20"/>
          <w:szCs w:val="20"/>
          <w:color w:val="auto"/>
        </w:rPr>
      </w:pPr>
    </w:p>
    <w:p>
      <w:pPr>
        <w:ind w:right="40" w:firstLine="464"/>
        <w:spacing w:after="0" w:line="27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2013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OBERT</w:t>
      </w:r>
      <w:r>
        <w:rPr>
          <w:rFonts w:ascii="Arial" w:cs="Arial" w:eastAsia="Arial" w:hAnsi="Arial"/>
          <w:sz w:val="18"/>
          <w:szCs w:val="18"/>
          <w:color w:val="auto"/>
        </w:rPr>
        <w:t xml:space="preserve"> G. W</w:t>
      </w:r>
      <w:r>
        <w:rPr>
          <w:rFonts w:ascii="Arial" w:cs="Arial" w:eastAsia="Arial" w:hAnsi="Arial"/>
          <w:sz w:val="15"/>
          <w:szCs w:val="15"/>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ind w:left="8420"/>
        <w:spacing w:after="0"/>
        <w:rPr>
          <w:sz w:val="20"/>
          <w:szCs w:val="20"/>
          <w:color w:val="auto"/>
        </w:rPr>
      </w:pPr>
      <w:r>
        <w:rPr>
          <w:rFonts w:ascii="Arial" w:cs="Arial" w:eastAsia="Arial" w:hAnsi="Arial"/>
          <w:sz w:val="19"/>
          <w:szCs w:val="19"/>
          <w:color w:val="auto"/>
        </w:rPr>
        <w:t>Robert G. Wilmers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25"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70" w:lineRule="exact"/>
        <w:rPr>
          <w:sz w:val="20"/>
          <w:szCs w:val="20"/>
          <w:color w:val="auto"/>
        </w:rPr>
      </w:pPr>
    </w:p>
    <w:p>
      <w:pPr>
        <w:ind w:right="40" w:firstLine="464"/>
        <w:spacing w:after="0" w:line="277"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2013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ENÉ</w:t>
      </w:r>
      <w:r>
        <w:rPr>
          <w:rFonts w:ascii="Arial" w:cs="Arial" w:eastAsia="Arial" w:hAnsi="Arial"/>
          <w:sz w:val="18"/>
          <w:szCs w:val="18"/>
          <w:color w:val="auto"/>
        </w:rPr>
        <w:t xml:space="preserve"> F. J</w:t>
      </w:r>
      <w:r>
        <w:rPr>
          <w:rFonts w:ascii="Arial" w:cs="Arial" w:eastAsia="Arial" w:hAnsi="Arial"/>
          <w:sz w:val="15"/>
          <w:szCs w:val="15"/>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ind w:left="8620"/>
        <w:spacing w:after="0"/>
        <w:rPr>
          <w:sz w:val="20"/>
          <w:szCs w:val="20"/>
          <w:color w:val="auto"/>
        </w:rPr>
      </w:pPr>
      <w:r>
        <w:rPr>
          <w:rFonts w:ascii="Arial" w:cs="Arial" w:eastAsia="Arial" w:hAnsi="Arial"/>
          <w:sz w:val="19"/>
          <w:szCs w:val="19"/>
          <w:color w:val="auto"/>
        </w:rPr>
        <w:t>René F. Jones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2014</w:t>
      </w:r>
    </w:p>
    <w:p>
      <w:pPr>
        <w:spacing w:after="0" w:line="225"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upperLetter"/>
      <w:start w:val="9"/>
    </w:lvl>
  </w:abstractNum>
  <w:abstractNum w:abstractNumId="3">
    <w:nsid w:val="79A1DEAA"/>
    <w:multiLevelType w:val="hybridMultilevel"/>
    <w:lvl w:ilvl="0">
      <w:lvlJc w:val="left"/>
      <w:lvlText w:val="%1."/>
      <w:numFmt w:val="upperLetter"/>
      <w:start w:val="2"/>
    </w:lvl>
  </w:abstractNum>
  <w:abstractNum w:abstractNumId="4">
    <w:nsid w:val="75C6C33A"/>
    <w:multiLevelType w:val="hybridMultilevel"/>
    <w:lvl w:ilvl="0">
      <w:lvlJc w:val="left"/>
      <w:lvlText w:val="%1."/>
      <w:numFmt w:val="upperLetter"/>
      <w:start w:val="35"/>
    </w:lvl>
  </w:abstractNum>
  <w:abstractNum w:abstractNumId="5">
    <w:nsid w:val="12E685FB"/>
    <w:multiLevelType w:val="hybridMultilevel"/>
    <w:lvl w:ilvl="0">
      <w:lvlJc w:val="left"/>
      <w:lvlText w:val="%1."/>
      <w:numFmt w:val="upperLetter"/>
      <w:start w:val="61"/>
    </w:lvl>
  </w:abstractNum>
  <w:abstractNum w:abstractNumId="6">
    <w:nsid w:val="70C6A529"/>
    <w:multiLevelType w:val="hybridMultilevel"/>
    <w:lvl w:ilvl="0">
      <w:lvlJc w:val="left"/>
      <w:lvlText w:val="%1."/>
      <w:numFmt w:val="upperLetter"/>
      <w:start w:val="3"/>
    </w:lvl>
  </w:abstractNum>
  <w:abstractNum w:abstractNumId="7">
    <w:nsid w:val="520EEDD1"/>
    <w:multiLevelType w:val="hybridMultilevel"/>
    <w:lvl w:ilvl="0">
      <w:lvlJc w:val="left"/>
      <w:lvlText w:val="%1."/>
      <w:numFmt w:val="upperLetter"/>
      <w:start w:val="22"/>
    </w:lvl>
  </w:abstractNum>
  <w:abstractNum w:abstractNumId="8">
    <w:nsid w:val="374A3FE6"/>
    <w:multiLevelType w:val="hybridMultilevel"/>
    <w:lvl w:ilvl="0">
      <w:lvlJc w:val="left"/>
      <w:lvlText w:val="\emdash "/>
      <w:numFmt w:val="bullet"/>
      <w:start w:val="1"/>
    </w:lvl>
  </w:abstractNum>
  <w:abstractNum w:abstractNumId="9">
    <w:nsid w:val="4F4EF005"/>
    <w:multiLevelType w:val="hybridMultilevel"/>
    <w:lvl w:ilvl="0">
      <w:lvlJc w:val="left"/>
      <w:lvlText w:val="\emdash "/>
      <w:numFmt w:val="bullet"/>
      <w:start w:val="1"/>
    </w:lvl>
  </w:abstractNum>
  <w:abstractNum w:abstractNumId="10">
    <w:nsid w:val="23F9C13C"/>
    <w:multiLevelType w:val="hybridMultilevel"/>
    <w:lvl w:ilvl="0">
      <w:lvlJc w:val="left"/>
      <w:lvlText w:val="(%1)"/>
      <w:numFmt w:val="lowerRoman"/>
      <w:start w:val="4"/>
    </w:lvl>
    <w:lvl w:ilvl="1">
      <w:lvlJc w:val="left"/>
      <w:lvlText w:val="\emdash "/>
      <w:numFmt w:val="bullet"/>
      <w:start w:val="1"/>
    </w:lvl>
  </w:abstractNum>
  <w:abstractNum w:abstractNumId="11">
    <w:nsid w:val="649BB77C"/>
    <w:multiLevelType w:val="hybridMultilevel"/>
    <w:lvl w:ilvl="0">
      <w:lvlJc w:val="left"/>
      <w:lvlText w:val="\emdash "/>
      <w:numFmt w:val="bullet"/>
      <w:start w:val="1"/>
    </w:lvl>
  </w:abstractNum>
  <w:abstractNum w:abstractNumId="12">
    <w:nsid w:val="275AC794"/>
    <w:multiLevelType w:val="hybridMultilevel"/>
    <w:lvl w:ilvl="0">
      <w:lvlJc w:val="left"/>
      <w:lvlText w:val="\emdash "/>
      <w:numFmt w:val="bullet"/>
      <w:start w:val="1"/>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emdash "/>
      <w:numFmt w:val="bullet"/>
      <w:start w:val="1"/>
    </w:lvl>
  </w:abstractNum>
  <w:abstractNum w:abstractNumId="15">
    <w:nsid w:val="180115BE"/>
    <w:multiLevelType w:val="hybridMultilevel"/>
    <w:lvl w:ilvl="0">
      <w:lvlJc w:val="left"/>
      <w:lvlText w:val="\emdash "/>
      <w:numFmt w:val="bullet"/>
      <w:start w:val="1"/>
    </w:lvl>
  </w:abstractNum>
  <w:abstractNum w:abstractNumId="16">
    <w:nsid w:val="235BA861"/>
    <w:multiLevelType w:val="hybridMultilevel"/>
    <w:lvl w:ilvl="0">
      <w:lvlJc w:val="left"/>
      <w:lvlText w:val="\emdash "/>
      <w:numFmt w:val="bullet"/>
      <w:start w:val="1"/>
    </w:lvl>
  </w:abstractNum>
  <w:abstractNum w:abstractNumId="17">
    <w:nsid w:val="47398C89"/>
    <w:multiLevelType w:val="hybridMultilevel"/>
    <w:lvl w:ilvl="0">
      <w:lvlJc w:val="left"/>
      <w:lvlText w:val="(%1)"/>
      <w:numFmt w:val="lowerRoman"/>
      <w:start w:val="4"/>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emdash "/>
      <w:numFmt w:val="bullet"/>
      <w:start w:val="1"/>
    </w:lvl>
  </w:abstractNum>
  <w:abstractNum w:abstractNumId="21">
    <w:nsid w:val="D34B6A8"/>
    <w:multiLevelType w:val="hybridMultilevel"/>
    <w:lvl w:ilvl="0">
      <w:lvlJc w:val="left"/>
      <w:lvlText w:val="\emdash "/>
      <w:numFmt w:val="bullet"/>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Roman"/>
      <w:start w:val="5"/>
    </w:lvl>
  </w:abstractNum>
  <w:abstractNum w:abstractNumId="30">
    <w:nsid w:val="2F305DEF"/>
    <w:multiLevelType w:val="hybridMultilevel"/>
    <w:lvl w:ilvl="0">
      <w:lvlJc w:val="left"/>
      <w:lvlText w:val="\emdash "/>
      <w:numFmt w:val="bullet"/>
      <w:start w:val="1"/>
    </w:lvl>
  </w:abstractNum>
  <w:abstractNum w:abstractNumId="31">
    <w:nsid w:val="25A70BF7"/>
    <w:multiLevelType w:val="hybridMultilevel"/>
    <w:lvl w:ilvl="0">
      <w:lvlJc w:val="left"/>
      <w:lvlText w:val="\emdash "/>
      <w:numFmt w:val="bullet"/>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1."/>
      <w:numFmt w:val="decimal"/>
      <w:start w:val="11"/>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1)"/>
      <w:numFmt w:val="lowerLetter"/>
      <w:start w:val="1"/>
    </w:lvl>
  </w:abstractNum>
  <w:abstractNum w:abstractNumId="53">
    <w:nsid w:val="BF72B14"/>
    <w:multiLevelType w:val="hybridMultilevel"/>
    <w:lvl w:ilvl="0">
      <w:lvlJc w:val="left"/>
      <w:lvlText w:val="(%1)"/>
      <w:numFmt w:val="lowerLetter"/>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2"/>
    </w:lvl>
  </w:abstractNum>
  <w:abstractNum w:abstractNumId="67">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8">
    <w:nsid w:val="100F59D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9">
    <w:nsid w:val="7FB7E0AA"/>
    <w:multiLevelType w:val="hybridMultilevel"/>
    <w:lvl w:ilvl="0">
      <w:lvlJc w:val="left"/>
      <w:lvlText w:val="%1"/>
      <w:numFmt w:val="decimal"/>
      <w:start w:val="1"/>
    </w:lvl>
    <w:lvl w:ilvl="1">
      <w:lvlJc w:val="left"/>
      <w:lvlText w:val="(%2)"/>
      <w:numFmt w:val="lowerLetter"/>
      <w:start w:val="3"/>
    </w:lvl>
  </w:abstractNum>
  <w:abstractNum w:abstractNumId="70">
    <w:nsid w:val="6EB5BD4"/>
    <w:multiLevelType w:val="hybridMultilevel"/>
    <w:lvl w:ilvl="0">
      <w:lvlJc w:val="left"/>
      <w:lvlText w:val="%1."/>
      <w:numFmt w:val="decimal"/>
      <w:start w:val="4"/>
    </w:lvl>
    <w:lvl w:ilvl="1">
      <w:lvlJc w:val="left"/>
      <w:lvlText w:val="%2"/>
      <w:numFmt w:val="lowerLetter"/>
      <w:start w:val="1"/>
    </w:lvl>
  </w:abstractNum>
  <w:abstractNum w:abstractNumId="71">
    <w:nsid w:val="6F6DD9A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72">
    <w:nsid w:val="94211F2"/>
    <w:multiLevelType w:val="hybridMultilevel"/>
    <w:lvl w:ilvl="0">
      <w:lvlJc w:val="left"/>
      <w:lvlText w:val="%1."/>
      <w:numFmt w:val="decimal"/>
      <w:start w:val="10"/>
    </w:lvl>
    <w:lvl w:ilvl="1">
      <w:lvlJc w:val="left"/>
      <w:lvlText w:val="-"/>
      <w:numFmt w:val="bullet"/>
      <w:start w:val="1"/>
    </w:lvl>
  </w:abstractNum>
  <w:abstractNum w:abstractNumId="73">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74">
    <w:nsid w:val="76272110"/>
    <w:multiLevelType w:val="hybridMultilevel"/>
    <w:lvl w:ilvl="0">
      <w:lvlJc w:val="left"/>
      <w:lvlText w:val="%1"/>
      <w:numFmt w:val="lowerLetter"/>
      <w:start w:val="1"/>
    </w:lvl>
    <w:lvl w:ilvl="1">
      <w:lvlJc w:val="left"/>
      <w:lvlText w:val="(%2)"/>
      <w:numFmt w:val="lowerLetter"/>
      <w:start w:val="3"/>
    </w:lvl>
  </w:abstractNum>
  <w:abstractNum w:abstractNumId="75">
    <w:nsid w:val="4C04A8AF"/>
    <w:multiLevelType w:val="hybridMultilevel"/>
    <w:lvl w:ilvl="0">
      <w:lvlJc w:val="left"/>
      <w:lvlText w:val="(%1)"/>
      <w:numFmt w:val="lowerLetter"/>
      <w:start w:val="35"/>
    </w:lvl>
    <w:lvl w:ilvl="1">
      <w:lvlJc w:val="left"/>
      <w:lvlText w:val="(%2)"/>
      <w:numFmt w:val="lowerLetter"/>
      <w:start w:val="4"/>
    </w:lvl>
  </w:abstractNum>
  <w:abstractNum w:abstractNumId="76">
    <w:nsid w:val="1716703B"/>
    <w:multiLevelType w:val="hybridMultilevel"/>
    <w:lvl w:ilvl="0">
      <w:lvlJc w:val="left"/>
      <w:lvlText w:val="(%1)"/>
      <w:numFmt w:val="lowerRoman"/>
      <w:start w:val="1"/>
    </w:lvl>
  </w:abstractNum>
  <w:abstractNum w:abstractNumId="77">
    <w:nsid w:val="14E17E33"/>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78">
    <w:nsid w:val="3222E7CD"/>
    <w:multiLevelType w:val="hybridMultilevel"/>
    <w:lvl w:ilvl="0">
      <w:lvlJc w:val="left"/>
      <w:lvlText w:val="(%1)"/>
      <w:numFmt w:val="lowerLetter"/>
      <w:start w:val="35"/>
    </w:lvl>
    <w:lvl w:ilvl="1">
      <w:lvlJc w:val="left"/>
      <w:lvlText w:val="(%2)"/>
      <w:numFmt w:val="lowerLetter"/>
      <w:start w:val="6"/>
    </w:lvl>
    <w:lvl w:ilvl="2">
      <w:lvlJc w:val="left"/>
      <w:lvlText w:val="-"/>
      <w:numFmt w:val="bullet"/>
      <w:start w:val="1"/>
    </w:lvl>
  </w:abstractNum>
  <w:abstractNum w:abstractNumId="79">
    <w:nsid w:val="74DE0EE3"/>
    <w:multiLevelType w:val="hybridMultilevel"/>
    <w:lvl w:ilvl="0">
      <w:lvlJc w:val="left"/>
      <w:lvlText w:val="%1."/>
      <w:numFmt w:val="decimal"/>
      <w:start w:val="4"/>
    </w:lvl>
    <w:lvl w:ilvl="1">
      <w:lvlJc w:val="left"/>
      <w:lvlText w:val="(%2)"/>
      <w:numFmt w:val="lowerLetter"/>
      <w:start w:val="2"/>
    </w:lvl>
    <w:lvl w:ilvl="2">
      <w:lvlJc w:val="left"/>
      <w:lvlText w:val="-"/>
      <w:numFmt w:val="bullet"/>
      <w:start w:val="1"/>
    </w:lvl>
  </w:abstractNum>
  <w:abstractNum w:abstractNumId="80">
    <w:nsid w:val="68EBC550"/>
    <w:multiLevelType w:val="hybridMultilevel"/>
    <w:lvl w:ilvl="0">
      <w:lvlJc w:val="left"/>
      <w:lvlText w:val="%1."/>
      <w:numFmt w:val="decimal"/>
      <w:start w:val="8"/>
    </w:lvl>
    <w:lvl w:ilvl="1">
      <w:lvlJc w:val="left"/>
      <w:lvlText w:val="-"/>
      <w:numFmt w:val="bullet"/>
      <w:start w:val="1"/>
    </w:lvl>
  </w:abstractNum>
  <w:abstractNum w:abstractNumId="81">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82">
    <w:nsid w:val="46B7D447"/>
    <w:multiLevelType w:val="hybridMultilevel"/>
    <w:lvl w:ilvl="0">
      <w:lvlJc w:val="left"/>
      <w:lvlText w:val="(%1)"/>
      <w:numFmt w:val="lowerLetter"/>
      <w:start w:val="2"/>
    </w:lvl>
  </w:abstractNum>
  <w:abstractNum w:abstractNumId="83">
    <w:nsid w:val="4A2AC315"/>
    <w:multiLevelType w:val="hybridMultilevel"/>
    <w:lvl w:ilvl="0">
      <w:lvlJc w:val="left"/>
      <w:lvlText w:val="(%1)"/>
      <w:numFmt w:val="lowerLetter"/>
      <w:start w:val="5"/>
    </w:lvl>
  </w:abstractNum>
  <w:abstractNum w:abstractNumId="84">
    <w:nsid w:val="39EE015C"/>
    <w:multiLevelType w:val="hybridMultilevel"/>
    <w:lvl w:ilvl="0">
      <w:lvlJc w:val="left"/>
      <w:lvlText w:val="(%1)"/>
      <w:numFmt w:val="lowerRoman"/>
      <w:start w:val="1"/>
    </w:lvl>
  </w:abstractNum>
  <w:abstractNum w:abstractNumId="85">
    <w:nsid w:val="57FC4FBB"/>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86">
    <w:nsid w:val="CC1016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7">
    <w:nsid w:val="43F18422"/>
    <w:multiLevelType w:val="hybridMultilevel"/>
    <w:lvl w:ilvl="0">
      <w:lvlJc w:val="left"/>
      <w:lvlText w:val="%1."/>
      <w:numFmt w:val="decimal"/>
      <w:start w:val="7"/>
    </w:lvl>
    <w:lvl w:ilvl="1">
      <w:lvlJc w:val="left"/>
      <w:lvlText w:val="(%2)"/>
      <w:numFmt w:val="lowerLetter"/>
      <w:start w:val="2"/>
    </w:lvl>
    <w:lvl w:ilvl="2">
      <w:lvlJc w:val="left"/>
      <w:lvlText w:val="-"/>
      <w:numFmt w:val="bullet"/>
      <w:start w:val="1"/>
    </w:lvl>
  </w:abstractNum>
  <w:abstractNum w:abstractNumId="88">
    <w:nsid w:val="60EF0119"/>
    <w:multiLevelType w:val="hybridMultilevel"/>
    <w:lvl w:ilvl="0">
      <w:lvlJc w:val="left"/>
      <w:lvlText w:val="%1."/>
      <w:numFmt w:val="decimal"/>
      <w:start w:val="12"/>
    </w:lvl>
    <w:lvl w:ilvl="1">
      <w:lvlJc w:val="left"/>
      <w:lvlText w:val="-"/>
      <w:numFmt w:val="bullet"/>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decimal"/>
      <w:start w:val="5"/>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decimal"/>
      <w:start w:val="5"/>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2019-12-05T09:43:00Z</dcterms:created>
  <dcterms:modified xsi:type="dcterms:W3CDTF">2019-12-05T09:43:00Z</dcterms:modified>
</cp:coreProperties>
</file>