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7"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For the fiscal year ended December 31, 2012</w:t>
      </w:r>
    </w:p>
    <w:p>
      <w:pPr>
        <w:jc w:val="center"/>
        <w:ind w:right="-59"/>
        <w:spacing w:after="0" w:line="230" w:lineRule="auto"/>
        <w:rPr>
          <w:sz w:val="20"/>
          <w:szCs w:val="20"/>
          <w:color w:val="auto"/>
        </w:rPr>
      </w:pPr>
      <w:r>
        <w:rPr>
          <w:rFonts w:ascii="Arial" w:cs="Arial" w:eastAsia="Arial" w:hAnsi="Arial"/>
          <w:sz w:val="22"/>
          <w:szCs w:val="22"/>
          <w:b w:val="1"/>
          <w:bCs w:val="1"/>
          <w:color w:val="auto"/>
        </w:rPr>
        <w:t>or</w:t>
      </w:r>
    </w:p>
    <w:p>
      <w:pPr>
        <w:ind w:left="460" w:hanging="452"/>
        <w:spacing w:after="0" w:line="231"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460"/>
        <w:spacing w:after="0"/>
        <w:rPr>
          <w:sz w:val="20"/>
          <w:szCs w:val="20"/>
          <w:color w:val="auto"/>
        </w:rPr>
      </w:pPr>
      <w:r>
        <w:rPr>
          <w:rFonts w:ascii="Arial" w:cs="Arial" w:eastAsia="Arial" w:hAnsi="Arial"/>
          <w:sz w:val="22"/>
          <w:szCs w:val="22"/>
          <w:b w:val="1"/>
          <w:bCs w:val="1"/>
          <w:color w:val="auto"/>
        </w:rPr>
        <w:t>1934</w:t>
      </w:r>
    </w:p>
    <w:p>
      <w:pPr>
        <w:jc w:val="center"/>
        <w:ind w:right="-59"/>
        <w:spacing w:after="0"/>
        <w:rPr>
          <w:sz w:val="20"/>
          <w:szCs w:val="20"/>
          <w:color w:val="auto"/>
        </w:rPr>
      </w:pPr>
      <w:r>
        <w:rPr>
          <w:rFonts w:ascii="Arial" w:cs="Arial" w:eastAsia="Arial" w:hAnsi="Arial"/>
          <w:sz w:val="18"/>
          <w:szCs w:val="18"/>
          <w:b w:val="1"/>
          <w:bCs w:val="1"/>
          <w:color w:val="auto"/>
        </w:rPr>
        <w:t>Commission file number 1-9861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65"/>
          <w:szCs w:val="65"/>
          <w:b w:val="1"/>
          <w:bCs w:val="1"/>
          <w:color w:val="auto"/>
        </w:rPr>
        <w:t>M&amp;T BANK CORPORATION</w:t>
      </w:r>
    </w:p>
    <w:p>
      <w:pPr>
        <w:spacing w:after="0" w:line="3" w:lineRule="exact"/>
        <w:rPr>
          <w:sz w:val="24"/>
          <w:szCs w:val="24"/>
          <w:color w:val="auto"/>
        </w:rPr>
      </w:pPr>
    </w:p>
    <w:tbl>
      <w:tblPr>
        <w:tblLayout w:type="fixed"/>
        <w:tblInd w:w="46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900" w:type="dxa"/>
            <w:vAlign w:val="bottom"/>
          </w:tcPr>
          <w:p>
            <w:pPr>
              <w:spacing w:after="0"/>
              <w:rPr>
                <w:sz w:val="24"/>
                <w:szCs w:val="24"/>
                <w:color w:val="auto"/>
              </w:rPr>
            </w:pPr>
          </w:p>
        </w:tc>
        <w:tc>
          <w:tcPr>
            <w:tcW w:w="4960" w:type="dxa"/>
            <w:vAlign w:val="bottom"/>
            <w:gridSpan w:val="2"/>
          </w:tcPr>
          <w:p>
            <w:pPr>
              <w:jc w:val="center"/>
              <w:ind w:right="3812"/>
              <w:spacing w:after="0"/>
              <w:rPr>
                <w:sz w:val="20"/>
                <w:szCs w:val="20"/>
                <w:color w:val="auto"/>
              </w:rPr>
            </w:pPr>
            <w:r>
              <w:rPr>
                <w:rFonts w:ascii="Arial" w:cs="Arial" w:eastAsia="Arial" w:hAnsi="Arial"/>
                <w:sz w:val="18"/>
                <w:szCs w:val="18"/>
                <w:b w:val="1"/>
                <w:bCs w:val="1"/>
                <w:color w:val="auto"/>
                <w:w w:val="90"/>
              </w:rPr>
              <w:t>New York</w:t>
            </w:r>
          </w:p>
        </w:tc>
        <w:tc>
          <w:tcPr>
            <w:tcW w:w="234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16-0968385</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i w:val="1"/>
                <w:iCs w:val="1"/>
                <w:color w:val="auto"/>
                <w:w w:val="90"/>
              </w:rPr>
              <w:t>(State of incorporation)</w:t>
            </w:r>
          </w:p>
        </w:tc>
        <w:tc>
          <w:tcPr>
            <w:tcW w:w="3020" w:type="dxa"/>
            <w:vAlign w:val="bottom"/>
            <w:gridSpan w:val="4"/>
          </w:tcPr>
          <w:p>
            <w:pPr>
              <w:jc w:val="center"/>
              <w:ind w:right="360"/>
              <w:spacing w:after="0"/>
              <w:rPr>
                <w:sz w:val="20"/>
                <w:szCs w:val="20"/>
                <w:color w:val="auto"/>
              </w:rPr>
            </w:pPr>
            <w:r>
              <w:rPr>
                <w:rFonts w:ascii="Arial" w:cs="Arial" w:eastAsia="Arial" w:hAnsi="Arial"/>
                <w:sz w:val="18"/>
                <w:szCs w:val="18"/>
                <w:i w:val="1"/>
                <w:iCs w:val="1"/>
                <w:color w:val="auto"/>
                <w:w w:val="90"/>
              </w:rPr>
              <w:t>(I.R.S. Employer Identification No.)</w:t>
            </w:r>
          </w:p>
        </w:tc>
        <w:tc>
          <w:tcPr>
            <w:tcW w:w="0" w:type="dxa"/>
            <w:vAlign w:val="bottom"/>
          </w:tcPr>
          <w:p>
            <w:pPr>
              <w:spacing w:after="0"/>
              <w:rPr>
                <w:sz w:val="1"/>
                <w:szCs w:val="1"/>
                <w:color w:val="auto"/>
              </w:rPr>
            </w:pPr>
          </w:p>
        </w:tc>
      </w:tr>
      <w:tr>
        <w:trPr>
          <w:trHeight w:val="318"/>
        </w:trPr>
        <w:tc>
          <w:tcPr>
            <w:tcW w:w="6860" w:type="dxa"/>
            <w:vAlign w:val="bottom"/>
            <w:gridSpan w:val="3"/>
          </w:tcPr>
          <w:p>
            <w:pPr>
              <w:jc w:val="center"/>
              <w:ind w:right="1912"/>
              <w:spacing w:after="0"/>
              <w:rPr>
                <w:sz w:val="20"/>
                <w:szCs w:val="20"/>
                <w:color w:val="auto"/>
              </w:rPr>
            </w:pPr>
            <w:r>
              <w:rPr>
                <w:rFonts w:ascii="Arial" w:cs="Arial" w:eastAsia="Arial" w:hAnsi="Arial"/>
                <w:sz w:val="18"/>
                <w:szCs w:val="18"/>
                <w:b w:val="1"/>
                <w:bCs w:val="1"/>
                <w:color w:val="auto"/>
                <w:w w:val="91"/>
              </w:rPr>
              <w:t>One M&amp;T Plaza, Buffalo, New York</w:t>
            </w:r>
          </w:p>
        </w:tc>
        <w:tc>
          <w:tcPr>
            <w:tcW w:w="234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14203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i w:val="1"/>
                <w:iCs w:val="1"/>
                <w:color w:val="auto"/>
                <w:w w:val="91"/>
              </w:rPr>
              <w:t>(Zip Code)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jc w:val="center"/>
              <w:ind w:left="3572"/>
              <w:spacing w:after="0"/>
              <w:rPr>
                <w:sz w:val="20"/>
                <w:szCs w:val="20"/>
                <w:color w:val="auto"/>
              </w:rPr>
            </w:pPr>
            <w:r>
              <w:rPr>
                <w:rFonts w:ascii="Arial" w:cs="Arial" w:eastAsia="Arial" w:hAnsi="Arial"/>
                <w:sz w:val="18"/>
                <w:szCs w:val="18"/>
                <w:b w:val="1"/>
                <w:bCs w:val="1"/>
                <w:color w:val="auto"/>
                <w:w w:val="89"/>
              </w:rPr>
              <w:t>716-842-5445</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900" w:type="dxa"/>
            <w:vAlign w:val="bottom"/>
          </w:tcPr>
          <w:p>
            <w:pPr>
              <w:spacing w:after="0"/>
              <w:rPr>
                <w:sz w:val="24"/>
                <w:szCs w:val="24"/>
                <w:color w:val="auto"/>
              </w:rPr>
            </w:pPr>
          </w:p>
        </w:tc>
        <w:tc>
          <w:tcPr>
            <w:tcW w:w="4960" w:type="dxa"/>
            <w:vAlign w:val="bottom"/>
            <w:gridSpan w:val="2"/>
          </w:tcPr>
          <w:p>
            <w:pPr>
              <w:jc w:val="center"/>
              <w:ind w:right="3792"/>
              <w:spacing w:after="0"/>
              <w:rPr>
                <w:sz w:val="20"/>
                <w:szCs w:val="20"/>
                <w:color w:val="auto"/>
              </w:rPr>
            </w:pPr>
            <w:r>
              <w:rPr>
                <w:rFonts w:ascii="Arial" w:cs="Arial" w:eastAsia="Arial" w:hAnsi="Arial"/>
                <w:sz w:val="14"/>
                <w:szCs w:val="14"/>
                <w:b w:val="1"/>
                <w:bCs w:val="1"/>
                <w:color w:val="auto"/>
                <w:w w:val="86"/>
              </w:rPr>
              <w:t>Title of Each Class</w:t>
            </w:r>
          </w:p>
        </w:tc>
        <w:tc>
          <w:tcPr>
            <w:tcW w:w="30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1900" w:type="dxa"/>
            <w:vAlign w:val="bottom"/>
            <w:vMerge w:val="restart"/>
          </w:tcPr>
          <w:p>
            <w:pPr>
              <w:ind w:left="1340"/>
              <w:spacing w:after="0"/>
              <w:rPr>
                <w:sz w:val="20"/>
                <w:szCs w:val="20"/>
                <w:color w:val="auto"/>
              </w:rPr>
            </w:pPr>
            <w:r>
              <w:rPr>
                <w:rFonts w:ascii="Arial" w:cs="Arial" w:eastAsia="Arial" w:hAnsi="Arial"/>
                <w:sz w:val="18"/>
                <w:szCs w:val="18"/>
                <w:color w:val="auto"/>
                <w:w w:val="73"/>
              </w:rPr>
              <w:t>Common</w:t>
            </w:r>
          </w:p>
        </w:tc>
        <w:tc>
          <w:tcPr>
            <w:tcW w:w="10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vMerge w:val="continue"/>
          </w:tcPr>
          <w:p>
            <w:pPr>
              <w:spacing w:after="0"/>
              <w:rPr>
                <w:sz w:val="17"/>
                <w:szCs w:val="17"/>
                <w:color w:val="auto"/>
              </w:rPr>
            </w:pPr>
          </w:p>
        </w:tc>
        <w:tc>
          <w:tcPr>
            <w:tcW w:w="49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Stock, $.50 par value</w:t>
            </w:r>
          </w:p>
        </w:tc>
        <w:tc>
          <w:tcPr>
            <w:tcW w:w="2340" w:type="dxa"/>
            <w:vAlign w:val="bottom"/>
            <w:gridSpan w:val="2"/>
          </w:tcPr>
          <w:p>
            <w:pPr>
              <w:jc w:val="center"/>
              <w:ind w:left="234"/>
              <w:spacing w:after="0" w:line="201" w:lineRule="exact"/>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8"/>
              </w:rPr>
              <w:t>5% Cumulative Perpetual Preferred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892"/>
              <w:spacing w:after="0"/>
              <w:rPr>
                <w:sz w:val="20"/>
                <w:szCs w:val="20"/>
                <w:color w:val="auto"/>
              </w:rPr>
            </w:pPr>
            <w:r>
              <w:rPr>
                <w:rFonts w:ascii="Arial" w:cs="Arial" w:eastAsia="Arial" w:hAnsi="Arial"/>
                <w:sz w:val="18"/>
                <w:szCs w:val="18"/>
                <w:color w:val="auto"/>
                <w:w w:val="87"/>
              </w:rPr>
              <w:t>Series A, $1,000 liquidation preference per share</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8"/>
              </w:rPr>
              <w:t>5% Cumulative Perpetual Preferred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7"/>
              </w:rPr>
              <w:t>Series C, $1,000 liquidation preference per share</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7"/>
              </w:rPr>
              <w:t>Warrants to purchase shares of Common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9"/>
              </w:rPr>
              <w:t>(expiring December 23, 2018)</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20" w:type="dxa"/>
            <w:vAlign w:val="bottom"/>
            <w:gridSpan w:val="2"/>
          </w:tcPr>
          <w:p>
            <w:pPr>
              <w:jc w:val="center"/>
              <w:ind w:right="77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20" w:type="dxa"/>
            <w:vAlign w:val="bottom"/>
            <w:gridSpan w:val="2"/>
          </w:tcPr>
          <w:p>
            <w:pPr>
              <w:jc w:val="center"/>
              <w:ind w:right="774"/>
              <w:spacing w:after="0"/>
              <w:rPr>
                <w:sz w:val="20"/>
                <w:szCs w:val="20"/>
                <w:color w:val="auto"/>
              </w:rPr>
            </w:pPr>
            <w:r>
              <w:rPr>
                <w:rFonts w:ascii="Arial" w:cs="Arial" w:eastAsia="Arial" w:hAnsi="Arial"/>
                <w:sz w:val="18"/>
                <w:szCs w:val="18"/>
                <w:color w:val="auto"/>
                <w:w w:val="91"/>
              </w:rPr>
              <w:t>8.234% Capital Securities of M&amp;T Capital Trust I</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6500" w:type="dxa"/>
            <w:vAlign w:val="bottom"/>
            <w:gridSpan w:val="3"/>
          </w:tcPr>
          <w:p>
            <w:pPr>
              <w:jc w:val="center"/>
              <w:ind w:left="137"/>
              <w:spacing w:after="0"/>
              <w:rPr>
                <w:sz w:val="20"/>
                <w:szCs w:val="20"/>
                <w:color w:val="auto"/>
              </w:rPr>
            </w:pPr>
            <w:r>
              <w:rPr>
                <w:rFonts w:ascii="Arial" w:cs="Arial" w:eastAsia="Arial" w:hAnsi="Arial"/>
                <w:sz w:val="18"/>
                <w:szCs w:val="18"/>
                <w:color w:val="auto"/>
                <w:w w:val="89"/>
              </w:rPr>
              <w:t>(and the Guarantee of M&amp;T Bank Corporation with respect thereto)</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color w:val="auto"/>
                <w:w w:val="88"/>
              </w:rPr>
              <w:t>8.234% Junior Subordinated Debentures of</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72"/>
              <w:spacing w:after="0"/>
              <w:rPr>
                <w:sz w:val="20"/>
                <w:szCs w:val="20"/>
                <w:color w:val="auto"/>
              </w:rPr>
            </w:pPr>
            <w:r>
              <w:rPr>
                <w:rFonts w:ascii="Arial" w:cs="Arial" w:eastAsia="Arial" w:hAnsi="Arial"/>
                <w:sz w:val="18"/>
                <w:szCs w:val="18"/>
                <w:color w:val="auto"/>
                <w:w w:val="92"/>
              </w:rPr>
              <w:t>M&amp;T Bank Corporation</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8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8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tcPr>
          <w:p>
            <w:pPr>
              <w:ind w:left="2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ind w:right="240" w:firstLine="456"/>
        <w:spacing w:after="0" w:line="21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firstLine="45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60" w:firstLine="45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8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0" w:right="279" w:bottom="1440" w:gutter="0" w:footer="0" w:header="0"/>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2040" w:space="400"/>
            <w:col w:w="4880" w:space="720"/>
            <w:col w:w="1160" w:space="180"/>
            <w:col w:w="2000"/>
          </w:cols>
          <w:pgMar w:left="240" w:top="230" w:right="279" w:bottom="1440" w:gutter="0" w:footer="0" w:header="0"/>
          <w:type w:val="continuous"/>
        </w:sectPr>
      </w:pPr>
    </w:p>
    <w:p>
      <w:pPr>
        <w:spacing w:after="0" w:line="32" w:lineRule="exact"/>
        <w:rPr>
          <w:sz w:val="24"/>
          <w:szCs w:val="24"/>
          <w:color w:val="auto"/>
        </w:rPr>
      </w:pPr>
    </w:p>
    <w:p>
      <w:pPr>
        <w:jc w:val="center"/>
        <w:ind w:left="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4"/>
          <w:szCs w:val="24"/>
          <w:color w:val="auto"/>
        </w:rPr>
      </w:pPr>
    </w:p>
    <w:p>
      <w:pPr>
        <w:sectPr>
          <w:pgSz w:w="11900" w:h="16838" w:orient="portrait"/>
          <w:cols w:equalWidth="0" w:num="4">
            <w:col w:w="1960" w:space="480"/>
            <w:col w:w="4880" w:space="720"/>
            <w:col w:w="1920" w:space="160"/>
            <w:col w:w="1260"/>
          </w:cols>
          <w:pgMar w:left="240" w:top="230"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(Do not check if a smaller reporting company)</w:t>
      </w:r>
    </w:p>
    <w:p>
      <w:pPr>
        <w:spacing w:after="0" w:line="58" w:lineRule="exact"/>
        <w:rPr>
          <w:sz w:val="24"/>
          <w:szCs w:val="24"/>
          <w:color w:val="auto"/>
        </w:rPr>
      </w:pPr>
    </w:p>
    <w:p>
      <w:pPr>
        <w:ind w:left="460"/>
        <w:spacing w:after="0" w:line="207" w:lineRule="exact"/>
        <w:tabs>
          <w:tab w:leader="none" w:pos="784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380"/>
          </w:cols>
          <w:pgMar w:left="240" w:top="230" w:right="279" w:bottom="1440" w:gutter="0" w:footer="0" w:header="0"/>
          <w:type w:val="continuous"/>
        </w:sectPr>
      </w:pPr>
    </w:p>
    <w:p>
      <w:pPr>
        <w:spacing w:after="0" w:line="68" w:lineRule="exact"/>
        <w:rPr>
          <w:sz w:val="24"/>
          <w:szCs w:val="24"/>
          <w:color w:val="auto"/>
        </w:rPr>
      </w:pPr>
    </w:p>
    <w:p>
      <w:pPr>
        <w:ind w:firstLine="456"/>
        <w:spacing w:after="0" w:line="238" w:lineRule="auto"/>
        <w:rPr>
          <w:sz w:val="20"/>
          <w:szCs w:val="20"/>
          <w:color w:val="auto"/>
        </w:rPr>
      </w:pPr>
      <w:r>
        <w:rPr>
          <w:rFonts w:ascii="Arial" w:cs="Arial" w:eastAsia="Arial" w:hAnsi="Arial"/>
          <w:sz w:val="18"/>
          <w:szCs w:val="18"/>
          <w:color w:val="auto"/>
        </w:rPr>
        <w:t>Aggregate market value of the Common Stock, $0.50 par value, held by non-affiliates of the registrant, computed by reference to the closing price as of the close of business on June 30, 2012: $9,403,393,623.</w:t>
      </w:r>
    </w:p>
    <w:p>
      <w:pPr>
        <w:spacing w:after="0" w:line="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Number of shares of the Common Stock, $0.50 par value, outstanding as of the close of business on February 20, 2013: 128,727,372 shares.</w:t>
      </w:r>
    </w:p>
    <w:p>
      <w:pPr>
        <w:spacing w:after="0" w:line="10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 Portions of the Proxy Statement for the 2013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520" w:type="dxa"/>
            <w:vAlign w:val="bottom"/>
            <w:gridSpan w:val="4"/>
          </w:tcPr>
          <w:p>
            <w:pPr>
              <w:jc w:val="center"/>
              <w:ind w:right="2832"/>
              <w:spacing w:after="0"/>
              <w:rPr>
                <w:sz w:val="20"/>
                <w:szCs w:val="20"/>
                <w:color w:val="auto"/>
              </w:rPr>
            </w:pPr>
            <w:r>
              <w:rPr>
                <w:rFonts w:ascii="Arial" w:cs="Arial" w:eastAsia="Arial" w:hAnsi="Arial"/>
                <w:sz w:val="18"/>
                <w:szCs w:val="18"/>
                <w:b w:val="1"/>
                <w:bCs w:val="1"/>
                <w:color w:val="auto"/>
                <w:w w:val="99"/>
              </w:rPr>
              <w:t>M&amp;T BANK CORPORATION</w:t>
            </w:r>
          </w:p>
        </w:tc>
        <w:tc>
          <w:tcPr>
            <w:tcW w:w="0" w:type="dxa"/>
            <w:vAlign w:val="bottom"/>
          </w:tcPr>
          <w:p>
            <w:pPr>
              <w:spacing w:after="0"/>
              <w:rPr>
                <w:sz w:val="1"/>
                <w:szCs w:val="1"/>
                <w:color w:val="auto"/>
              </w:rPr>
            </w:pPr>
          </w:p>
        </w:tc>
      </w:tr>
      <w:tr>
        <w:trPr>
          <w:trHeight w:val="291"/>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520" w:type="dxa"/>
            <w:vAlign w:val="bottom"/>
            <w:gridSpan w:val="4"/>
          </w:tcPr>
          <w:p>
            <w:pPr>
              <w:jc w:val="center"/>
              <w:ind w:right="2812"/>
              <w:spacing w:after="0"/>
              <w:rPr>
                <w:sz w:val="20"/>
                <w:szCs w:val="20"/>
                <w:color w:val="auto"/>
              </w:rPr>
            </w:pPr>
            <w:r>
              <w:rPr>
                <w:rFonts w:ascii="Arial" w:cs="Arial" w:eastAsia="Arial" w:hAnsi="Arial"/>
                <w:sz w:val="18"/>
                <w:szCs w:val="18"/>
                <w:color w:val="auto"/>
                <w:w w:val="88"/>
              </w:rPr>
              <w:t>Form 10-K for the year ended December 31, 2012</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520" w:type="dxa"/>
            <w:vAlign w:val="bottom"/>
            <w:gridSpan w:val="4"/>
          </w:tcPr>
          <w:p>
            <w:pPr>
              <w:jc w:val="center"/>
              <w:ind w:right="2832"/>
              <w:spacing w:after="0"/>
              <w:rPr>
                <w:sz w:val="20"/>
                <w:szCs w:val="20"/>
                <w:color w:val="auto"/>
              </w:rPr>
            </w:pPr>
            <w:r>
              <w:rPr>
                <w:rFonts w:ascii="Arial" w:cs="Arial" w:eastAsia="Arial" w:hAnsi="Arial"/>
                <w:sz w:val="18"/>
                <w:szCs w:val="18"/>
                <w:color w:val="auto"/>
                <w:w w:val="90"/>
              </w:rPr>
              <w:t>CROSS-REFERENCE SHEET</w:t>
            </w:r>
          </w:p>
        </w:tc>
        <w:tc>
          <w:tcPr>
            <w:tcW w:w="0" w:type="dxa"/>
            <w:vAlign w:val="bottom"/>
          </w:tcPr>
          <w:p>
            <w:pPr>
              <w:spacing w:after="0"/>
              <w:rPr>
                <w:sz w:val="1"/>
                <w:szCs w:val="1"/>
                <w:color w:val="auto"/>
              </w:rPr>
            </w:pPr>
          </w:p>
        </w:tc>
      </w:tr>
      <w:tr>
        <w:trPr>
          <w:trHeight w:val="219"/>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Form 10-K</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60" w:type="dxa"/>
            <w:vAlign w:val="bottom"/>
            <w:vMerge w:val="restart"/>
          </w:tcPr>
          <w:p>
            <w:pPr>
              <w:jc w:val="cente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3820" w:type="dxa"/>
            <w:vAlign w:val="bottom"/>
            <w:vMerge w:val="restart"/>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60" w:type="dxa"/>
            <w:vAlign w:val="bottom"/>
            <w:tcBorders>
              <w:bottom w:val="single" w:sz="8" w:color="0000EE"/>
            </w:tcBorders>
            <w:vMerge w:val="continue"/>
          </w:tcPr>
          <w:p>
            <w:pPr>
              <w:spacing w:after="0"/>
              <w:rPr>
                <w:sz w:val="13"/>
                <w:szCs w:val="13"/>
                <w:color w:val="auto"/>
              </w:rPr>
            </w:pPr>
          </w:p>
        </w:tc>
        <w:tc>
          <w:tcPr>
            <w:tcW w:w="382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00" w:type="dxa"/>
            <w:vAlign w:val="bottom"/>
            <w:gridSpan w:val="3"/>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4">
              <w:r>
                <w:rPr>
                  <w:rFonts w:ascii="Arial" w:cs="Arial" w:eastAsia="Arial" w:hAnsi="Arial"/>
                  <w:sz w:val="18"/>
                  <w:szCs w:val="18"/>
                  <w:color w:val="0000EE"/>
                </w:rPr>
                <w:t>Business</w:t>
              </w:r>
            </w:hyperlink>
          </w:p>
        </w:tc>
        <w:tc>
          <w:tcPr>
            <w:tcW w:w="8520" w:type="dxa"/>
            <w:vAlign w:val="bottom"/>
            <w:gridSpan w:val="4"/>
          </w:tcPr>
          <w:p>
            <w:pPr>
              <w:jc w:val="center"/>
              <w:ind w:left="6832"/>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Statistical disclosure pursuant to Guide 3</w:t>
              </w:r>
            </w:hyperlink>
          </w:p>
        </w:tc>
        <w:tc>
          <w:tcPr>
            <w:tcW w:w="2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00" w:hanging="87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of assets, liabilities, and shareholders’ equity; interest rates</w:t>
      </w:r>
    </w:p>
    <w:p>
      <w:pPr>
        <w:spacing w:after="0" w:line="15"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and interest differential</w:t>
            </w:r>
          </w:p>
        </w:tc>
        <w:tc>
          <w:tcPr>
            <w:tcW w:w="3880" w:type="dxa"/>
            <w:vAlign w:val="bottom"/>
          </w:tcPr>
          <w:p>
            <w:pPr>
              <w:spacing w:after="0"/>
              <w:rPr>
                <w:sz w:val="18"/>
                <w:szCs w:val="18"/>
                <w:color w:val="auto"/>
              </w:rPr>
            </w:pPr>
          </w:p>
        </w:tc>
      </w:tr>
      <w:tr>
        <w:trPr>
          <w:trHeight w:val="222"/>
        </w:trPr>
        <w:tc>
          <w:tcPr>
            <w:tcW w:w="572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48">
              <w:r>
                <w:rPr>
                  <w:rFonts w:ascii="Arial" w:cs="Arial" w:eastAsia="Arial" w:hAnsi="Arial"/>
                  <w:sz w:val="18"/>
                  <w:szCs w:val="18"/>
                  <w:u w:val="single" w:color="auto"/>
                  <w:color w:val="0000EE"/>
                </w:rPr>
                <w:t>Average balance sheets</w:t>
              </w:r>
            </w:hyperlink>
          </w:p>
        </w:tc>
        <w:tc>
          <w:tcPr>
            <w:tcW w:w="3880" w:type="dxa"/>
            <w:vAlign w:val="bottom"/>
          </w:tcPr>
          <w:p>
            <w:pPr>
              <w:jc w:val="right"/>
              <w:spacing w:after="0"/>
              <w:rPr>
                <w:sz w:val="20"/>
                <w:szCs w:val="20"/>
                <w:color w:val="auto"/>
              </w:rPr>
            </w:pPr>
            <w:r>
              <w:rPr>
                <w:rFonts w:ascii="Arial" w:cs="Arial" w:eastAsia="Arial" w:hAnsi="Arial"/>
                <w:sz w:val="18"/>
                <w:szCs w:val="18"/>
                <w:color w:val="auto"/>
              </w:rPr>
              <w:t>48</w:t>
            </w:r>
          </w:p>
        </w:tc>
      </w:tr>
    </w:tbl>
    <w:p>
      <w:pPr>
        <w:ind w:left="1500" w:hanging="370"/>
        <w:spacing w:after="0"/>
        <w:tabs>
          <w:tab w:leader="none" w:pos="1500" w:val="left"/>
        </w:tabs>
        <w:numPr>
          <w:ilvl w:val="0"/>
          <w:numId w:val="4"/>
        </w:numPr>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Interest income/expense and resulting yield or rate on average interest-earning assets (including non-accrual loans)</w:t>
        </w:r>
      </w:hyperlink>
    </w:p>
    <w:tbl>
      <w:tblPr>
        <w:tblLayout w:type="fixed"/>
        <w:tblInd w:w="220" w:type="dxa"/>
        <w:tblCellMar>
          <w:top w:w="0" w:type="dxa"/>
          <w:left w:w="0" w:type="dxa"/>
          <w:bottom w:w="0" w:type="dxa"/>
          <w:right w:w="0" w:type="dxa"/>
        </w:tblCellMar>
      </w:tblPr>
      <w:tr>
        <w:trPr>
          <w:trHeight w:val="187"/>
        </w:trPr>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0" w:type="dxa"/>
            <w:vAlign w:val="bottom"/>
            <w:gridSpan w:val="5"/>
          </w:tcPr>
          <w:p>
            <w:pPr>
              <w:spacing w:after="0" w:line="187" w:lineRule="exact"/>
              <w:rPr>
                <w:rFonts w:ascii="Arial" w:cs="Arial" w:eastAsia="Arial" w:hAnsi="Arial"/>
                <w:sz w:val="18"/>
                <w:szCs w:val="18"/>
                <w:color w:val="0000EE"/>
              </w:rPr>
            </w:pPr>
            <w:hyperlink w:anchor="page48">
              <w:r>
                <w:rPr>
                  <w:rFonts w:ascii="Arial" w:cs="Arial" w:eastAsia="Arial" w:hAnsi="Arial"/>
                  <w:sz w:val="18"/>
                  <w:szCs w:val="18"/>
                  <w:color w:val="0000EE"/>
                </w:rPr>
                <w:t>and interest-bearing liabilities</w:t>
              </w:r>
            </w:hyperlink>
          </w:p>
        </w:tc>
        <w:tc>
          <w:tcPr>
            <w:tcW w:w="3240" w:type="dxa"/>
            <w:vAlign w:val="bottom"/>
          </w:tcPr>
          <w:p>
            <w:pPr>
              <w:jc w:val="center"/>
              <w:ind w:left="2892"/>
              <w:spacing w:after="0" w:line="187" w:lineRule="exact"/>
              <w:rPr>
                <w:sz w:val="20"/>
                <w:szCs w:val="20"/>
                <w:color w:val="auto"/>
              </w:rPr>
            </w:pPr>
            <w:r>
              <w:rPr>
                <w:rFonts w:ascii="Arial" w:cs="Arial" w:eastAsia="Arial" w:hAnsi="Arial"/>
                <w:sz w:val="18"/>
                <w:szCs w:val="18"/>
                <w:color w:val="auto"/>
                <w:w w:val="89"/>
              </w:rPr>
              <w:t>48</w:t>
            </w:r>
          </w:p>
        </w:tc>
      </w:tr>
      <w:tr>
        <w:trPr>
          <w:trHeight w:val="196"/>
        </w:trPr>
        <w:tc>
          <w:tcPr>
            <w:tcW w:w="520" w:type="dxa"/>
            <w:vAlign w:val="bottom"/>
          </w:tcPr>
          <w:p>
            <w:pPr>
              <w:spacing w:after="0"/>
              <w:rPr>
                <w:sz w:val="17"/>
                <w:szCs w:val="17"/>
                <w:color w:val="auto"/>
              </w:rPr>
            </w:pPr>
          </w:p>
        </w:tc>
        <w:tc>
          <w:tcPr>
            <w:tcW w:w="76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C.</w:t>
            </w:r>
          </w:p>
        </w:tc>
        <w:tc>
          <w:tcPr>
            <w:tcW w:w="1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Rate/volume variances</w:t>
              </w:r>
            </w:hyperlink>
          </w:p>
        </w:tc>
        <w:tc>
          <w:tcPr>
            <w:tcW w:w="480" w:type="dxa"/>
            <w:vAlign w:val="bottom"/>
            <w:tcBorders>
              <w:top w:val="single" w:sz="8" w:color="0000EE"/>
            </w:tcBorders>
          </w:tcPr>
          <w:p>
            <w:pPr>
              <w:spacing w:after="0"/>
              <w:rPr>
                <w:sz w:val="17"/>
                <w:szCs w:val="17"/>
                <w:color w:val="auto"/>
              </w:rPr>
            </w:pPr>
          </w:p>
        </w:tc>
        <w:tc>
          <w:tcPr>
            <w:tcW w:w="3920" w:type="dxa"/>
            <w:vAlign w:val="bottom"/>
            <w:gridSpan w:val="2"/>
          </w:tcPr>
          <w:p>
            <w:pPr>
              <w:spacing w:after="0"/>
              <w:rPr>
                <w:sz w:val="17"/>
                <w:szCs w:val="17"/>
                <w:color w:val="auto"/>
              </w:rPr>
            </w:pPr>
          </w:p>
        </w:tc>
        <w:tc>
          <w:tcPr>
            <w:tcW w:w="3240" w:type="dxa"/>
            <w:vAlign w:val="bottom"/>
          </w:tcPr>
          <w:p>
            <w:pPr>
              <w:jc w:val="center"/>
              <w:ind w:left="2892"/>
              <w:spacing w:after="0" w:line="196" w:lineRule="exact"/>
              <w:rPr>
                <w:sz w:val="20"/>
                <w:szCs w:val="20"/>
                <w:color w:val="auto"/>
              </w:rPr>
            </w:pPr>
            <w:r>
              <w:rPr>
                <w:rFonts w:ascii="Arial" w:cs="Arial" w:eastAsia="Arial" w:hAnsi="Arial"/>
                <w:sz w:val="18"/>
                <w:szCs w:val="18"/>
                <w:color w:val="auto"/>
                <w:w w:val="89"/>
              </w:rPr>
              <w:t>25</w:t>
            </w:r>
          </w:p>
        </w:tc>
      </w:tr>
      <w:tr>
        <w:trPr>
          <w:trHeight w:val="228"/>
        </w:trPr>
        <w:tc>
          <w:tcPr>
            <w:tcW w:w="520" w:type="dxa"/>
            <w:vAlign w:val="bottom"/>
          </w:tcPr>
          <w:p>
            <w:pPr>
              <w:spacing w:after="0"/>
              <w:rPr>
                <w:sz w:val="20"/>
                <w:szCs w:val="20"/>
                <w:color w:val="auto"/>
              </w:rPr>
            </w:pPr>
            <w:r>
              <w:rPr>
                <w:rFonts w:ascii="Arial" w:cs="Arial" w:eastAsia="Arial" w:hAnsi="Arial"/>
                <w:sz w:val="18"/>
                <w:szCs w:val="18"/>
                <w:color w:val="auto"/>
              </w:rPr>
              <w:t>II.</w:t>
            </w:r>
          </w:p>
        </w:tc>
        <w:tc>
          <w:tcPr>
            <w:tcW w:w="6760" w:type="dxa"/>
            <w:vAlign w:val="bottom"/>
            <w:gridSpan w:val="6"/>
          </w:tcPr>
          <w:p>
            <w:pPr>
              <w:ind w:left="360"/>
              <w:spacing w:after="0"/>
              <w:rPr>
                <w:sz w:val="20"/>
                <w:szCs w:val="20"/>
                <w:color w:val="auto"/>
              </w:rPr>
            </w:pPr>
            <w:r>
              <w:rPr>
                <w:rFonts w:ascii="Arial" w:cs="Arial" w:eastAsia="Arial" w:hAnsi="Arial"/>
                <w:sz w:val="18"/>
                <w:szCs w:val="18"/>
                <w:color w:val="auto"/>
              </w:rPr>
              <w:t>Investment portfolio</w:t>
            </w:r>
          </w:p>
        </w:tc>
        <w:tc>
          <w:tcPr>
            <w:tcW w:w="3240" w:type="dxa"/>
            <w:vAlign w:val="bottom"/>
          </w:tcPr>
          <w:p>
            <w:pPr>
              <w:spacing w:after="0"/>
              <w:rPr>
                <w:sz w:val="19"/>
                <w:szCs w:val="19"/>
                <w:color w:val="auto"/>
              </w:rPr>
            </w:pPr>
          </w:p>
        </w:tc>
      </w:tr>
      <w:tr>
        <w:trPr>
          <w:trHeight w:val="184"/>
        </w:trPr>
        <w:tc>
          <w:tcPr>
            <w:tcW w:w="520" w:type="dxa"/>
            <w:vAlign w:val="bottom"/>
          </w:tcPr>
          <w:p>
            <w:pPr>
              <w:spacing w:after="0"/>
              <w:rPr>
                <w:sz w:val="15"/>
                <w:szCs w:val="15"/>
                <w:color w:val="auto"/>
              </w:rPr>
            </w:pPr>
          </w:p>
        </w:tc>
        <w:tc>
          <w:tcPr>
            <w:tcW w:w="76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A.</w:t>
            </w:r>
          </w:p>
        </w:tc>
        <w:tc>
          <w:tcPr>
            <w:tcW w:w="1280" w:type="dxa"/>
            <w:vAlign w:val="bottom"/>
            <w:tcBorders>
              <w:bottom w:val="single" w:sz="8" w:color="0000EE"/>
            </w:tcBorders>
          </w:tcPr>
          <w:p>
            <w:pPr>
              <w:spacing w:after="0" w:line="184"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Year-end balances</w:t>
              </w:r>
            </w:hyperlink>
          </w:p>
        </w:tc>
        <w:tc>
          <w:tcPr>
            <w:tcW w:w="4720" w:type="dxa"/>
            <w:vAlign w:val="bottom"/>
            <w:gridSpan w:val="4"/>
          </w:tcPr>
          <w:p>
            <w:pPr>
              <w:spacing w:after="0"/>
              <w:rPr>
                <w:sz w:val="15"/>
                <w:szCs w:val="15"/>
                <w:color w:val="auto"/>
              </w:rPr>
            </w:pPr>
          </w:p>
        </w:tc>
        <w:tc>
          <w:tcPr>
            <w:tcW w:w="3240" w:type="dxa"/>
            <w:vAlign w:val="bottom"/>
          </w:tcPr>
          <w:p>
            <w:pPr>
              <w:jc w:val="center"/>
              <w:ind w:left="2892"/>
              <w:spacing w:after="0" w:line="184" w:lineRule="exact"/>
              <w:rPr>
                <w:sz w:val="20"/>
                <w:szCs w:val="20"/>
                <w:color w:val="auto"/>
              </w:rPr>
            </w:pPr>
            <w:r>
              <w:rPr>
                <w:rFonts w:ascii="Arial" w:cs="Arial" w:eastAsia="Arial" w:hAnsi="Arial"/>
                <w:sz w:val="18"/>
                <w:szCs w:val="18"/>
                <w:color w:val="auto"/>
                <w:w w:val="89"/>
              </w:rPr>
              <w:t>23</w:t>
            </w:r>
          </w:p>
        </w:tc>
      </w:tr>
      <w:tr>
        <w:trPr>
          <w:trHeight w:val="196"/>
        </w:trPr>
        <w:tc>
          <w:tcPr>
            <w:tcW w:w="520" w:type="dxa"/>
            <w:vAlign w:val="bottom"/>
          </w:tcPr>
          <w:p>
            <w:pPr>
              <w:spacing w:after="0"/>
              <w:rPr>
                <w:sz w:val="17"/>
                <w:szCs w:val="17"/>
                <w:color w:val="auto"/>
              </w:rPr>
            </w:pPr>
          </w:p>
        </w:tc>
        <w:tc>
          <w:tcPr>
            <w:tcW w:w="76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B.</w:t>
            </w:r>
          </w:p>
        </w:tc>
        <w:tc>
          <w:tcPr>
            <w:tcW w:w="32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Maturity schedule and weighted average yield</w:t>
              </w:r>
            </w:hyperlink>
          </w:p>
        </w:tc>
        <w:tc>
          <w:tcPr>
            <w:tcW w:w="2760" w:type="dxa"/>
            <w:vAlign w:val="bottom"/>
          </w:tcPr>
          <w:p>
            <w:pPr>
              <w:spacing w:after="0"/>
              <w:rPr>
                <w:sz w:val="17"/>
                <w:szCs w:val="17"/>
                <w:color w:val="auto"/>
              </w:rPr>
            </w:pPr>
          </w:p>
        </w:tc>
        <w:tc>
          <w:tcPr>
            <w:tcW w:w="3240" w:type="dxa"/>
            <w:vAlign w:val="bottom"/>
          </w:tcPr>
          <w:p>
            <w:pPr>
              <w:jc w:val="center"/>
              <w:ind w:left="2892"/>
              <w:spacing w:after="0" w:line="196" w:lineRule="exact"/>
              <w:rPr>
                <w:sz w:val="20"/>
                <w:szCs w:val="20"/>
                <w:color w:val="auto"/>
              </w:rPr>
            </w:pPr>
            <w:r>
              <w:rPr>
                <w:rFonts w:ascii="Arial" w:cs="Arial" w:eastAsia="Arial" w:hAnsi="Arial"/>
                <w:sz w:val="18"/>
                <w:szCs w:val="18"/>
                <w:color w:val="auto"/>
                <w:w w:val="89"/>
              </w:rPr>
              <w:t>82</w:t>
            </w:r>
          </w:p>
        </w:tc>
      </w:tr>
      <w:tr>
        <w:trPr>
          <w:trHeight w:val="196"/>
        </w:trPr>
        <w:tc>
          <w:tcPr>
            <w:tcW w:w="520" w:type="dxa"/>
            <w:vAlign w:val="bottom"/>
          </w:tcPr>
          <w:p>
            <w:pPr>
              <w:spacing w:after="0"/>
              <w:rPr>
                <w:sz w:val="17"/>
                <w:szCs w:val="17"/>
                <w:color w:val="auto"/>
              </w:rPr>
            </w:pPr>
          </w:p>
        </w:tc>
        <w:tc>
          <w:tcPr>
            <w:tcW w:w="76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C.</w:t>
            </w:r>
          </w:p>
        </w:tc>
        <w:tc>
          <w:tcPr>
            <w:tcW w:w="60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7"/>
              </w:rPr>
              <w:t>Aggregate carrying value of securities that exceed ten percent of shareholders’ equity</w:t>
            </w:r>
          </w:p>
        </w:tc>
        <w:tc>
          <w:tcPr>
            <w:tcW w:w="3240" w:type="dxa"/>
            <w:vAlign w:val="bottom"/>
          </w:tcPr>
          <w:p>
            <w:pPr>
              <w:jc w:val="center"/>
              <w:ind w:left="2892"/>
              <w:spacing w:after="0" w:line="196" w:lineRule="exact"/>
              <w:rPr>
                <w:sz w:val="20"/>
                <w:szCs w:val="20"/>
                <w:color w:val="auto"/>
              </w:rPr>
            </w:pPr>
            <w:r>
              <w:rPr>
                <w:rFonts w:ascii="Arial" w:cs="Arial" w:eastAsia="Arial" w:hAnsi="Arial"/>
                <w:sz w:val="18"/>
                <w:szCs w:val="18"/>
                <w:color w:val="auto"/>
                <w:w w:val="86"/>
              </w:rPr>
              <w:t>116</w:t>
            </w:r>
          </w:p>
        </w:tc>
      </w:tr>
    </w:tbl>
    <w:p>
      <w:pPr>
        <w:spacing w:after="0" w:line="19" w:lineRule="exact"/>
        <w:rPr>
          <w:sz w:val="20"/>
          <w:szCs w:val="20"/>
          <w:color w:val="auto"/>
        </w:rPr>
      </w:pPr>
    </w:p>
    <w:p>
      <w:pPr>
        <w:ind w:left="1100" w:hanging="876"/>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Loan portfolio</w:t>
      </w:r>
    </w:p>
    <w:tbl>
      <w:tblPr>
        <w:tblLayout w:type="fixed"/>
        <w:tblInd w:w="1120" w:type="dxa"/>
        <w:tblCellMar>
          <w:top w:w="0" w:type="dxa"/>
          <w:left w:w="0" w:type="dxa"/>
          <w:bottom w:w="0" w:type="dxa"/>
          <w:right w:w="0" w:type="dxa"/>
        </w:tblCellMar>
      </w:tblPr>
      <w:tr>
        <w:trPr>
          <w:trHeight w:val="193"/>
        </w:trPr>
        <w:tc>
          <w:tcPr>
            <w:tcW w:w="380" w:type="dxa"/>
            <w:vAlign w:val="bottom"/>
          </w:tcPr>
          <w:p>
            <w:pPr>
              <w:jc w:val="right"/>
              <w:ind w:right="112"/>
              <w:spacing w:after="0" w:line="193" w:lineRule="exact"/>
              <w:rPr>
                <w:sz w:val="20"/>
                <w:szCs w:val="20"/>
                <w:color w:val="auto"/>
              </w:rPr>
            </w:pPr>
            <w:r>
              <w:rPr>
                <w:rFonts w:ascii="Arial" w:cs="Arial" w:eastAsia="Arial" w:hAnsi="Arial"/>
                <w:sz w:val="18"/>
                <w:szCs w:val="18"/>
                <w:color w:val="auto"/>
                <w:w w:val="93"/>
              </w:rPr>
              <w:t>A.</w:t>
            </w:r>
          </w:p>
        </w:tc>
        <w:tc>
          <w:tcPr>
            <w:tcW w:w="1280" w:type="dxa"/>
            <w:vAlign w:val="bottom"/>
            <w:tcBorders>
              <w:bottom w:val="single" w:sz="8" w:color="0000EE"/>
            </w:tcBorders>
          </w:tcPr>
          <w:p>
            <w:pPr>
              <w:spacing w:after="0" w:line="193" w:lineRule="exact"/>
              <w:rPr>
                <w:sz w:val="20"/>
                <w:szCs w:val="20"/>
                <w:color w:val="auto"/>
              </w:rPr>
            </w:pPr>
            <w:r>
              <w:rPr>
                <w:rFonts w:ascii="Arial" w:cs="Arial" w:eastAsia="Arial" w:hAnsi="Arial"/>
                <w:sz w:val="18"/>
                <w:szCs w:val="18"/>
                <w:color w:val="0000EE"/>
                <w:w w:val="83"/>
              </w:rPr>
              <w:t>Year-end balances</w:t>
            </w:r>
          </w:p>
        </w:tc>
        <w:tc>
          <w:tcPr>
            <w:tcW w:w="2520" w:type="dxa"/>
            <w:vAlign w:val="bottom"/>
          </w:tcPr>
          <w:p>
            <w:pPr>
              <w:spacing w:after="0"/>
              <w:rPr>
                <w:sz w:val="16"/>
                <w:szCs w:val="16"/>
                <w:color w:val="auto"/>
              </w:rPr>
            </w:pPr>
          </w:p>
        </w:tc>
        <w:tc>
          <w:tcPr>
            <w:tcW w:w="5580" w:type="dxa"/>
            <w:vAlign w:val="bottom"/>
          </w:tcPr>
          <w:p>
            <w:pPr>
              <w:jc w:val="right"/>
              <w:spacing w:after="0" w:line="193" w:lineRule="exact"/>
              <w:rPr>
                <w:sz w:val="20"/>
                <w:szCs w:val="20"/>
                <w:color w:val="auto"/>
              </w:rPr>
            </w:pPr>
            <w:r>
              <w:rPr>
                <w:rFonts w:ascii="Arial" w:cs="Arial" w:eastAsia="Arial" w:hAnsi="Arial"/>
                <w:sz w:val="18"/>
                <w:szCs w:val="18"/>
                <w:color w:val="auto"/>
              </w:rPr>
              <w:t>23, 119</w:t>
            </w:r>
          </w:p>
        </w:tc>
      </w:tr>
      <w:tr>
        <w:trPr>
          <w:trHeight w:val="196"/>
        </w:trPr>
        <w:tc>
          <w:tcPr>
            <w:tcW w:w="380" w:type="dxa"/>
            <w:vAlign w:val="bottom"/>
          </w:tcPr>
          <w:p>
            <w:pPr>
              <w:jc w:val="right"/>
              <w:ind w:right="112"/>
              <w:spacing w:after="0" w:line="196" w:lineRule="exact"/>
              <w:rPr>
                <w:sz w:val="20"/>
                <w:szCs w:val="20"/>
                <w:color w:val="auto"/>
              </w:rPr>
            </w:pPr>
            <w:r>
              <w:rPr>
                <w:rFonts w:ascii="Arial" w:cs="Arial" w:eastAsia="Arial" w:hAnsi="Arial"/>
                <w:sz w:val="18"/>
                <w:szCs w:val="18"/>
                <w:color w:val="auto"/>
                <w:w w:val="93"/>
              </w:rPr>
              <w:t>B.</w:t>
            </w:r>
          </w:p>
        </w:tc>
        <w:tc>
          <w:tcPr>
            <w:tcW w:w="38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Maturities and sensitivities to changes in interest rates</w:t>
            </w:r>
          </w:p>
        </w:tc>
        <w:tc>
          <w:tcPr>
            <w:tcW w:w="5580" w:type="dxa"/>
            <w:vAlign w:val="bottom"/>
          </w:tcPr>
          <w:p>
            <w:pPr>
              <w:jc w:val="right"/>
              <w:ind w:right="92"/>
              <w:spacing w:after="0" w:line="196" w:lineRule="exact"/>
              <w:rPr>
                <w:sz w:val="20"/>
                <w:szCs w:val="20"/>
                <w:color w:val="auto"/>
              </w:rPr>
            </w:pPr>
            <w:r>
              <w:rPr>
                <w:rFonts w:ascii="Arial" w:cs="Arial" w:eastAsia="Arial" w:hAnsi="Arial"/>
                <w:sz w:val="18"/>
                <w:szCs w:val="18"/>
                <w:color w:val="auto"/>
              </w:rPr>
              <w:t>80</w:t>
            </w:r>
          </w:p>
        </w:tc>
      </w:tr>
    </w:tbl>
    <w:p>
      <w:pPr>
        <w:spacing w:after="0" w:line="19" w:lineRule="exact"/>
        <w:rPr>
          <w:sz w:val="20"/>
          <w:szCs w:val="20"/>
          <w:color w:val="auto"/>
        </w:rPr>
      </w:pPr>
    </w:p>
    <w:p>
      <w:pPr>
        <w:ind w:left="1500" w:hanging="370"/>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Risk elements</w:t>
      </w:r>
    </w:p>
    <w:tbl>
      <w:tblPr>
        <w:tblLayout w:type="fixed"/>
        <w:tblInd w:w="220" w:type="dxa"/>
        <w:tblCellMar>
          <w:top w:w="0" w:type="dxa"/>
          <w:left w:w="0" w:type="dxa"/>
          <w:bottom w:w="0" w:type="dxa"/>
          <w:right w:w="0" w:type="dxa"/>
        </w:tblCellMar>
      </w:tblPr>
      <w:tr>
        <w:trPr>
          <w:trHeight w:val="193"/>
        </w:trPr>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tcBorders>
              <w:bottom w:val="single" w:sz="8" w:color="0000EE"/>
            </w:tcBorders>
            <w:gridSpan w:val="6"/>
          </w:tcPr>
          <w:p>
            <w:pPr>
              <w:spacing w:after="0" w:line="193" w:lineRule="exact"/>
              <w:rPr>
                <w:sz w:val="20"/>
                <w:szCs w:val="20"/>
                <w:color w:val="auto"/>
              </w:rPr>
            </w:pPr>
            <w:r>
              <w:rPr>
                <w:rFonts w:ascii="Arial" w:cs="Arial" w:eastAsia="Arial" w:hAnsi="Arial"/>
                <w:sz w:val="18"/>
                <w:szCs w:val="18"/>
                <w:color w:val="0000EE"/>
                <w:w w:val="85"/>
              </w:rPr>
              <w:t>Nonaccrual, past due and renegotiated loans</w:t>
            </w:r>
          </w:p>
        </w:tc>
        <w:tc>
          <w:tcPr>
            <w:tcW w:w="4660" w:type="dxa"/>
            <w:vAlign w:val="bottom"/>
            <w:gridSpan w:val="3"/>
          </w:tcPr>
          <w:p>
            <w:pPr>
              <w:spacing w:after="0"/>
              <w:rPr>
                <w:sz w:val="16"/>
                <w:szCs w:val="16"/>
                <w:color w:val="auto"/>
              </w:rPr>
            </w:pPr>
          </w:p>
        </w:tc>
        <w:tc>
          <w:tcPr>
            <w:tcW w:w="2080" w:type="dxa"/>
            <w:vAlign w:val="bottom"/>
          </w:tcPr>
          <w:p>
            <w:pPr>
              <w:jc w:val="center"/>
              <w:ind w:left="552"/>
              <w:spacing w:after="0" w:line="193" w:lineRule="exact"/>
              <w:rPr>
                <w:sz w:val="20"/>
                <w:szCs w:val="20"/>
                <w:color w:val="auto"/>
              </w:rPr>
            </w:pPr>
            <w:r>
              <w:rPr>
                <w:rFonts w:ascii="Arial" w:cs="Arial" w:eastAsia="Arial" w:hAnsi="Arial"/>
                <w:sz w:val="18"/>
                <w:szCs w:val="18"/>
                <w:color w:val="auto"/>
                <w:w w:val="87"/>
              </w:rPr>
              <w:t>62, 121-122</w:t>
            </w:r>
          </w:p>
        </w:tc>
      </w:tr>
      <w:tr>
        <w:trPr>
          <w:trHeight w:val="196"/>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Arial" w:cs="Arial" w:eastAsia="Arial" w:hAnsi="Arial"/>
                <w:sz w:val="18"/>
                <w:szCs w:val="18"/>
                <w:color w:val="0000EE"/>
              </w:rPr>
              <w:t>Actual and pro forma interest on certain loans .</w:t>
            </w:r>
          </w:p>
        </w:tc>
        <w:tc>
          <w:tcPr>
            <w:tcW w:w="208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8"/>
              </w:rPr>
              <w:t>122, 128</w:t>
            </w:r>
          </w:p>
        </w:tc>
      </w:tr>
      <w:tr>
        <w:trPr>
          <w:trHeight w:val="196"/>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Nonaccrual policy</w:t>
            </w:r>
          </w:p>
        </w:tc>
        <w:tc>
          <w:tcPr>
            <w:tcW w:w="4460" w:type="dxa"/>
            <w:vAlign w:val="bottom"/>
            <w:gridSpan w:val="2"/>
          </w:tcPr>
          <w:p>
            <w:pPr>
              <w:spacing w:after="0"/>
              <w:rPr>
                <w:sz w:val="17"/>
                <w:szCs w:val="17"/>
                <w:color w:val="auto"/>
              </w:rPr>
            </w:pPr>
          </w:p>
        </w:tc>
        <w:tc>
          <w:tcPr>
            <w:tcW w:w="208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7"/>
              </w:rPr>
              <w:t>109-110</w:t>
            </w:r>
          </w:p>
        </w:tc>
      </w:tr>
      <w:tr>
        <w:trPr>
          <w:trHeight w:val="20"/>
        </w:trPr>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Arial" w:cs="Arial" w:eastAsia="Arial" w:hAnsi="Arial"/>
                <w:sz w:val="18"/>
                <w:szCs w:val="18"/>
                <w:color w:val="0000EE"/>
              </w:rPr>
              <w:t>Loan concentrations</w:t>
            </w:r>
          </w:p>
        </w:tc>
        <w:tc>
          <w:tcPr>
            <w:tcW w:w="208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71</w:t>
            </w:r>
          </w:p>
        </w:tc>
      </w:tr>
      <w:tr>
        <w:trPr>
          <w:trHeight w:val="20"/>
        </w:trPr>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IV.</w:t>
            </w:r>
          </w:p>
        </w:tc>
        <w:tc>
          <w:tcPr>
            <w:tcW w:w="8160" w:type="dxa"/>
            <w:vAlign w:val="bottom"/>
            <w:gridSpan w:val="10"/>
          </w:tcPr>
          <w:p>
            <w:pPr>
              <w:spacing w:after="0" w:line="196" w:lineRule="exact"/>
              <w:rPr>
                <w:sz w:val="20"/>
                <w:szCs w:val="20"/>
                <w:color w:val="auto"/>
              </w:rPr>
            </w:pPr>
            <w:r>
              <w:rPr>
                <w:rFonts w:ascii="Arial" w:cs="Arial" w:eastAsia="Arial" w:hAnsi="Arial"/>
                <w:sz w:val="18"/>
                <w:szCs w:val="18"/>
                <w:color w:val="0000EE"/>
              </w:rPr>
              <w:t>Summary of loan loss experience</w:t>
            </w:r>
          </w:p>
        </w:tc>
        <w:tc>
          <w:tcPr>
            <w:tcW w:w="20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A.</w:t>
            </w:r>
          </w:p>
        </w:tc>
        <w:tc>
          <w:tcPr>
            <w:tcW w:w="28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Analysis of the allowance for loan losses</w:t>
            </w:r>
          </w:p>
        </w:tc>
        <w:tc>
          <w:tcPr>
            <w:tcW w:w="4880" w:type="dxa"/>
            <w:vAlign w:val="bottom"/>
            <w:gridSpan w:val="5"/>
          </w:tcPr>
          <w:p>
            <w:pPr>
              <w:spacing w:after="0"/>
              <w:rPr>
                <w:sz w:val="17"/>
                <w:szCs w:val="17"/>
                <w:color w:val="auto"/>
              </w:rPr>
            </w:pPr>
          </w:p>
        </w:tc>
        <w:tc>
          <w:tcPr>
            <w:tcW w:w="2080" w:type="dxa"/>
            <w:vAlign w:val="bottom"/>
          </w:tcPr>
          <w:p>
            <w:pPr>
              <w:jc w:val="center"/>
              <w:ind w:left="552"/>
              <w:spacing w:after="0" w:line="196" w:lineRule="exact"/>
              <w:rPr>
                <w:sz w:val="20"/>
                <w:szCs w:val="20"/>
                <w:color w:val="auto"/>
              </w:rPr>
            </w:pPr>
            <w:r>
              <w:rPr>
                <w:rFonts w:ascii="Arial" w:cs="Arial" w:eastAsia="Arial" w:hAnsi="Arial"/>
                <w:sz w:val="18"/>
                <w:szCs w:val="18"/>
                <w:color w:val="auto"/>
                <w:w w:val="87"/>
              </w:rPr>
              <w:t>60, 125-130</w:t>
            </w:r>
          </w:p>
        </w:tc>
      </w:tr>
      <w:tr>
        <w:trPr>
          <w:trHeight w:val="196"/>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Factors influencing management’s judgment concerning the adequacy of the allowance and provision</w:t>
            </w:r>
          </w:p>
        </w:tc>
        <w:tc>
          <w:tcPr>
            <w:tcW w:w="640" w:type="dxa"/>
            <w:vAlign w:val="bottom"/>
          </w:tcPr>
          <w:p>
            <w:pPr>
              <w:spacing w:after="0"/>
              <w:rPr>
                <w:sz w:val="17"/>
                <w:szCs w:val="17"/>
                <w:color w:val="auto"/>
              </w:rPr>
            </w:pPr>
          </w:p>
        </w:tc>
        <w:tc>
          <w:tcPr>
            <w:tcW w:w="2080" w:type="dxa"/>
            <w:vAlign w:val="bottom"/>
          </w:tcPr>
          <w:p>
            <w:pPr>
              <w:jc w:val="center"/>
              <w:ind w:left="552"/>
              <w:spacing w:after="0" w:line="196" w:lineRule="exact"/>
              <w:rPr>
                <w:sz w:val="20"/>
                <w:szCs w:val="20"/>
                <w:color w:val="auto"/>
              </w:rPr>
            </w:pPr>
            <w:r>
              <w:rPr>
                <w:rFonts w:ascii="Arial" w:cs="Arial" w:eastAsia="Arial" w:hAnsi="Arial"/>
                <w:sz w:val="18"/>
                <w:szCs w:val="18"/>
                <w:color w:val="auto"/>
                <w:w w:val="88"/>
              </w:rPr>
              <w:t>59-71, 110, 125-130</w:t>
            </w:r>
          </w:p>
        </w:tc>
      </w:tr>
      <w:tr>
        <w:trPr>
          <w:trHeight w:val="196"/>
        </w:trPr>
        <w:tc>
          <w:tcPr>
            <w:tcW w:w="880" w:type="dxa"/>
            <w:vAlign w:val="bottom"/>
          </w:tcPr>
          <w:p>
            <w:pPr>
              <w:spacing w:after="0"/>
              <w:rPr>
                <w:sz w:val="17"/>
                <w:szCs w:val="17"/>
                <w:color w:val="auto"/>
              </w:rPr>
            </w:pPr>
          </w:p>
        </w:tc>
        <w:tc>
          <w:tcPr>
            <w:tcW w:w="40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B.</w:t>
            </w:r>
          </w:p>
        </w:tc>
        <w:tc>
          <w:tcPr>
            <w:tcW w:w="30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Allocation of the allowance for loan losses</w:t>
            </w:r>
          </w:p>
        </w:tc>
        <w:tc>
          <w:tcPr>
            <w:tcW w:w="4760" w:type="dxa"/>
            <w:vAlign w:val="bottom"/>
            <w:gridSpan w:val="4"/>
          </w:tcPr>
          <w:p>
            <w:pPr>
              <w:spacing w:after="0"/>
              <w:rPr>
                <w:sz w:val="17"/>
                <w:szCs w:val="17"/>
                <w:color w:val="auto"/>
              </w:rPr>
            </w:pPr>
          </w:p>
        </w:tc>
        <w:tc>
          <w:tcPr>
            <w:tcW w:w="2080" w:type="dxa"/>
            <w:vAlign w:val="bottom"/>
          </w:tcPr>
          <w:p>
            <w:pPr>
              <w:jc w:val="center"/>
              <w:ind w:left="552"/>
              <w:spacing w:after="0" w:line="196" w:lineRule="exact"/>
              <w:rPr>
                <w:sz w:val="20"/>
                <w:szCs w:val="20"/>
                <w:color w:val="auto"/>
              </w:rPr>
            </w:pPr>
            <w:r>
              <w:rPr>
                <w:rFonts w:ascii="Arial" w:cs="Arial" w:eastAsia="Arial" w:hAnsi="Arial"/>
                <w:sz w:val="18"/>
                <w:szCs w:val="18"/>
                <w:color w:val="auto"/>
                <w:w w:val="87"/>
              </w:rPr>
              <w:t>70, 125, 130</w:t>
            </w:r>
          </w:p>
        </w:tc>
      </w:tr>
    </w:tbl>
    <w:p>
      <w:pPr>
        <w:spacing w:after="0" w:line="19" w:lineRule="exact"/>
        <w:rPr>
          <w:sz w:val="20"/>
          <w:szCs w:val="20"/>
          <w:color w:val="auto"/>
        </w:rPr>
      </w:pPr>
    </w:p>
    <w:p>
      <w:pPr>
        <w:ind w:left="1100" w:hanging="876"/>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Deposits</w:t>
      </w: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7400" w:type="dxa"/>
            <w:vAlign w:val="bottom"/>
            <w:gridSpan w:val="14"/>
          </w:tcPr>
          <w:p>
            <w:pPr>
              <w:ind w:left="20"/>
              <w:spacing w:after="0" w:line="193" w:lineRule="exact"/>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0000EE"/>
              </w:rPr>
              <w:t>Average balances and rates</w:t>
            </w:r>
          </w:p>
        </w:tc>
        <w:tc>
          <w:tcPr>
            <w:tcW w:w="2840" w:type="dxa"/>
            <w:vAlign w:val="bottom"/>
          </w:tcPr>
          <w:p>
            <w:pPr>
              <w:jc w:val="center"/>
              <w:ind w:left="1292"/>
              <w:spacing w:after="0" w:line="193" w:lineRule="exact"/>
              <w:rPr>
                <w:sz w:val="20"/>
                <w:szCs w:val="20"/>
                <w:color w:val="auto"/>
              </w:rPr>
            </w:pPr>
            <w:r>
              <w:rPr>
                <w:rFonts w:ascii="Arial" w:cs="Arial" w:eastAsia="Arial" w:hAnsi="Arial"/>
                <w:sz w:val="18"/>
                <w:szCs w:val="18"/>
                <w:color w:val="auto"/>
                <w:w w:val="89"/>
              </w:rPr>
              <w:t>48</w:t>
            </w: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400" w:type="dxa"/>
            <w:vAlign w:val="bottom"/>
            <w:gridSpan w:val="14"/>
          </w:tcPr>
          <w:p>
            <w:pPr>
              <w:ind w:left="40"/>
              <w:spacing w:after="0" w:line="196" w:lineRule="exact"/>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color w:val="0000EE"/>
              </w:rPr>
              <w:t>Maturity schedule of domestic time deposits with balances of</w:t>
            </w:r>
            <w:r>
              <w:rPr>
                <w:rFonts w:ascii="Arial" w:cs="Arial" w:eastAsia="Arial" w:hAnsi="Arial"/>
                <w:sz w:val="18"/>
                <w:szCs w:val="18"/>
                <w:color w:val="auto"/>
              </w:rPr>
              <w:t xml:space="preserve"> </w:t>
            </w:r>
            <w:r>
              <w:rPr>
                <w:rFonts w:ascii="Arial" w:cs="Arial" w:eastAsia="Arial" w:hAnsi="Arial"/>
                <w:sz w:val="18"/>
                <w:szCs w:val="18"/>
                <w:u w:val="single" w:color="auto"/>
                <w:color w:val="0000EE"/>
              </w:rPr>
              <w:t>$</w:t>
            </w:r>
            <w:r>
              <w:rPr>
                <w:rFonts w:ascii="Arial" w:cs="Arial" w:eastAsia="Arial" w:hAnsi="Arial"/>
                <w:sz w:val="18"/>
                <w:szCs w:val="18"/>
                <w:color w:val="0000EE"/>
              </w:rPr>
              <w:t>100,000 or more</w:t>
            </w:r>
          </w:p>
        </w:tc>
        <w:tc>
          <w:tcPr>
            <w:tcW w:w="2840" w:type="dxa"/>
            <w:vAlign w:val="bottom"/>
          </w:tcPr>
          <w:p>
            <w:pPr>
              <w:jc w:val="center"/>
              <w:ind w:left="1292"/>
              <w:spacing w:after="0" w:line="196" w:lineRule="exact"/>
              <w:rPr>
                <w:sz w:val="20"/>
                <w:szCs w:val="20"/>
                <w:color w:val="auto"/>
              </w:rPr>
            </w:pPr>
            <w:r>
              <w:rPr>
                <w:rFonts w:ascii="Arial" w:cs="Arial" w:eastAsia="Arial" w:hAnsi="Arial"/>
                <w:sz w:val="18"/>
                <w:szCs w:val="18"/>
                <w:color w:val="auto"/>
                <w:w w:val="89"/>
              </w:rPr>
              <w:t>83</w:t>
            </w: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VI.</w:t>
            </w:r>
          </w:p>
        </w:tc>
        <w:tc>
          <w:tcPr>
            <w:tcW w:w="19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5"/>
              </w:rPr>
              <w:t>Return on equity and assets</w:t>
            </w:r>
          </w:p>
        </w:tc>
        <w:tc>
          <w:tcPr>
            <w:tcW w:w="5460" w:type="dxa"/>
            <w:vAlign w:val="bottom"/>
            <w:gridSpan w:val="6"/>
          </w:tcPr>
          <w:p>
            <w:pPr>
              <w:spacing w:after="0"/>
              <w:rPr>
                <w:sz w:val="17"/>
                <w:szCs w:val="17"/>
                <w:color w:val="auto"/>
              </w:rPr>
            </w:pPr>
          </w:p>
        </w:tc>
        <w:tc>
          <w:tcPr>
            <w:tcW w:w="2840" w:type="dxa"/>
            <w:vAlign w:val="bottom"/>
          </w:tcPr>
          <w:p>
            <w:pPr>
              <w:jc w:val="center"/>
              <w:ind w:left="1312"/>
              <w:spacing w:after="0" w:line="196" w:lineRule="exact"/>
              <w:rPr>
                <w:sz w:val="20"/>
                <w:szCs w:val="20"/>
                <w:color w:val="auto"/>
              </w:rPr>
            </w:pPr>
            <w:r>
              <w:rPr>
                <w:rFonts w:ascii="Arial" w:cs="Arial" w:eastAsia="Arial" w:hAnsi="Arial"/>
                <w:sz w:val="18"/>
                <w:szCs w:val="18"/>
                <w:color w:val="auto"/>
                <w:w w:val="88"/>
              </w:rPr>
              <w:t>25, 43, 86-87, 90-91</w:t>
            </w:r>
          </w:p>
        </w:tc>
      </w:tr>
      <w:tr>
        <w:trPr>
          <w:trHeight w:val="196"/>
        </w:trPr>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VII.</w:t>
            </w:r>
          </w:p>
        </w:tc>
        <w:tc>
          <w:tcPr>
            <w:tcW w:w="7400" w:type="dxa"/>
            <w:vAlign w:val="bottom"/>
            <w:gridSpan w:val="14"/>
          </w:tcPr>
          <w:p>
            <w:pPr>
              <w:spacing w:after="0" w:line="196" w:lineRule="exact"/>
              <w:rPr>
                <w:sz w:val="20"/>
                <w:szCs w:val="20"/>
                <w:color w:val="auto"/>
              </w:rPr>
            </w:pPr>
            <w:r>
              <w:rPr>
                <w:rFonts w:ascii="Arial" w:cs="Arial" w:eastAsia="Arial" w:hAnsi="Arial"/>
                <w:sz w:val="18"/>
                <w:szCs w:val="18"/>
                <w:color w:val="0000EE"/>
              </w:rPr>
              <w:t>Short-term borrowings</w:t>
            </w:r>
          </w:p>
        </w:tc>
        <w:tc>
          <w:tcPr>
            <w:tcW w:w="2840" w:type="dxa"/>
            <w:vAlign w:val="bottom"/>
          </w:tcPr>
          <w:p>
            <w:pPr>
              <w:jc w:val="center"/>
              <w:ind w:left="1292"/>
              <w:spacing w:after="0" w:line="196" w:lineRule="exact"/>
              <w:rPr>
                <w:sz w:val="20"/>
                <w:szCs w:val="20"/>
                <w:color w:val="auto"/>
              </w:rPr>
            </w:pPr>
            <w:r>
              <w:rPr>
                <w:rFonts w:ascii="Arial" w:cs="Arial" w:eastAsia="Arial" w:hAnsi="Arial"/>
                <w:sz w:val="18"/>
                <w:szCs w:val="18"/>
                <w:color w:val="auto"/>
                <w:w w:val="86"/>
              </w:rPr>
              <w:t>135</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800" w:type="dxa"/>
            <w:vAlign w:val="bottom"/>
            <w:gridSpan w:val="8"/>
          </w:tcPr>
          <w:p>
            <w:pPr>
              <w:spacing w:after="0"/>
              <w:rPr>
                <w:sz w:val="17"/>
                <w:szCs w:val="17"/>
                <w:color w:val="auto"/>
              </w:rPr>
            </w:pPr>
          </w:p>
        </w:tc>
        <w:tc>
          <w:tcPr>
            <w:tcW w:w="2840" w:type="dxa"/>
            <w:vAlign w:val="bottom"/>
          </w:tcPr>
          <w:p>
            <w:pPr>
              <w:jc w:val="center"/>
              <w:ind w:left="1312"/>
              <w:spacing w:after="0" w:line="196" w:lineRule="exact"/>
              <w:rPr>
                <w:sz w:val="20"/>
                <w:szCs w:val="20"/>
                <w:color w:val="auto"/>
              </w:rPr>
            </w:pPr>
            <w:r>
              <w:rPr>
                <w:rFonts w:ascii="Arial" w:cs="Arial" w:eastAsia="Arial" w:hAnsi="Arial"/>
                <w:sz w:val="18"/>
                <w:szCs w:val="18"/>
                <w:color w:val="auto"/>
                <w:w w:val="86"/>
              </w:rPr>
              <w:t>25-33</w:t>
            </w:r>
          </w:p>
        </w:tc>
      </w:tr>
      <w:tr>
        <w:trPr>
          <w:trHeight w:val="20"/>
        </w:trPr>
        <w:tc>
          <w:tcPr>
            <w:tcW w:w="11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7400" w:type="dxa"/>
            <w:vAlign w:val="bottom"/>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 .</w:t>
              </w:r>
            </w:hyperlink>
          </w:p>
        </w:tc>
        <w:tc>
          <w:tcPr>
            <w:tcW w:w="2840" w:type="dxa"/>
            <w:vAlign w:val="bottom"/>
          </w:tcPr>
          <w:p>
            <w:pPr>
              <w:jc w:val="center"/>
              <w:ind w:left="1292"/>
              <w:spacing w:after="0" w:line="196" w:lineRule="exact"/>
              <w:rPr>
                <w:sz w:val="20"/>
                <w:szCs w:val="20"/>
                <w:color w:val="auto"/>
              </w:rPr>
            </w:pPr>
            <w:r>
              <w:rPr>
                <w:rFonts w:ascii="Arial" w:cs="Arial" w:eastAsia="Arial" w:hAnsi="Arial"/>
                <w:sz w:val="18"/>
                <w:szCs w:val="18"/>
                <w:color w:val="auto"/>
                <w:w w:val="89"/>
              </w:rPr>
              <w:t>33</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Properties</w:t>
              </w:r>
            </w:hyperlink>
          </w:p>
        </w:tc>
        <w:tc>
          <w:tcPr>
            <w:tcW w:w="1360" w:type="dxa"/>
            <w:vAlign w:val="bottom"/>
            <w:tcBorders>
              <w:top w:val="single" w:sz="8" w:color="0000EE"/>
            </w:tcBorders>
            <w:gridSpan w:val="7"/>
          </w:tcPr>
          <w:p>
            <w:pPr>
              <w:spacing w:after="0"/>
              <w:rPr>
                <w:sz w:val="17"/>
                <w:szCs w:val="17"/>
                <w:color w:val="auto"/>
              </w:rPr>
            </w:pPr>
          </w:p>
        </w:tc>
        <w:tc>
          <w:tcPr>
            <w:tcW w:w="5320" w:type="dxa"/>
            <w:vAlign w:val="bottom"/>
            <w:gridSpan w:val="5"/>
          </w:tcPr>
          <w:p>
            <w:pPr>
              <w:spacing w:after="0"/>
              <w:rPr>
                <w:sz w:val="17"/>
                <w:szCs w:val="17"/>
                <w:color w:val="auto"/>
              </w:rPr>
            </w:pPr>
          </w:p>
        </w:tc>
        <w:tc>
          <w:tcPr>
            <w:tcW w:w="2840" w:type="dxa"/>
            <w:vAlign w:val="bottom"/>
          </w:tcPr>
          <w:p>
            <w:pPr>
              <w:jc w:val="center"/>
              <w:ind w:left="1312"/>
              <w:spacing w:after="0" w:line="196" w:lineRule="exact"/>
              <w:rPr>
                <w:sz w:val="20"/>
                <w:szCs w:val="20"/>
                <w:color w:val="auto"/>
              </w:rPr>
            </w:pPr>
            <w:r>
              <w:rPr>
                <w:rFonts w:ascii="Arial" w:cs="Arial" w:eastAsia="Arial" w:hAnsi="Arial"/>
                <w:sz w:val="18"/>
                <w:szCs w:val="18"/>
                <w:color w:val="auto"/>
                <w:w w:val="86"/>
              </w:rPr>
              <w:t>33-34</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7400" w:type="dxa"/>
            <w:vAlign w:val="bottom"/>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840" w:type="dxa"/>
            <w:vAlign w:val="bottom"/>
          </w:tcPr>
          <w:p>
            <w:pPr>
              <w:jc w:val="center"/>
              <w:ind w:left="1292"/>
              <w:spacing w:after="0" w:line="196" w:lineRule="exact"/>
              <w:rPr>
                <w:sz w:val="20"/>
                <w:szCs w:val="20"/>
                <w:color w:val="auto"/>
              </w:rPr>
            </w:pPr>
            <w:r>
              <w:rPr>
                <w:rFonts w:ascii="Arial" w:cs="Arial" w:eastAsia="Arial" w:hAnsi="Arial"/>
                <w:sz w:val="18"/>
                <w:szCs w:val="18"/>
                <w:color w:val="auto"/>
                <w:w w:val="89"/>
              </w:rPr>
              <w:t>34</w:t>
            </w:r>
          </w:p>
        </w:tc>
      </w:tr>
      <w:tr>
        <w:trPr>
          <w:trHeight w:val="20"/>
        </w:trPr>
        <w:tc>
          <w:tcPr>
            <w:tcW w:w="11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7400" w:type="dxa"/>
            <w:vAlign w:val="bottom"/>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2840" w:type="dxa"/>
            <w:vAlign w:val="bottom"/>
          </w:tcPr>
          <w:p>
            <w:pPr>
              <w:jc w:val="center"/>
              <w:ind w:left="1292"/>
              <w:spacing w:after="0" w:line="196" w:lineRule="exact"/>
              <w:rPr>
                <w:sz w:val="20"/>
                <w:szCs w:val="20"/>
                <w:color w:val="auto"/>
              </w:rPr>
            </w:pPr>
            <w:r>
              <w:rPr>
                <w:rFonts w:ascii="Arial" w:cs="Arial" w:eastAsia="Arial" w:hAnsi="Arial"/>
                <w:sz w:val="18"/>
                <w:szCs w:val="18"/>
                <w:color w:val="auto"/>
                <w:w w:val="89"/>
              </w:rPr>
              <w:t>34</w:t>
            </w:r>
          </w:p>
        </w:tc>
      </w:tr>
      <w:tr>
        <w:trPr>
          <w:trHeight w:val="20"/>
        </w:trPr>
        <w:tc>
          <w:tcPr>
            <w:tcW w:w="11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22"/>
        </w:trPr>
        <w:tc>
          <w:tcPr>
            <w:tcW w:w="1100" w:type="dxa"/>
            <w:vAlign w:val="bottom"/>
          </w:tcPr>
          <w:p>
            <w:pPr>
              <w:spacing w:after="0"/>
              <w:rPr>
                <w:sz w:val="19"/>
                <w:szCs w:val="19"/>
                <w:color w:val="auto"/>
              </w:rPr>
            </w:pPr>
          </w:p>
        </w:tc>
        <w:tc>
          <w:tcPr>
            <w:tcW w:w="7400" w:type="dxa"/>
            <w:vAlign w:val="bottom"/>
            <w:gridSpan w:val="14"/>
          </w:tcPr>
          <w:p>
            <w:pPr>
              <w:spacing w:after="0"/>
              <w:rPr>
                <w:sz w:val="20"/>
                <w:szCs w:val="20"/>
                <w:color w:val="auto"/>
              </w:rPr>
            </w:pPr>
            <w:r>
              <w:rPr>
                <w:rFonts w:ascii="Arial" w:cs="Arial" w:eastAsia="Arial" w:hAnsi="Arial"/>
                <w:sz w:val="18"/>
                <w:szCs w:val="18"/>
                <w:color w:val="auto"/>
              </w:rPr>
              <w:t>Executive Officers of the Registrant</w:t>
            </w:r>
          </w:p>
        </w:tc>
        <w:tc>
          <w:tcPr>
            <w:tcW w:w="2840" w:type="dxa"/>
            <w:vAlign w:val="bottom"/>
          </w:tcPr>
          <w:p>
            <w:pPr>
              <w:jc w:val="center"/>
              <w:ind w:left="1312"/>
              <w:spacing w:after="0"/>
              <w:rPr>
                <w:sz w:val="20"/>
                <w:szCs w:val="20"/>
                <w:color w:val="auto"/>
              </w:rPr>
            </w:pPr>
            <w:r>
              <w:rPr>
                <w:rFonts w:ascii="Arial" w:cs="Arial" w:eastAsia="Arial" w:hAnsi="Arial"/>
                <w:sz w:val="18"/>
                <w:szCs w:val="18"/>
                <w:color w:val="auto"/>
                <w:w w:val="86"/>
              </w:rPr>
              <w:t>34-36</w:t>
            </w:r>
          </w:p>
        </w:tc>
      </w:tr>
      <w:tr>
        <w:trPr>
          <w:trHeight w:val="190"/>
        </w:trPr>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40" w:type="dxa"/>
            <w:vAlign w:val="bottom"/>
            <w:tcBorders>
              <w:bottom w:val="single" w:sz="8" w:color="0000EE"/>
            </w:tcBorders>
          </w:tcPr>
          <w:p>
            <w:pPr>
              <w:spacing w:after="0" w:line="190" w:lineRule="exact"/>
              <w:rPr>
                <w:rFonts w:ascii="Arial" w:cs="Arial" w:eastAsia="Arial" w:hAnsi="Arial"/>
                <w:sz w:val="18"/>
                <w:szCs w:val="18"/>
                <w:b w:val="1"/>
                <w:bCs w:val="1"/>
                <w:color w:val="0000EE"/>
                <w:w w:val="96"/>
              </w:rPr>
            </w:pPr>
            <w:hyperlink w:anchor="page36">
              <w:r>
                <w:rPr>
                  <w:rFonts w:ascii="Arial" w:cs="Arial" w:eastAsia="Arial" w:hAnsi="Arial"/>
                  <w:sz w:val="18"/>
                  <w:szCs w:val="18"/>
                  <w:b w:val="1"/>
                  <w:bCs w:val="1"/>
                  <w:color w:val="0000EE"/>
                  <w:w w:val="96"/>
                </w:rPr>
                <w:t>PART II</w:t>
              </w:r>
            </w:hyperlink>
          </w:p>
        </w:tc>
        <w:tc>
          <w:tcPr>
            <w:tcW w:w="2460" w:type="dxa"/>
            <w:vAlign w:val="bottom"/>
            <w:gridSpan w:val="2"/>
          </w:tcPr>
          <w:p>
            <w:pPr>
              <w:spacing w:after="0"/>
              <w:rPr>
                <w:sz w:val="16"/>
                <w:szCs w:val="16"/>
                <w:color w:val="auto"/>
              </w:rPr>
            </w:pPr>
          </w:p>
        </w:tc>
        <w:tc>
          <w:tcPr>
            <w:tcW w:w="2840" w:type="dxa"/>
            <w:vAlign w:val="bottom"/>
          </w:tcPr>
          <w:p>
            <w:pPr>
              <w:spacing w:after="0"/>
              <w:rPr>
                <w:sz w:val="16"/>
                <w:szCs w:val="16"/>
                <w:color w:val="auto"/>
              </w:rPr>
            </w:pPr>
          </w:p>
        </w:tc>
      </w:tr>
      <w:tr>
        <w:trPr>
          <w:trHeight w:val="22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7400" w:type="dxa"/>
            <w:vAlign w:val="bottom"/>
            <w:gridSpan w:val="14"/>
          </w:tcPr>
          <w:p>
            <w:pPr>
              <w:spacing w:after="0"/>
              <w:rPr>
                <w:sz w:val="20"/>
                <w:szCs w:val="20"/>
                <w:color w:val="auto"/>
              </w:rPr>
            </w:pPr>
            <w:r>
              <w:rPr>
                <w:rFonts w:ascii="Arial" w:cs="Arial" w:eastAsia="Arial" w:hAnsi="Arial"/>
                <w:sz w:val="18"/>
                <w:szCs w:val="18"/>
                <w:color w:val="auto"/>
              </w:rPr>
              <w:t>Market for Registrant’s Common Equity, Related Shareholder Matters and</w:t>
            </w:r>
          </w:p>
        </w:tc>
        <w:tc>
          <w:tcPr>
            <w:tcW w:w="2840" w:type="dxa"/>
            <w:vAlign w:val="bottom"/>
          </w:tcPr>
          <w:p>
            <w:pPr>
              <w:spacing w:after="0"/>
              <w:rPr>
                <w:sz w:val="19"/>
                <w:szCs w:val="19"/>
                <w:color w:val="auto"/>
              </w:rPr>
            </w:pPr>
          </w:p>
        </w:tc>
      </w:tr>
      <w:tr>
        <w:trPr>
          <w:trHeight w:val="216"/>
        </w:trPr>
        <w:tc>
          <w:tcPr>
            <w:tcW w:w="1100" w:type="dxa"/>
            <w:vAlign w:val="bottom"/>
          </w:tcPr>
          <w:p>
            <w:pPr>
              <w:spacing w:after="0"/>
              <w:rPr>
                <w:sz w:val="18"/>
                <w:szCs w:val="18"/>
                <w:color w:val="auto"/>
              </w:rPr>
            </w:pPr>
          </w:p>
        </w:tc>
        <w:tc>
          <w:tcPr>
            <w:tcW w:w="7400" w:type="dxa"/>
            <w:vAlign w:val="bottom"/>
            <w:gridSpan w:val="14"/>
          </w:tcPr>
          <w:p>
            <w:pPr>
              <w:spacing w:after="0"/>
              <w:rPr>
                <w:sz w:val="20"/>
                <w:szCs w:val="20"/>
                <w:color w:val="auto"/>
              </w:rPr>
            </w:pPr>
            <w:r>
              <w:rPr>
                <w:rFonts w:ascii="Arial" w:cs="Arial" w:eastAsia="Arial" w:hAnsi="Arial"/>
                <w:sz w:val="18"/>
                <w:szCs w:val="18"/>
                <w:color w:val="auto"/>
              </w:rPr>
              <w:t>Issuer Purchases of Equity Securities</w:t>
            </w:r>
          </w:p>
        </w:tc>
        <w:tc>
          <w:tcPr>
            <w:tcW w:w="2840" w:type="dxa"/>
            <w:vAlign w:val="bottom"/>
          </w:tcPr>
          <w:p>
            <w:pPr>
              <w:jc w:val="center"/>
              <w:ind w:left="1312"/>
              <w:spacing w:after="0"/>
              <w:rPr>
                <w:sz w:val="20"/>
                <w:szCs w:val="20"/>
                <w:color w:val="auto"/>
              </w:rPr>
            </w:pPr>
            <w:r>
              <w:rPr>
                <w:rFonts w:ascii="Arial" w:cs="Arial" w:eastAsia="Arial" w:hAnsi="Arial"/>
                <w:sz w:val="18"/>
                <w:szCs w:val="18"/>
                <w:color w:val="auto"/>
                <w:w w:val="86"/>
              </w:rPr>
              <w:t>36-39</w:t>
            </w:r>
          </w:p>
        </w:tc>
      </w:tr>
      <w:tr>
        <w:trPr>
          <w:trHeight w:val="184"/>
        </w:trPr>
        <w:tc>
          <w:tcPr>
            <w:tcW w:w="1100" w:type="dxa"/>
            <w:vAlign w:val="bottom"/>
          </w:tcPr>
          <w:p>
            <w:pPr>
              <w:spacing w:after="0"/>
              <w:rPr>
                <w:sz w:val="15"/>
                <w:szCs w:val="15"/>
                <w:color w:val="auto"/>
              </w:rPr>
            </w:pPr>
          </w:p>
        </w:tc>
        <w:tc>
          <w:tcPr>
            <w:tcW w:w="400" w:type="dxa"/>
            <w:vAlign w:val="bottom"/>
          </w:tcPr>
          <w:p>
            <w:pPr>
              <w:spacing w:after="0" w:line="184" w:lineRule="exact"/>
              <w:rPr>
                <w:sz w:val="20"/>
                <w:szCs w:val="20"/>
                <w:color w:val="auto"/>
              </w:rPr>
            </w:pPr>
            <w:r>
              <w:rPr>
                <w:rFonts w:ascii="Arial" w:cs="Arial" w:eastAsia="Arial" w:hAnsi="Arial"/>
                <w:sz w:val="18"/>
                <w:szCs w:val="18"/>
                <w:color w:val="auto"/>
              </w:rPr>
              <w:t>A.</w:t>
            </w:r>
          </w:p>
        </w:tc>
        <w:tc>
          <w:tcPr>
            <w:tcW w:w="1160" w:type="dxa"/>
            <w:vAlign w:val="bottom"/>
            <w:tcBorders>
              <w:bottom w:val="single" w:sz="8" w:color="0000EE"/>
            </w:tcBorders>
            <w:gridSpan w:val="4"/>
          </w:tcPr>
          <w:p>
            <w:pPr>
              <w:spacing w:after="0" w:line="184" w:lineRule="exact"/>
              <w:rPr>
                <w:sz w:val="20"/>
                <w:szCs w:val="20"/>
                <w:color w:val="auto"/>
              </w:rPr>
            </w:pPr>
            <w:r>
              <w:rPr>
                <w:rFonts w:ascii="Arial" w:cs="Arial" w:eastAsia="Arial" w:hAnsi="Arial"/>
                <w:sz w:val="18"/>
                <w:szCs w:val="18"/>
                <w:color w:val="0000EE"/>
                <w:w w:val="88"/>
              </w:rPr>
              <w:t>Principal market</w:t>
            </w:r>
          </w:p>
        </w:tc>
        <w:tc>
          <w:tcPr>
            <w:tcW w:w="5840" w:type="dxa"/>
            <w:vAlign w:val="bottom"/>
            <w:gridSpan w:val="9"/>
          </w:tcPr>
          <w:p>
            <w:pPr>
              <w:spacing w:after="0"/>
              <w:rPr>
                <w:sz w:val="15"/>
                <w:szCs w:val="15"/>
                <w:color w:val="auto"/>
              </w:rPr>
            </w:pPr>
          </w:p>
        </w:tc>
        <w:tc>
          <w:tcPr>
            <w:tcW w:w="2840" w:type="dxa"/>
            <w:vAlign w:val="bottom"/>
          </w:tcPr>
          <w:p>
            <w:pPr>
              <w:jc w:val="center"/>
              <w:ind w:left="1292"/>
              <w:spacing w:after="0" w:line="184" w:lineRule="exact"/>
              <w:rPr>
                <w:sz w:val="20"/>
                <w:szCs w:val="20"/>
                <w:color w:val="auto"/>
              </w:rPr>
            </w:pPr>
            <w:r>
              <w:rPr>
                <w:rFonts w:ascii="Arial" w:cs="Arial" w:eastAsia="Arial" w:hAnsi="Arial"/>
                <w:sz w:val="18"/>
                <w:szCs w:val="18"/>
                <w:color w:val="auto"/>
                <w:w w:val="89"/>
              </w:rPr>
              <w:t>36</w:t>
            </w:r>
          </w:p>
        </w:tc>
      </w:tr>
      <w:tr>
        <w:trPr>
          <w:trHeight w:val="228"/>
        </w:trPr>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0" w:type="dxa"/>
            <w:vAlign w:val="bottom"/>
            <w:gridSpan w:val="13"/>
          </w:tcPr>
          <w:p>
            <w:pPr>
              <w:spacing w:after="0"/>
              <w:rPr>
                <w:sz w:val="20"/>
                <w:szCs w:val="20"/>
                <w:color w:val="auto"/>
              </w:rPr>
            </w:pPr>
            <w:r>
              <w:rPr>
                <w:rFonts w:ascii="Arial" w:cs="Arial" w:eastAsia="Arial" w:hAnsi="Arial"/>
                <w:sz w:val="18"/>
                <w:szCs w:val="18"/>
                <w:color w:val="auto"/>
              </w:rPr>
              <w:t>Market prices</w:t>
            </w:r>
          </w:p>
        </w:tc>
        <w:tc>
          <w:tcPr>
            <w:tcW w:w="2840" w:type="dxa"/>
            <w:vAlign w:val="bottom"/>
          </w:tcPr>
          <w:p>
            <w:pPr>
              <w:jc w:val="center"/>
              <w:ind w:left="1292"/>
              <w:spacing w:after="0"/>
              <w:rPr>
                <w:sz w:val="20"/>
                <w:szCs w:val="20"/>
                <w:color w:val="auto"/>
              </w:rPr>
            </w:pPr>
            <w:r>
              <w:rPr>
                <w:rFonts w:ascii="Arial" w:cs="Arial" w:eastAsia="Arial" w:hAnsi="Arial"/>
                <w:sz w:val="18"/>
                <w:szCs w:val="18"/>
                <w:color w:val="auto"/>
                <w:w w:val="89"/>
              </w:rPr>
              <w:t>98</w:t>
            </w:r>
          </w:p>
        </w:tc>
      </w:tr>
      <w:tr>
        <w:trPr>
          <w:trHeight w:val="222"/>
        </w:trPr>
        <w:tc>
          <w:tcPr>
            <w:tcW w:w="1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B.</w:t>
            </w:r>
          </w:p>
        </w:tc>
        <w:tc>
          <w:tcPr>
            <w:tcW w:w="7000" w:type="dxa"/>
            <w:vAlign w:val="bottom"/>
            <w:gridSpan w:val="13"/>
          </w:tcPr>
          <w:p>
            <w:pPr>
              <w:spacing w:after="0"/>
              <w:rPr>
                <w:sz w:val="20"/>
                <w:szCs w:val="20"/>
                <w:color w:val="auto"/>
              </w:rPr>
            </w:pPr>
            <w:r>
              <w:rPr>
                <w:rFonts w:ascii="Arial" w:cs="Arial" w:eastAsia="Arial" w:hAnsi="Arial"/>
                <w:sz w:val="18"/>
                <w:szCs w:val="18"/>
                <w:color w:val="auto"/>
              </w:rPr>
              <w:t>Approximate number of holders at year-end</w:t>
            </w:r>
          </w:p>
        </w:tc>
        <w:tc>
          <w:tcPr>
            <w:tcW w:w="2840" w:type="dxa"/>
            <w:vAlign w:val="bottom"/>
          </w:tcPr>
          <w:p>
            <w:pPr>
              <w:jc w:val="center"/>
              <w:ind w:left="1292"/>
              <w:spacing w:after="0"/>
              <w:rPr>
                <w:sz w:val="20"/>
                <w:szCs w:val="20"/>
                <w:color w:val="auto"/>
              </w:rPr>
            </w:pPr>
            <w:r>
              <w:rPr>
                <w:rFonts w:ascii="Arial" w:cs="Arial" w:eastAsia="Arial" w:hAnsi="Arial"/>
                <w:sz w:val="18"/>
                <w:szCs w:val="18"/>
                <w:color w:val="auto"/>
                <w:w w:val="89"/>
              </w:rPr>
              <w:t>23</w:t>
            </w:r>
          </w:p>
        </w:tc>
      </w:tr>
      <w:tr>
        <w:trPr>
          <w:trHeight w:val="312"/>
        </w:trPr>
        <w:tc>
          <w:tcPr>
            <w:tcW w:w="1100" w:type="dxa"/>
            <w:vAlign w:val="bottom"/>
          </w:tcPr>
          <w:p>
            <w:pPr>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Form 10-K</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4"/>
            <w:vMerge w:val="restart"/>
          </w:tcPr>
          <w:p>
            <w:pPr>
              <w:spacing w:after="0"/>
              <w:rPr>
                <w:sz w:val="20"/>
                <w:szCs w:val="20"/>
                <w:color w:val="auto"/>
              </w:rPr>
            </w:pPr>
            <w:r>
              <w:rPr>
                <w:rFonts w:ascii="Arial" w:cs="Arial" w:eastAsia="Arial" w:hAnsi="Arial"/>
                <w:sz w:val="18"/>
                <w:szCs w:val="18"/>
                <w:color w:val="0000EE"/>
              </w:rPr>
              <w:t>C</w:t>
            </w:r>
            <w:r>
              <w:rPr>
                <w:rFonts w:ascii="Arial" w:cs="Arial" w:eastAsia="Arial" w:hAnsi="Arial"/>
                <w:sz w:val="18"/>
                <w:szCs w:val="18"/>
                <w:color w:val="000000"/>
              </w:rPr>
              <w:t>.</w:t>
            </w:r>
          </w:p>
        </w:tc>
        <w:tc>
          <w:tcPr>
            <w:tcW w:w="8100" w:type="dxa"/>
            <w:vAlign w:val="bottom"/>
            <w:gridSpan w:val="34"/>
            <w:vMerge w:val="restart"/>
          </w:tcPr>
          <w:p>
            <w:pPr>
              <w:spacing w:after="0"/>
              <w:rPr>
                <w:sz w:val="20"/>
                <w:szCs w:val="20"/>
                <w:color w:val="auto"/>
              </w:rPr>
            </w:pPr>
            <w:r>
              <w:rPr>
                <w:rFonts w:ascii="Arial" w:cs="Arial" w:eastAsia="Arial" w:hAnsi="Arial"/>
                <w:sz w:val="18"/>
                <w:szCs w:val="18"/>
                <w:color w:val="auto"/>
              </w:rPr>
              <w:t>Frequency and amount of dividends declared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8100" w:type="dxa"/>
            <w:vAlign w:val="bottom"/>
            <w:gridSpan w:val="34"/>
            <w:vMerge w:val="continue"/>
          </w:tcPr>
          <w:p>
            <w:pPr>
              <w:spacing w:after="0"/>
              <w:rPr>
                <w:sz w:val="13"/>
                <w:szCs w:val="13"/>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6"/>
                <w:szCs w:val="16"/>
                <w:color w:val="auto"/>
                <w:w w:val="98"/>
              </w:rPr>
              <w:t>24-25, 98, 107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D.</w:t>
            </w:r>
          </w:p>
        </w:tc>
        <w:tc>
          <w:tcPr>
            <w:tcW w:w="540" w:type="dxa"/>
            <w:vAlign w:val="bottom"/>
          </w:tcPr>
          <w:p>
            <w:pPr>
              <w:spacing w:after="0"/>
              <w:rPr>
                <w:sz w:val="18"/>
                <w:szCs w:val="18"/>
                <w:color w:val="auto"/>
              </w:rPr>
            </w:pPr>
          </w:p>
        </w:tc>
        <w:tc>
          <w:tcPr>
            <w:tcW w:w="8100" w:type="dxa"/>
            <w:vAlign w:val="bottom"/>
            <w:gridSpan w:val="34"/>
          </w:tcPr>
          <w:p>
            <w:pPr>
              <w:spacing w:after="0"/>
              <w:rPr>
                <w:sz w:val="20"/>
                <w:szCs w:val="20"/>
                <w:color w:val="auto"/>
              </w:rPr>
            </w:pPr>
            <w:r>
              <w:rPr>
                <w:rFonts w:ascii="Arial" w:cs="Arial" w:eastAsia="Arial" w:hAnsi="Arial"/>
                <w:sz w:val="18"/>
                <w:szCs w:val="18"/>
                <w:color w:val="auto"/>
              </w:rPr>
              <w:t>Restrictions on dividends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9-10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2"/>
              </w:rPr>
              <w:t>E.</w:t>
            </w:r>
          </w:p>
        </w:tc>
        <w:tc>
          <w:tcPr>
            <w:tcW w:w="560" w:type="dxa"/>
            <w:vAlign w:val="bottom"/>
            <w:gridSpan w:val="2"/>
          </w:tcPr>
          <w:p>
            <w:pPr>
              <w:spacing w:after="0"/>
              <w:rPr>
                <w:sz w:val="17"/>
                <w:szCs w:val="17"/>
                <w:color w:val="auto"/>
              </w:rPr>
            </w:pP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auto"/>
              </w:rPr>
              <w:t>Securities authorized for issuance under equity compensation plans</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36-37</w:t>
            </w: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auto"/>
              </w:rPr>
              <w:t>F.</w:t>
            </w:r>
          </w:p>
        </w:tc>
        <w:tc>
          <w:tcPr>
            <w:tcW w:w="8100" w:type="dxa"/>
            <w:vAlign w:val="bottom"/>
            <w:gridSpan w:val="34"/>
          </w:tcPr>
          <w:p>
            <w:pPr>
              <w:spacing w:after="0"/>
              <w:rPr>
                <w:sz w:val="20"/>
                <w:szCs w:val="20"/>
                <w:color w:val="auto"/>
              </w:rPr>
            </w:pPr>
            <w:r>
              <w:rPr>
                <w:rFonts w:ascii="Arial" w:cs="Arial" w:eastAsia="Arial" w:hAnsi="Arial"/>
                <w:sz w:val="18"/>
                <w:szCs w:val="18"/>
                <w:color w:val="auto"/>
              </w:rPr>
              <w:t>Performance graph</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4"/>
          </w:tcPr>
          <w:p>
            <w:pPr>
              <w:spacing w:after="0" w:line="184" w:lineRule="exact"/>
              <w:rPr>
                <w:sz w:val="20"/>
                <w:szCs w:val="20"/>
                <w:color w:val="auto"/>
              </w:rPr>
            </w:pPr>
            <w:r>
              <w:rPr>
                <w:rFonts w:ascii="Arial" w:cs="Arial" w:eastAsia="Arial" w:hAnsi="Arial"/>
                <w:sz w:val="18"/>
                <w:szCs w:val="18"/>
                <w:color w:val="auto"/>
              </w:rPr>
              <w:t>G.</w:t>
            </w:r>
          </w:p>
        </w:tc>
        <w:tc>
          <w:tcPr>
            <w:tcW w:w="8100" w:type="dxa"/>
            <w:vAlign w:val="bottom"/>
            <w:gridSpan w:val="34"/>
          </w:tcPr>
          <w:p>
            <w:pPr>
              <w:spacing w:after="0" w:line="184" w:lineRule="exact"/>
              <w:rPr>
                <w:sz w:val="20"/>
                <w:szCs w:val="20"/>
                <w:color w:val="auto"/>
              </w:rPr>
            </w:pPr>
            <w:r>
              <w:rPr>
                <w:rFonts w:ascii="Arial" w:cs="Arial" w:eastAsia="Arial" w:hAnsi="Arial"/>
                <w:sz w:val="18"/>
                <w:szCs w:val="18"/>
                <w:color w:val="0000EE"/>
              </w:rPr>
              <w:t>Repurchases of common stock</w:t>
            </w:r>
          </w:p>
        </w:tc>
        <w:tc>
          <w:tcPr>
            <w:tcW w:w="1020" w:type="dxa"/>
            <w:vAlign w:val="bottom"/>
          </w:tcPr>
          <w:p>
            <w:pPr>
              <w:jc w:val="center"/>
              <w:spacing w:after="0" w:line="184" w:lineRule="exact"/>
              <w:rPr>
                <w:sz w:val="20"/>
                <w:szCs w:val="20"/>
                <w:color w:val="auto"/>
              </w:rPr>
            </w:pPr>
            <w:r>
              <w:rPr>
                <w:rFonts w:ascii="Arial" w:cs="Arial" w:eastAsia="Arial" w:hAnsi="Arial"/>
                <w:sz w:val="18"/>
                <w:szCs w:val="18"/>
                <w:color w:val="auto"/>
                <w:w w:val="91"/>
              </w:rPr>
              <w:t>38-39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Selected Financial Data</w:t>
              </w:r>
            </w:hyperlink>
          </w:p>
        </w:tc>
        <w:tc>
          <w:tcPr>
            <w:tcW w:w="7140" w:type="dxa"/>
            <w:vAlign w:val="bottom"/>
            <w:gridSpan w:val="2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A.</w:t>
            </w:r>
          </w:p>
        </w:tc>
        <w:tc>
          <w:tcPr>
            <w:tcW w:w="2820" w:type="dxa"/>
            <w:vAlign w:val="bottom"/>
            <w:tcBorders>
              <w:bottom w:val="single" w:sz="8" w:color="0000EE"/>
            </w:tcBorders>
            <w:gridSpan w:val="16"/>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Selected consolidated year-end balances</w:t>
              </w:r>
            </w:hyperlink>
          </w:p>
        </w:tc>
        <w:tc>
          <w:tcPr>
            <w:tcW w:w="5280" w:type="dxa"/>
            <w:vAlign w:val="bottom"/>
            <w:gridSpan w:val="1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auto"/>
              </w:rPr>
              <w:t>B.</w:t>
            </w:r>
          </w:p>
        </w:tc>
        <w:tc>
          <w:tcPr>
            <w:tcW w:w="8100" w:type="dxa"/>
            <w:vAlign w:val="bottom"/>
            <w:gridSpan w:val="34"/>
          </w:tcPr>
          <w:p>
            <w:pPr>
              <w:spacing w:after="0"/>
              <w:rPr>
                <w:sz w:val="20"/>
                <w:szCs w:val="20"/>
                <w:color w:val="auto"/>
              </w:rPr>
            </w:pPr>
            <w:r>
              <w:rPr>
                <w:rFonts w:ascii="Arial" w:cs="Arial" w:eastAsia="Arial" w:hAnsi="Arial"/>
                <w:sz w:val="18"/>
                <w:szCs w:val="18"/>
                <w:color w:val="auto"/>
              </w:rPr>
              <w:t>Consolidated earnings, etc</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84"/>
        </w:trPr>
        <w:tc>
          <w:tcPr>
            <w:tcW w:w="1580" w:type="dxa"/>
            <w:vAlign w:val="bottom"/>
            <w:gridSpan w:val="3"/>
          </w:tcPr>
          <w:p>
            <w:pPr>
              <w:spacing w:after="0" w:line="184" w:lineRule="exact"/>
              <w:rPr>
                <w:sz w:val="20"/>
                <w:szCs w:val="20"/>
                <w:color w:val="auto"/>
              </w:rPr>
            </w:pPr>
            <w:r>
              <w:rPr>
                <w:rFonts w:ascii="Arial" w:cs="Arial" w:eastAsia="Arial" w:hAnsi="Arial"/>
                <w:sz w:val="18"/>
                <w:szCs w:val="18"/>
                <w:color w:val="auto"/>
              </w:rPr>
              <w:t>Item 7.</w:t>
            </w:r>
          </w:p>
        </w:tc>
        <w:tc>
          <w:tcPr>
            <w:tcW w:w="8820" w:type="dxa"/>
            <w:vAlign w:val="bottom"/>
            <w:gridSpan w:val="38"/>
          </w:tcPr>
          <w:p>
            <w:pPr>
              <w:spacing w:after="0" w:line="184" w:lineRule="exact"/>
              <w:rPr>
                <w:sz w:val="20"/>
                <w:szCs w:val="20"/>
                <w:color w:val="auto"/>
              </w:rPr>
            </w:pPr>
            <w:r>
              <w:rPr>
                <w:rFonts w:ascii="Arial" w:cs="Arial" w:eastAsia="Arial" w:hAnsi="Arial"/>
                <w:sz w:val="18"/>
                <w:szCs w:val="18"/>
                <w:color w:val="0000EE"/>
              </w:rPr>
              <w:t>Management’s Discussion and Analysis of Financial Condition and Results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00" w:type="dxa"/>
            <w:vAlign w:val="bottom"/>
            <w:tcBorders>
              <w:top w:val="single" w:sz="8" w:color="0000EE"/>
            </w:tcBorders>
            <w:gridSpan w:val="33"/>
          </w:tcPr>
          <w:p>
            <w:pPr>
              <w:spacing w:after="0" w:line="196" w:lineRule="exact"/>
              <w:rPr>
                <w:sz w:val="20"/>
                <w:szCs w:val="20"/>
                <w:color w:val="auto"/>
              </w:rPr>
            </w:pPr>
            <w:r>
              <w:rPr>
                <w:rFonts w:ascii="Arial" w:cs="Arial" w:eastAsia="Arial" w:hAnsi="Arial"/>
                <w:sz w:val="18"/>
                <w:szCs w:val="18"/>
                <w:color w:val="0000EE"/>
              </w:rPr>
              <w:t>of Operations</w:t>
            </w:r>
          </w:p>
        </w:tc>
        <w:tc>
          <w:tcPr>
            <w:tcW w:w="3520" w:type="dxa"/>
            <w:vAlign w:val="bottom"/>
            <w:gridSpan w:val="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39-99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8820" w:type="dxa"/>
            <w:vAlign w:val="bottom"/>
            <w:gridSpan w:val="38"/>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8"/>
        </w:trPr>
        <w:tc>
          <w:tcPr>
            <w:tcW w:w="1580" w:type="dxa"/>
            <w:vAlign w:val="bottom"/>
            <w:gridSpan w:val="3"/>
          </w:tcPr>
          <w:p>
            <w:pPr>
              <w:spacing w:after="0"/>
              <w:rPr>
                <w:sz w:val="20"/>
                <w:szCs w:val="20"/>
                <w:color w:val="auto"/>
              </w:rPr>
            </w:pPr>
            <w:r>
              <w:rPr>
                <w:rFonts w:ascii="Arial" w:cs="Arial" w:eastAsia="Arial" w:hAnsi="Arial"/>
                <w:sz w:val="18"/>
                <w:szCs w:val="18"/>
                <w:color w:val="auto"/>
              </w:rPr>
              <w:t>Item 8.</w:t>
            </w:r>
          </w:p>
        </w:tc>
        <w:tc>
          <w:tcPr>
            <w:tcW w:w="4260" w:type="dxa"/>
            <w:vAlign w:val="bottom"/>
            <w:tcBorders>
              <w:top w:val="single" w:sz="8" w:color="0000EE"/>
            </w:tcBorders>
            <w:gridSpan w:val="24"/>
          </w:tcPr>
          <w:p>
            <w:pPr>
              <w:spacing w:after="0"/>
              <w:rPr>
                <w:sz w:val="20"/>
                <w:szCs w:val="20"/>
                <w:color w:val="auto"/>
              </w:rPr>
            </w:pPr>
            <w:r>
              <w:rPr>
                <w:rFonts w:ascii="Arial" w:cs="Arial" w:eastAsia="Arial" w:hAnsi="Arial"/>
                <w:sz w:val="18"/>
                <w:szCs w:val="18"/>
                <w:color w:val="auto"/>
              </w:rPr>
              <w:t>Financial Statements and Supplementary Data</w:t>
            </w:r>
          </w:p>
        </w:tc>
        <w:tc>
          <w:tcPr>
            <w:tcW w:w="4560" w:type="dxa"/>
            <w:vAlign w:val="bottom"/>
            <w:gridSpan w:val="14"/>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4"/>
          </w:tcPr>
          <w:p>
            <w:pPr>
              <w:spacing w:after="0" w:line="184" w:lineRule="exact"/>
              <w:rPr>
                <w:sz w:val="20"/>
                <w:szCs w:val="20"/>
                <w:color w:val="auto"/>
              </w:rPr>
            </w:pPr>
            <w:r>
              <w:rPr>
                <w:rFonts w:ascii="Arial" w:cs="Arial" w:eastAsia="Arial" w:hAnsi="Arial"/>
                <w:sz w:val="18"/>
                <w:szCs w:val="18"/>
                <w:color w:val="auto"/>
              </w:rPr>
              <w:t>A.</w:t>
            </w:r>
          </w:p>
        </w:tc>
        <w:tc>
          <w:tcPr>
            <w:tcW w:w="3700" w:type="dxa"/>
            <w:vAlign w:val="bottom"/>
            <w:tcBorders>
              <w:bottom w:val="single" w:sz="8" w:color="0000EE"/>
            </w:tcBorders>
            <w:gridSpan w:val="23"/>
          </w:tcPr>
          <w:p>
            <w:pPr>
              <w:spacing w:after="0" w:line="184" w:lineRule="exact"/>
              <w:rPr>
                <w:sz w:val="20"/>
                <w:szCs w:val="20"/>
                <w:color w:val="auto"/>
              </w:rPr>
            </w:pPr>
            <w:r>
              <w:rPr>
                <w:rFonts w:ascii="Arial" w:cs="Arial" w:eastAsia="Arial" w:hAnsi="Arial"/>
                <w:sz w:val="18"/>
                <w:szCs w:val="18"/>
                <w:color w:val="0000EE"/>
                <w:w w:val="89"/>
              </w:rPr>
              <w:t>Report on Internal Control Over Financial Reporting</w:t>
            </w:r>
          </w:p>
        </w:tc>
        <w:tc>
          <w:tcPr>
            <w:tcW w:w="4400" w:type="dxa"/>
            <w:vAlign w:val="bottom"/>
            <w:gridSpan w:val="11"/>
          </w:tcPr>
          <w:p>
            <w:pPr>
              <w:spacing w:after="0"/>
              <w:rPr>
                <w:sz w:val="15"/>
                <w:szCs w:val="15"/>
                <w:color w:val="auto"/>
              </w:rPr>
            </w:pPr>
          </w:p>
        </w:tc>
        <w:tc>
          <w:tcPr>
            <w:tcW w:w="1020" w:type="dxa"/>
            <w:vAlign w:val="bottom"/>
          </w:tcPr>
          <w:p>
            <w:pPr>
              <w:jc w:val="center"/>
              <w:spacing w:after="0" w:line="184"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B.</w:t>
            </w: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0000EE"/>
              </w:rPr>
              <w:t>Report of Independent Registered Public Accounting Firm</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C.</w:t>
            </w: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0000EE"/>
              </w:rPr>
              <w:t>Consolidated Balance Sheet — December 31, 2012 and 2011</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D.</w:t>
            </w:r>
          </w:p>
        </w:tc>
        <w:tc>
          <w:tcPr>
            <w:tcW w:w="540" w:type="dxa"/>
            <w:vAlign w:val="bottom"/>
          </w:tcPr>
          <w:p>
            <w:pPr>
              <w:spacing w:after="0"/>
              <w:rPr>
                <w:sz w:val="17"/>
                <w:szCs w:val="17"/>
                <w:color w:val="auto"/>
              </w:rPr>
            </w:pP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auto"/>
              </w:rPr>
              <w:t>Consolidated Statement of Income — Years ended December 31, 2012, 2011 and 2010</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auto"/>
              </w:rPr>
              <w:t>E.</w:t>
            </w:r>
          </w:p>
        </w:tc>
        <w:tc>
          <w:tcPr>
            <w:tcW w:w="8100" w:type="dxa"/>
            <w:vAlign w:val="bottom"/>
            <w:gridSpan w:val="34"/>
          </w:tcPr>
          <w:p>
            <w:pPr>
              <w:spacing w:after="0"/>
              <w:rPr>
                <w:sz w:val="20"/>
                <w:szCs w:val="20"/>
                <w:color w:val="auto"/>
              </w:rPr>
            </w:pPr>
            <w:r>
              <w:rPr>
                <w:rFonts w:ascii="Arial" w:cs="Arial" w:eastAsia="Arial" w:hAnsi="Arial"/>
                <w:sz w:val="18"/>
                <w:szCs w:val="18"/>
                <w:color w:val="auto"/>
                <w:w w:val="97"/>
              </w:rPr>
              <w:t>Consolidated Statement of Comprehensive Income — Years ended December 31, 2012, 2011 and 2010</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4"/>
          </w:tcPr>
          <w:p>
            <w:pPr>
              <w:spacing w:after="0" w:line="184" w:lineRule="exact"/>
              <w:rPr>
                <w:sz w:val="20"/>
                <w:szCs w:val="20"/>
                <w:color w:val="auto"/>
              </w:rPr>
            </w:pPr>
            <w:r>
              <w:rPr>
                <w:rFonts w:ascii="Arial" w:cs="Arial" w:eastAsia="Arial" w:hAnsi="Arial"/>
                <w:sz w:val="18"/>
                <w:szCs w:val="18"/>
                <w:color w:val="auto"/>
              </w:rPr>
              <w:t>F.</w:t>
            </w:r>
          </w:p>
        </w:tc>
        <w:tc>
          <w:tcPr>
            <w:tcW w:w="8100" w:type="dxa"/>
            <w:vAlign w:val="bottom"/>
            <w:gridSpan w:val="34"/>
          </w:tcPr>
          <w:p>
            <w:pPr>
              <w:spacing w:after="0" w:line="184" w:lineRule="exact"/>
              <w:rPr>
                <w:sz w:val="20"/>
                <w:szCs w:val="20"/>
                <w:color w:val="auto"/>
              </w:rPr>
            </w:pPr>
            <w:r>
              <w:rPr>
                <w:rFonts w:ascii="Arial" w:cs="Arial" w:eastAsia="Arial" w:hAnsi="Arial"/>
                <w:sz w:val="18"/>
                <w:szCs w:val="18"/>
                <w:color w:val="0000EE"/>
              </w:rPr>
              <w:t>Consolidated Statement of Cash Flows — Years ended December 31, 2012, 2011 and 2010</w:t>
            </w:r>
          </w:p>
        </w:tc>
        <w:tc>
          <w:tcPr>
            <w:tcW w:w="1020" w:type="dxa"/>
            <w:vAlign w:val="bottom"/>
          </w:tcPr>
          <w:p>
            <w:pPr>
              <w:jc w:val="center"/>
              <w:spacing w:after="0" w:line="184"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G.</w:t>
            </w: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0000EE"/>
                <w:w w:val="94"/>
              </w:rPr>
              <w:t>Consolidated Statement of Changes in Shareholders’ Equity — Years ended December 31, 2012, 2011 and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2010 .</w:t>
            </w: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H.</w:t>
            </w:r>
          </w:p>
        </w:tc>
        <w:tc>
          <w:tcPr>
            <w:tcW w:w="21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7"/>
              </w:rPr>
              <w:t>Notes to Financial Statements</w:t>
            </w:r>
          </w:p>
        </w:tc>
        <w:tc>
          <w:tcPr>
            <w:tcW w:w="5960" w:type="dxa"/>
            <w:vAlign w:val="bottom"/>
            <w:gridSpan w:val="22"/>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108-176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I.</w:t>
            </w: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0000EE"/>
              </w:rPr>
              <w:t>Quarterly Trends</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48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Changes in and Disagreements with Accountants on Accounting and</w:t>
              </w:r>
            </w:hyperlink>
          </w:p>
        </w:tc>
        <w:tc>
          <w:tcPr>
            <w:tcW w:w="398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Financial Disclosure</w:t>
              </w:r>
            </w:hyperlink>
          </w:p>
        </w:tc>
        <w:tc>
          <w:tcPr>
            <w:tcW w:w="7360" w:type="dxa"/>
            <w:vAlign w:val="bottom"/>
            <w:gridSpan w:val="30"/>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77">
              <w:r>
                <w:rPr>
                  <w:rFonts w:ascii="Arial" w:cs="Arial" w:eastAsia="Arial" w:hAnsi="Arial"/>
                  <w:sz w:val="18"/>
                  <w:szCs w:val="18"/>
                  <w:color w:val="0000EE"/>
                  <w:w w:val="86"/>
                </w:rPr>
                <w:t>Controls and Procedures</w:t>
              </w:r>
            </w:hyperlink>
          </w:p>
        </w:tc>
        <w:tc>
          <w:tcPr>
            <w:tcW w:w="7080" w:type="dxa"/>
            <w:vAlign w:val="bottom"/>
            <w:gridSpan w:val="27"/>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A.</w:t>
            </w:r>
          </w:p>
        </w:tc>
        <w:tc>
          <w:tcPr>
            <w:tcW w:w="746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89"/>
              </w:rPr>
              <w:t>Conclusions of principal executive officer and principal financial officer regarding disclosure controls and</w:t>
            </w:r>
          </w:p>
        </w:tc>
        <w:tc>
          <w:tcPr>
            <w:tcW w:w="6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0000EE"/>
              </w:rPr>
              <w:t>procedures</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B.</w:t>
            </w:r>
          </w:p>
        </w:tc>
        <w:tc>
          <w:tcPr>
            <w:tcW w:w="8100" w:type="dxa"/>
            <w:vAlign w:val="bottom"/>
            <w:gridSpan w:val="34"/>
          </w:tcPr>
          <w:p>
            <w:pPr>
              <w:spacing w:after="0" w:line="196" w:lineRule="exact"/>
              <w:rPr>
                <w:sz w:val="20"/>
                <w:szCs w:val="20"/>
                <w:color w:val="auto"/>
              </w:rPr>
            </w:pPr>
            <w:r>
              <w:rPr>
                <w:rFonts w:ascii="Arial" w:cs="Arial" w:eastAsia="Arial" w:hAnsi="Arial"/>
                <w:sz w:val="18"/>
                <w:szCs w:val="18"/>
                <w:color w:val="0000EE"/>
              </w:rPr>
              <w:t>Management’s annual report on internal control over financial reporting</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C.</w:t>
            </w:r>
          </w:p>
        </w:tc>
        <w:tc>
          <w:tcPr>
            <w:tcW w:w="5040" w:type="dxa"/>
            <w:vAlign w:val="bottom"/>
            <w:tcBorders>
              <w:top w:val="single" w:sz="8" w:color="0000EE"/>
            </w:tcBorders>
            <w:gridSpan w:val="30"/>
          </w:tcPr>
          <w:p>
            <w:pPr>
              <w:spacing w:after="0" w:line="196" w:lineRule="exact"/>
              <w:rPr>
                <w:sz w:val="20"/>
                <w:szCs w:val="20"/>
                <w:color w:val="auto"/>
              </w:rPr>
            </w:pPr>
            <w:r>
              <w:rPr>
                <w:rFonts w:ascii="Arial" w:cs="Arial" w:eastAsia="Arial" w:hAnsi="Arial"/>
                <w:sz w:val="18"/>
                <w:szCs w:val="18"/>
                <w:color w:val="0000EE"/>
              </w:rPr>
              <w:t>Attestation report of the registered public accounting firm ..</w:t>
            </w:r>
          </w:p>
        </w:tc>
        <w:tc>
          <w:tcPr>
            <w:tcW w:w="3060" w:type="dxa"/>
            <w:vAlign w:val="bottom"/>
            <w:gridSpan w:val="4"/>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Arial" w:cs="Arial" w:eastAsia="Arial" w:hAnsi="Arial"/>
                <w:sz w:val="18"/>
                <w:szCs w:val="18"/>
                <w:color w:val="auto"/>
              </w:rPr>
              <w:t>D.</w:t>
            </w:r>
          </w:p>
        </w:tc>
        <w:tc>
          <w:tcPr>
            <w:tcW w:w="3600" w:type="dxa"/>
            <w:vAlign w:val="bottom"/>
            <w:tcBorders>
              <w:top w:val="single" w:sz="8" w:color="0000EE"/>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89"/>
              </w:rPr>
              <w:t>Changes in internal control over financial reporting</w:t>
            </w:r>
          </w:p>
        </w:tc>
        <w:tc>
          <w:tcPr>
            <w:tcW w:w="580" w:type="dxa"/>
            <w:vAlign w:val="bottom"/>
            <w:tcBorders>
              <w:top w:val="single" w:sz="8" w:color="0000EE"/>
            </w:tcBorders>
            <w:gridSpan w:val="4"/>
          </w:tcPr>
          <w:p>
            <w:pPr>
              <w:spacing w:after="0"/>
              <w:rPr>
                <w:sz w:val="17"/>
                <w:szCs w:val="17"/>
                <w:color w:val="auto"/>
              </w:rPr>
            </w:pPr>
          </w:p>
        </w:tc>
        <w:tc>
          <w:tcPr>
            <w:tcW w:w="3920" w:type="dxa"/>
            <w:vAlign w:val="bottom"/>
            <w:gridSpan w:val="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8820" w:type="dxa"/>
            <w:vAlign w:val="bottom"/>
            <w:gridSpan w:val="38"/>
          </w:tcPr>
          <w:p>
            <w:pPr>
              <w:spacing w:after="0"/>
              <w:rPr>
                <w:sz w:val="20"/>
                <w:szCs w:val="20"/>
                <w:color w:val="auto"/>
              </w:rPr>
            </w:pPr>
            <w:r>
              <w:rPr>
                <w:rFonts w:ascii="Arial" w:cs="Arial" w:eastAsia="Arial" w:hAnsi="Arial"/>
                <w:sz w:val="18"/>
                <w:szCs w:val="18"/>
                <w:color w:val="auto"/>
              </w:rPr>
              <w:t>Other Information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bottom w:val="single" w:sz="8" w:color="0000EE"/>
            </w:tcBorders>
            <w:gridSpan w:val="5"/>
          </w:tcPr>
          <w:p>
            <w:pPr>
              <w:spacing w:after="0" w:line="190" w:lineRule="exact"/>
              <w:rPr>
                <w:rFonts w:ascii="Arial" w:cs="Arial" w:eastAsia="Arial" w:hAnsi="Arial"/>
                <w:sz w:val="18"/>
                <w:szCs w:val="18"/>
                <w:b w:val="1"/>
                <w:bCs w:val="1"/>
                <w:color w:val="0000EE"/>
              </w:rPr>
            </w:pPr>
            <w:hyperlink w:anchor="page177">
              <w:r>
                <w:rPr>
                  <w:rFonts w:ascii="Arial" w:cs="Arial" w:eastAsia="Arial" w:hAnsi="Arial"/>
                  <w:sz w:val="18"/>
                  <w:szCs w:val="18"/>
                  <w:b w:val="1"/>
                  <w:bCs w:val="1"/>
                  <w:color w:val="0000EE"/>
                </w:rPr>
                <w:t>PART III</w:t>
              </w:r>
            </w:hyperlink>
          </w:p>
        </w:tc>
        <w:tc>
          <w:tcPr>
            <w:tcW w:w="5040" w:type="dxa"/>
            <w:vAlign w:val="bottom"/>
            <w:gridSpan w:val="16"/>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10.</w:t>
            </w:r>
          </w:p>
        </w:tc>
        <w:tc>
          <w:tcPr>
            <w:tcW w:w="8820" w:type="dxa"/>
            <w:vAlign w:val="bottom"/>
            <w:gridSpan w:val="38"/>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Directors, Executive Officers and Corporate Governance</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Executive Compensation</w:t>
              </w:r>
            </w:hyperlink>
          </w:p>
        </w:tc>
        <w:tc>
          <w:tcPr>
            <w:tcW w:w="4820" w:type="dxa"/>
            <w:vAlign w:val="bottom"/>
            <w:gridSpan w:val="1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8820" w:type="dxa"/>
            <w:vAlign w:val="bottom"/>
            <w:gridSpan w:val="3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Security Ownership of Certain Beneficial Owners and Management and</w:t>
              </w:r>
            </w:hyperlink>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Related Stockholder Matters</w:t>
              </w:r>
            </w:hyperlink>
          </w:p>
        </w:tc>
        <w:tc>
          <w:tcPr>
            <w:tcW w:w="3040" w:type="dxa"/>
            <w:vAlign w:val="bottom"/>
            <w:tcBorders>
              <w:top w:val="single" w:sz="8" w:color="0000EE"/>
            </w:tcBorders>
            <w:gridSpan w:val="18"/>
          </w:tcPr>
          <w:p>
            <w:pPr>
              <w:spacing w:after="0"/>
              <w:rPr>
                <w:sz w:val="17"/>
                <w:szCs w:val="17"/>
                <w:color w:val="auto"/>
              </w:rPr>
            </w:pPr>
          </w:p>
        </w:tc>
        <w:tc>
          <w:tcPr>
            <w:tcW w:w="3760" w:type="dxa"/>
            <w:vAlign w:val="bottom"/>
            <w:gridSpan w:val="6"/>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8820" w:type="dxa"/>
            <w:vAlign w:val="bottom"/>
            <w:gridSpan w:val="3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Certain Relationships and Related Transactions, and Director</w:t>
              </w:r>
            </w:hyperlink>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Independence</w:t>
              </w:r>
            </w:hyperlink>
          </w:p>
        </w:tc>
        <w:tc>
          <w:tcPr>
            <w:tcW w:w="4520" w:type="dxa"/>
            <w:vAlign w:val="bottom"/>
            <w:gridSpan w:val="13"/>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60" w:type="dxa"/>
            <w:vAlign w:val="bottom"/>
            <w:gridSpan w:val="1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8820" w:type="dxa"/>
            <w:vAlign w:val="bottom"/>
            <w:gridSpan w:val="3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Principal Accounting Fees and Services</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2"/>
              </w:rPr>
            </w:pPr>
            <w:hyperlink w:anchor="page178">
              <w:r>
                <w:rPr>
                  <w:rFonts w:ascii="Arial" w:cs="Arial" w:eastAsia="Arial" w:hAnsi="Arial"/>
                  <w:sz w:val="18"/>
                  <w:szCs w:val="18"/>
                  <w:b w:val="1"/>
                  <w:bCs w:val="1"/>
                  <w:color w:val="0000EE"/>
                  <w:w w:val="92"/>
                </w:rPr>
                <w:t>PART IV</w:t>
              </w:r>
            </w:hyperlink>
          </w:p>
        </w:tc>
        <w:tc>
          <w:tcPr>
            <w:tcW w:w="506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Arial" w:cs="Arial" w:eastAsia="Arial" w:hAnsi="Arial"/>
                <w:sz w:val="18"/>
                <w:szCs w:val="18"/>
                <w:color w:val="auto"/>
              </w:rPr>
              <w:t>Item 15.</w:t>
            </w:r>
          </w:p>
        </w:tc>
        <w:tc>
          <w:tcPr>
            <w:tcW w:w="8820" w:type="dxa"/>
            <w:vAlign w:val="bottom"/>
            <w:gridSpan w:val="3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Exhibits and Financial Statement Schedules</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196"/>
        </w:trPr>
        <w:tc>
          <w:tcPr>
            <w:tcW w:w="1580" w:type="dxa"/>
            <w:vAlign w:val="bottom"/>
            <w:gridSpan w:val="3"/>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SIGNATURES</w:t>
              </w:r>
            </w:hyperlink>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179-180</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3"/>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EXHIBIT INDEX</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181-183</w:t>
            </w:r>
          </w:p>
        </w:tc>
        <w:tc>
          <w:tcPr>
            <w:tcW w:w="0" w:type="dxa"/>
            <w:vAlign w:val="bottom"/>
          </w:tcPr>
          <w:p>
            <w:pPr>
              <w:spacing w:after="0"/>
              <w:rPr>
                <w:sz w:val="1"/>
                <w:szCs w:val="1"/>
                <w:color w:val="auto"/>
              </w:rPr>
            </w:pPr>
          </w:p>
        </w:tc>
      </w:tr>
      <w:tr>
        <w:trPr>
          <w:trHeight w:val="331"/>
        </w:trPr>
        <w:tc>
          <w:tcPr>
            <w:tcW w:w="10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-4886960</wp:posOffset>
            </wp:positionV>
            <wp:extent cx="27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-2966085</wp:posOffset>
            </wp:positionV>
            <wp:extent cx="27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-1319530</wp:posOffset>
            </wp:positionV>
            <wp:extent cx="27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-1045210</wp:posOffset>
            </wp:positionV>
            <wp:extent cx="279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M&amp;T Bank Corporation (“Registrant” or “M&amp;T”) is a New York business corporation which is registered as a financial holding company under the Bank Holding Company Act of 1956, as amended (“BHCA”) and as a bank holding company (“BHC”) under Article III-A of the New York Banking Law (“Banking Law”). The principal executive offices of the Registrant are located at One M&amp;T Plaza, Buffalo, New York 14203. The Registrant was incorporated in November 1969. The Registrant and its direct and indirect subsidiaries are collectively referred to herein as the “Company.” As of December 31, 2012 the Company had consolidated total assets of $83.0 billion, deposits of $65.6 billion and shareholders’ equity of $10.2 billion. The Company had 13,640 full-time and 1,303 part-time employees as of December 31, 2012.</w:t>
      </w:r>
    </w:p>
    <w:p>
      <w:pPr>
        <w:spacing w:after="0" w:line="4"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At December 31, 2012, the Registrant had two wholly owned bank subsidiaries: M&amp;T Bank and Wilmington Trust, National Association (“Wilmington Trust, N.A.”). The banks collectively offer a wide range of retail and commercial banking, trust and wealth management, and investment services to their customers. At December 31, 2012, M&amp;T Bank represented 99% of consolidated assets of the Company.</w:t>
      </w:r>
    </w:p>
    <w:p>
      <w:pPr>
        <w:spacing w:after="0" w:line="2" w:lineRule="exact"/>
        <w:rPr>
          <w:sz w:val="20"/>
          <w:szCs w:val="20"/>
          <w:color w:val="auto"/>
        </w:rPr>
      </w:pPr>
    </w:p>
    <w:p>
      <w:pPr>
        <w:ind w:right="180" w:firstLine="685"/>
        <w:spacing w:after="0" w:line="254" w:lineRule="auto"/>
        <w:rPr>
          <w:sz w:val="20"/>
          <w:szCs w:val="20"/>
          <w:color w:val="auto"/>
        </w:rPr>
      </w:pPr>
      <w:r>
        <w:rPr>
          <w:rFonts w:ascii="Arial" w:cs="Arial" w:eastAsia="Arial" w:hAnsi="Arial"/>
          <w:sz w:val="18"/>
          <w:szCs w:val="18"/>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2012, M&amp;T Bank had 725 domestic banking offices located throughout New York State, Pennsylvania, Maryland, Delaware, New Jersey, Virginia, West Virginia, and the District of Columbia, a full-service commercial banking office in Ontario, Canada, and an office in George Town, Cayman Islands. As of December 31, 2012, M&amp;T Bank had consolidated total assets of $82.1 billion, deposits of $66.4 billion and shareholder’s equity of $10.3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Virginia, Delaware and Washington, D.C., and on small and medium-size businesses based in those areas, although loans are originated through lending offices in other states and in Ontario, Canada. In addition, the Company conducts lending activities in various states through other subsidiaries. Trust and other fiduciary services are offered by M&amp;T Bank and through its wholly owned subsidiary, Wilmington Trust Company.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Wilmington Trust, N.A., a national banking association and a member of the Federal Reserve System and the FDIC, commenced operations on</w:t>
      </w:r>
    </w:p>
    <w:p>
      <w:pPr>
        <w:spacing w:after="0" w:line="3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October 2, 1995. The deposit liabilities of Wilmington Trust, N.A. are insured by the FDIC through the DIF. The main office of Wilmington Trust, N.A. is located at 1100 North Market Street, Wilmington, Delaware, 19890. A second office is located in Oakfield, New York. Wilmington Trust, N.A. offers various trust and wealth management services. Historically, Wilmington Trust, N.A. offered selected deposit and loan products on a nationwide basis, through direct mail, telephone marketing techniques and the Internet. As of December 31, 2012, Wilmington Trust, N.A. had total assets of $1.8 billion, deposits of $1.2 billion and shareholder’s equity of $405 million.</w:t>
      </w:r>
    </w:p>
    <w:p>
      <w:pPr>
        <w:spacing w:after="0" w:line="2" w:lineRule="exact"/>
        <w:rPr>
          <w:sz w:val="20"/>
          <w:szCs w:val="20"/>
          <w:color w:val="auto"/>
        </w:rPr>
      </w:pPr>
    </w:p>
    <w:p>
      <w:pPr>
        <w:ind w:right="300" w:firstLine="685"/>
        <w:spacing w:after="0" w:line="323" w:lineRule="auto"/>
        <w:rPr>
          <w:sz w:val="20"/>
          <w:szCs w:val="20"/>
          <w:color w:val="auto"/>
        </w:rPr>
      </w:pPr>
      <w:r>
        <w:rPr>
          <w:rFonts w:ascii="Arial" w:cs="Arial" w:eastAsia="Arial" w:hAnsi="Arial"/>
          <w:sz w:val="16"/>
          <w:szCs w:val="16"/>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fiduciary and custodial services to its clients. As of December 31, 2012, Wilmington Trust Company had total assets of $1.4 billion and shareholder’s equity of $543 million. Revenues of Wilmington Trust Company were $122 million in 2012. The headquarters of Wilmington Trust Company are located at 1100 North Market Street, Wilmington, Delaware 19890.</w:t>
      </w:r>
    </w:p>
    <w:p>
      <w:pPr>
        <w:ind w:right="100" w:firstLine="685"/>
        <w:spacing w:after="0" w:line="281" w:lineRule="auto"/>
        <w:rPr>
          <w:sz w:val="20"/>
          <w:szCs w:val="20"/>
          <w:color w:val="auto"/>
        </w:rPr>
      </w:pPr>
      <w:r>
        <w:rPr>
          <w:rFonts w:ascii="Arial" w:cs="Arial" w:eastAsia="Arial" w:hAnsi="Arial"/>
          <w:sz w:val="16"/>
          <w:szCs w:val="16"/>
          <w:color w:val="auto"/>
        </w:rPr>
        <w:t>M&amp;T Life Insurance Company (“M&amp;T Life Insurance”), a wholly owned subsidiary of M&amp;T, was incorporated as an Arizona business corporation in January 1984. M&amp;T Life Insurance is a credit reinsurer which reinsures credit life and accident and health insurance purchased by the Company’s consumer loan customers. As of December 31, 2012, M&amp;T Life Insurance had assets of $17 million and shareholder’s equity of $16 million. M&amp;T Life Insurance recorded revenues of $1 million during 2012. Headquarters of M&amp;T Life Insurance are located at 101 North First Avenue, Phoenix, Arizona 85003.</w:t>
      </w:r>
    </w:p>
    <w:p>
      <w:pPr>
        <w:spacing w:after="0" w:line="3"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2012, M&amp;T Insurance Agency had assets of $52 million and shareholder’s equity of $36 million. M&amp;T Insurance Agency recorded revenues of $27 million during 2012. The headquarters of M&amp;T Insurance Agency are located at 285 Delaware Avenue, Buffalo, New York 14202.</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Bank-related mortgage loans. M&amp;T Reinsurance receives a share of the premium for those policies in exchange for accepting a portion of the insurer’s risk of borrower default. As of December 31, 2012, M&amp;T Reinsurance had assets of $23 million and shareholder’s equity of $14 million. M&amp;T Reinsurance recorded approximately $2 million of revenue during 2012. M&amp;T Reinsurance’s principal and registered office is at 148 College Street, Burlington, Vermont 05401.</w:t>
      </w:r>
    </w:p>
    <w:p>
      <w:pPr>
        <w:spacing w:after="0" w:line="3"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M&amp;T Real Estate Trust (“M&amp;T Real Estate”) is a Maryland Real Estate Investment Trust that was formed through the merger of two separate subsidiaries, but traces its origin to the incorporation of M&amp;T Real Estate, Inc. in July 1995. M&amp;T Real Estate engages in commercial real estate lending and provides loan servicing to M&amp;T Bank. As of December 31, 2012, M&amp;T Real Estate had assets of $16.6 billion, common shareholder’s equity of $15.6 billion, and preferred shareholders’ equity, consisting of 9% fixed-rate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$760 million of revenue in 2012. The headquarters of M&amp;T Real Estate are located at M&amp;T Center, One Fountain Plaza, Buffalo, New York 14203.</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2012, M&amp;T Realty Capital serviced $10.6 billion of commercial mortgage loans for non-affiliates and had assets of $691 million and shareholder’s equity of $101 million. M&amp;T Realty Capital recorded revenues of $98 million in 2012. The headquarters of M&amp;T Realty Capital are located at 25 South Charles Street, Baltimore, Maryland 21202.</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2012, M&amp;T Securities had assets of $56 million and shareholder’s equity of $36 million. M&amp;T Securities recorded $95 million of revenue during 2012. The headquarters of M&amp;T Securities are located at One M&amp;T Plaza, Buffalo, New York 14203.</w:t>
      </w:r>
    </w:p>
    <w:p>
      <w:pPr>
        <w:spacing w:after="0" w:line="4" w:lineRule="exact"/>
        <w:rPr>
          <w:sz w:val="20"/>
          <w:szCs w:val="20"/>
          <w:color w:val="auto"/>
        </w:rPr>
      </w:pPr>
    </w:p>
    <w:p>
      <w:pPr>
        <w:ind w:right="220" w:firstLine="685"/>
        <w:spacing w:after="0" w:line="295" w:lineRule="auto"/>
        <w:rPr>
          <w:sz w:val="20"/>
          <w:szCs w:val="20"/>
          <w:color w:val="auto"/>
        </w:rPr>
      </w:pPr>
      <w:r>
        <w:rPr>
          <w:rFonts w:ascii="Arial" w:cs="Arial" w:eastAsia="Arial" w:hAnsi="Arial"/>
          <w:sz w:val="16"/>
          <w:szCs w:val="16"/>
          <w:color w:val="auto"/>
        </w:rPr>
        <w:t>Wilmington Trust Investment Advisors, Inc. (“WT Investment Advisors”), a wholly owned subsidiary of M&amp;T Bank and formerly known as MTB Investment Advisors prior to its name change on January 10, 2012, was incorporated as a Maryland corporation on June 30, 1995. WT Investment Advisors, a registered investment advisor under the Investment Advisors Act, serves as investment advisor to the Wilmington Funds, a family of proprietary mutual funds, and institutional clients. As of December 31, 2012, WT Investment Advisors had assets of $26 million and shareholder’s equity of $22 million. WT Investment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Advisors recorded revenues of $38 million in 2012. The headquarters of WT Investment Advisors are located at 100 East Pratt Street, Baltimore, Maryland 21202.</w:t>
      </w:r>
    </w:p>
    <w:p>
      <w:pPr>
        <w:ind w:right="20" w:firstLine="685"/>
        <w:spacing w:after="0" w:line="281" w:lineRule="auto"/>
        <w:rPr>
          <w:sz w:val="20"/>
          <w:szCs w:val="20"/>
          <w:color w:val="auto"/>
        </w:rPr>
      </w:pPr>
      <w:r>
        <w:rPr>
          <w:rFonts w:ascii="Arial" w:cs="Arial" w:eastAsia="Arial" w:hAnsi="Arial"/>
          <w:sz w:val="16"/>
          <w:szCs w:val="16"/>
          <w:color w:val="auto"/>
        </w:rPr>
        <w:t>Wilmington Funds Management Corporation (“Wilmington Funds Management”), formerly known as Rodney Square Management Corporation, is a wholly owned subsidiary of M&amp;T that was incorporated in September 1981 as a Delaware corporation. Wilmington Funds Management is registered as an investment advisor under the Investment Advisors Act and serves as the investment advisor to the Wilmington Funds. Wilmington Funds Management had assets of $7 million and shareholder’s equity of $6 million as of December 31, 2012. Wilmington Funds Management recorded revenues of $19 million in 2012. The headquarters of Wilmington Funds Management are located at 1100 North Market Street, Wilmington, Delaware 19890.</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Wilmington Trust Investment Management, LLC (“WTIM”) is a wholly owned subsidiary of M&amp;T and was incorporated in December 2001 as a Georgia limited liability company. WTIM is a registered investment advisor under the Investment Advisors Act and provides investment management services to clients, including certain private funds. As of December 31, 2012, WTIM has assets of $22 million and shareholder’s equity of $21 million. WTIM recorded revenues of $7 million in 2012. WTIM’s headquarters is located at Terminus 27</w:t>
      </w:r>
      <w:r>
        <w:rPr>
          <w:rFonts w:ascii="Arial" w:cs="Arial" w:eastAsia="Arial" w:hAnsi="Arial"/>
          <w:sz w:val="10"/>
          <w:szCs w:val="10"/>
          <w:color w:val="auto"/>
        </w:rPr>
        <w:t>th</w:t>
      </w:r>
      <w:r>
        <w:rPr>
          <w:rFonts w:ascii="Arial" w:cs="Arial" w:eastAsia="Arial" w:hAnsi="Arial"/>
          <w:sz w:val="16"/>
          <w:szCs w:val="16"/>
          <w:color w:val="auto"/>
        </w:rPr>
        <w:t xml:space="preserve"> Floor, 3280 Peachtree Road N.E., Atlanta, Georgia 30305.</w:t>
      </w:r>
    </w:p>
    <w:p>
      <w:pPr>
        <w:spacing w:after="0" w:line="3"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On February 21, 2012, the shareholders of the Wilmington Funds approved the reorganization of twelve Wilmington Funds into the surviving MTB Group of Funds, a family of proprietary mutual funds, which were renamed as the Wilmington Funds. Following the reorganization, Rodney Square Management Corporation was renamed Wilmington Funds Management and continued as the investment advisor to the Wilmington Funds, and WT Investment Advisors became the primary sub-advisor to the Wilmington Funds.</w:t>
      </w:r>
    </w:p>
    <w:p>
      <w:pPr>
        <w:spacing w:after="0" w:line="2" w:lineRule="exact"/>
        <w:rPr>
          <w:sz w:val="20"/>
          <w:szCs w:val="20"/>
          <w:color w:val="auto"/>
        </w:rPr>
      </w:pPr>
    </w:p>
    <w:p>
      <w:pPr>
        <w:ind w:right="120" w:firstLine="685"/>
        <w:spacing w:after="0" w:line="323" w:lineRule="auto"/>
        <w:rPr>
          <w:sz w:val="20"/>
          <w:szCs w:val="20"/>
          <w:color w:val="auto"/>
        </w:rPr>
      </w:pPr>
      <w:r>
        <w:rPr>
          <w:rFonts w:ascii="Arial" w:cs="Arial" w:eastAsia="Arial" w:hAnsi="Arial"/>
          <w:sz w:val="16"/>
          <w:szCs w:val="16"/>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Principal Products/Services and Foreign Operations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5" w:lineRule="exact"/>
        <w:rPr>
          <w:sz w:val="20"/>
          <w:szCs w:val="20"/>
          <w:color w:val="auto"/>
        </w:rPr>
      </w:pPr>
    </w:p>
    <w:p>
      <w:pPr>
        <w:ind w:right="40" w:firstLine="685"/>
        <w:spacing w:after="0" w:line="302" w:lineRule="auto"/>
        <w:rPr>
          <w:sz w:val="20"/>
          <w:szCs w:val="20"/>
          <w:color w:val="auto"/>
        </w:rPr>
      </w:pPr>
      <w:r>
        <w:rPr>
          <w:rFonts w:ascii="Arial" w:cs="Arial" w:eastAsia="Arial" w:hAnsi="Arial"/>
          <w:sz w:val="16"/>
          <w:szCs w:val="16"/>
          <w:color w:val="auto"/>
        </w:rPr>
        <w:t>The only activities that, as a class, contributed 10% or more of the sum of consolidated interest income and other income in any of the last three years were interest on loans and fees for providing deposit account services. The amount of income from such sources during those years is set forth on the Company’s Consolidated Statement of Income filed herewith in Part II, Item 8, “Financial Statements and Supplementary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the Company</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M&amp;T and its subsidiaries are subject to the comprehensive regulatory framework applicable to bank and financial holding companies and their subsidiaries. Regulation of financial institutions such as M&amp;T and its subsidiaries is intended primarily for the protection of depositors, the FDIC’s DIF and the banking and financial system as a whole, and generally is not intended for the protection of shareholders, investors or creditors other than insured depositors. Described below are material elements of selected laws and regulations applicable to M&amp;T and its subsidiaries. The descriptions are not intended to be complete and are qualified in their entirety by reference to the full text of the statutes and regulations described. Changes in applicable law or regulation, and in their application by regulatory agencies, cannot be predicted, but they may have a material effect on the business and results of M&amp;T and its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M&amp;T is registered with the Board of Governors of the Federal Reserve Board System (the “Federal Reserve Board”) as a BHC under the BHCA. As such, M&amp;T and its subsidiaries are subject to the supervision, examination and reporting requirements of the BHCA and the regulations of the Federal Reserve Board.</w:t>
      </w:r>
    </w:p>
    <w:p>
      <w:pPr>
        <w:spacing w:after="0" w:line="1"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In general, the BHCA limits the business of a BHC to banking, managing or controlling banks and other activities that the Federal Reserve Board has determined to be so closely related to banking as to be a proper incident thereto. In addition, 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 Board, by regulation or order, in consultation with the Secretary of the Treasury) or</w:t>
      </w:r>
    </w:p>
    <w:p>
      <w:pPr>
        <w:spacing w:after="0" w:line="3" w:lineRule="exact"/>
        <w:rPr>
          <w:sz w:val="20"/>
          <w:szCs w:val="20"/>
          <w:color w:val="auto"/>
        </w:rPr>
      </w:pPr>
    </w:p>
    <w:p>
      <w:pPr>
        <w:ind w:right="520" w:firstLine="8"/>
        <w:spacing w:after="0" w:line="250"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complementary to a financial activity and does not pose a substantial risk to the safety and soundness of depository institutions or the financial system generally (as solely determined by the Federal Reserve Board). Activities that are financial in nature include securities underwriting and dealing, insurance underwriting and making merchant banking investments.</w:t>
      </w:r>
    </w:p>
    <w:p>
      <w:pPr>
        <w:spacing w:after="0" w:line="1" w:lineRule="exact"/>
        <w:rPr>
          <w:rFonts w:ascii="Arial" w:cs="Arial" w:eastAsia="Arial" w:hAnsi="Arial"/>
          <w:sz w:val="18"/>
          <w:szCs w:val="18"/>
          <w:color w:val="auto"/>
        </w:rPr>
      </w:pPr>
    </w:p>
    <w:p>
      <w:pPr>
        <w:ind w:right="40" w:firstLine="685"/>
        <w:spacing w:after="0" w:line="281" w:lineRule="auto"/>
        <w:rPr>
          <w:rFonts w:ascii="Arial" w:cs="Arial" w:eastAsia="Arial" w:hAnsi="Arial"/>
          <w:sz w:val="18"/>
          <w:szCs w:val="18"/>
          <w:color w:val="auto"/>
        </w:rPr>
      </w:pPr>
      <w:r>
        <w:rPr>
          <w:rFonts w:ascii="Arial" w:cs="Arial" w:eastAsia="Arial" w:hAnsi="Arial"/>
          <w:sz w:val="16"/>
          <w:szCs w:val="16"/>
          <w:color w:val="auto"/>
        </w:rPr>
        <w:t>To maintain financial holding company status, a financial holding company and all of its depository institution subsidiaries must be “well capitalized” and “well managed.” M&amp;T became a financial holding company on March 1, 2011. If a financial holding company fails to continue to meet any of the prerequisites for financial holding company status, the company must enter into an agreement with the Federal Reserve Board to comply with all applicable capital and management requirements. Under such agreement, the noncompliant financial holding company generally may not commence any additional activity or acquire shares of any company pursuant to the financial holding company provisions of the BHCA, without prior approval of the Federal Reserve Board. If the company does not return to compliance within 180 days, the Federal Reserve Board may order the company to divest its subsidiary banks or the company may discontinue or divest investments in companies engaged in activities permissible only for a BHC electing to be treated as a financial holding company. In order for a financial holding company to commence any new activity or to acquire a company engaged in any activity pursuant to the financial holding company provisions of the BHCA, each insured depository institution subsidiary of the financial holding company also must have at least a “satisfactory” rating under the Community Reinvestment Act of 1977 (the “CRA”). See the section captioned “Community Reinvestment Act” included elsewhere in this item.</w:t>
      </w:r>
    </w:p>
    <w:p>
      <w:pPr>
        <w:spacing w:after="0" w:line="6" w:lineRule="exact"/>
        <w:rPr>
          <w:rFonts w:ascii="Arial" w:cs="Arial" w:eastAsia="Arial" w:hAnsi="Arial"/>
          <w:sz w:val="18"/>
          <w:szCs w:val="18"/>
          <w:color w:val="auto"/>
        </w:rPr>
      </w:pPr>
    </w:p>
    <w:p>
      <w:pPr>
        <w:ind w:right="100" w:firstLine="685"/>
        <w:spacing w:after="0" w:line="290" w:lineRule="auto"/>
        <w:rPr>
          <w:rFonts w:ascii="Arial" w:cs="Arial" w:eastAsia="Arial" w:hAnsi="Arial"/>
          <w:sz w:val="18"/>
          <w:szCs w:val="18"/>
          <w:color w:val="auto"/>
        </w:rPr>
      </w:pPr>
      <w:r>
        <w:rPr>
          <w:rFonts w:ascii="Arial" w:cs="Arial" w:eastAsia="Arial" w:hAnsi="Arial"/>
          <w:sz w:val="16"/>
          <w:szCs w:val="16"/>
          <w:color w:val="auto"/>
        </w:rPr>
        <w:t>Current federal law also establishes a system of functional regulation under which, in addition to the broad supervisory authority that the Federal Reserve Board has over both the banking and non-banking activities of bank holding companies, the federal banking agencies will regulate the banking activities of bank holding companies, banks and savings associations and subsidiaries of the foregoing, the U.S. Securities and Exchange Commission (“SEC”) will regulate their securities activities, and state insurance regulators will regulate their insurance activities. In addition, the Federal Reserve Board has broad regulatory rules developed by the federal financial institutions regulators that require disclosure of privacy policies to consumers and, in some circumstances, allow consumers to prevent the disclosure of certain personal information to nonaffiliated third parties.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events of the past few years have led to numerous new laws in the United States and internationally for financial institutions. The Dodd-Frank Wall Street Reform and Consumer Protection Act (the “Dodd-Frank Act” or “Dodd-Frank”), which was enacted in July 2010, significantly restructures the financial regulatory regime in the United States and provides for enhanced supervision and prudential standards for, among other things, bank holding companies, like M&amp;T, that have total consolidated assets of $50 billion or more. The implications of the Dodd-Frank Act for the Company’s businesses will depend to a large extent on the manner in which rules adopted pursuant to the Dodd-Frank Act are implemented by the primary U.S. financial regulatory agencies as well as potential changes in market practices and structures in response to the requirements of the Dodd-Frank Act and financial reforms in other jurisdictions. Among other things:</w:t>
      </w:r>
    </w:p>
    <w:p>
      <w:pPr>
        <w:spacing w:after="0" w:line="5" w:lineRule="exact"/>
        <w:rPr>
          <w:sz w:val="20"/>
          <w:szCs w:val="20"/>
          <w:color w:val="auto"/>
        </w:rPr>
      </w:pPr>
    </w:p>
    <w:p>
      <w:pPr>
        <w:ind w:left="700" w:right="2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Dodd-Frank repealed the federal prohibitions on the payment of interest on demand deposits, thereby permitting depository institutions to pay interest on business transaction and other accounts.</w:t>
      </w:r>
    </w:p>
    <w:p>
      <w:pPr>
        <w:ind w:left="700" w:right="140" w:hanging="243"/>
        <w:spacing w:after="0" w:line="21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Dodd-Frank centralized responsibility for consumer financial protection by creating a new agency, the Consumer Financial Protection Bureau (“CFPB”), and giving it responsibility for regulating consumer financial products and services sold by banks and non-bank companies and supervising</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80"/>
        <w:spacing w:after="0" w:line="254" w:lineRule="auto"/>
        <w:rPr>
          <w:sz w:val="20"/>
          <w:szCs w:val="20"/>
          <w:color w:val="auto"/>
        </w:rPr>
      </w:pPr>
      <w:r>
        <w:rPr>
          <w:rFonts w:ascii="Arial" w:cs="Arial" w:eastAsia="Arial" w:hAnsi="Arial"/>
          <w:sz w:val="18"/>
          <w:szCs w:val="18"/>
          <w:color w:val="auto"/>
        </w:rPr>
        <w:t>banks and other insured depository institutions with assets of more than $10 billion and their affiliates for compliance with federal consumer protection laws.</w:t>
      </w:r>
    </w:p>
    <w:p>
      <w:pPr>
        <w:ind w:left="700" w:right="200" w:hanging="243"/>
        <w:spacing w:after="0" w:line="253"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Dodd-Frank provided that debit card interchange fees must be reasonable and proportional to the cost incurred by the issuer with respect to the transaction. This provision is known as the “Durbin Amendment.” The Federal Reserve Board adopted regulations, which became effective on October 1, 2011, setting the maximum permissible interchange fee as the sum of 21 cents per transaction and 5 basis points multiplied by the value of the transaction, with an additional adjustment of up to one cent per transaction if the issuer implements certain fraud-prevention standards. For more information regarding the impact of the Durbin Amendment on M&amp;T’s results of operations, see Part II, Item 7.</w:t>
      </w:r>
    </w:p>
    <w:p>
      <w:pPr>
        <w:spacing w:after="0" w:line="1" w:lineRule="exact"/>
        <w:rPr>
          <w:sz w:val="20"/>
          <w:szCs w:val="20"/>
          <w:color w:val="auto"/>
        </w:rPr>
      </w:pPr>
    </w:p>
    <w:p>
      <w:pPr>
        <w:ind w:left="700" w:right="220" w:hanging="243"/>
        <w:spacing w:after="0" w:line="209"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Dodd-Frank created a new systemic risk oversight body, the Financial Stability Oversight Council (“FSOC”), to oversee and coordinate the efforts of the primary U.S. financial regulatory agencies in establishing regulations to address financial stability concerns.</w:t>
      </w:r>
    </w:p>
    <w:p>
      <w:pPr>
        <w:spacing w:after="0" w:line="1" w:lineRule="exact"/>
        <w:rPr>
          <w:sz w:val="20"/>
          <w:szCs w:val="20"/>
          <w:color w:val="auto"/>
        </w:rPr>
      </w:pPr>
    </w:p>
    <w:p>
      <w:pPr>
        <w:ind w:left="700" w:hanging="243"/>
        <w:spacing w:after="0" w:line="257"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Dodd-Frank directs the FSOC to make recommendations to the Federal Reserve Board as to enhanced supervision and prudential standards applicable to large, interconnected financial institutions, including bank holding companies like M&amp;T with total consolidated assets of $50 billion or more (often referred to as “systemically important financial institutions”), and authorizes the Federal Reserve Board to establish such standards either on its own or upon the recommendations of the FSOC. Dodd-Frank mandates that the requirements applicable to systemically important financial institutions be more stringent than those applicable to other financial companies. In December 2011, the Federal Reserve Board issued for public comment a notice of proposed rulemaking (the “Proposed SIFI Rules”) establishing enhanced prudential standards responsive to these provisions for:</w:t>
      </w:r>
    </w:p>
    <w:p>
      <w:pPr>
        <w:spacing w:after="0" w:line="3" w:lineRule="exact"/>
        <w:rPr>
          <w:sz w:val="20"/>
          <w:szCs w:val="20"/>
          <w:color w:val="auto"/>
        </w:rPr>
      </w:pPr>
    </w:p>
    <w:p>
      <w:pPr>
        <w:ind w:left="68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risk-based capital requirements and leveraged limits;</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stress testing of capital;</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liquidity requirements;</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overall risk management requirements;</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resolution plan and credit exposure reporting; and</w:t>
      </w:r>
    </w:p>
    <w:p>
      <w:pPr>
        <w:ind w:left="68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concentration/credit exposure limits.</w:t>
      </w:r>
    </w:p>
    <w:p>
      <w:pPr>
        <w:spacing w:after="0" w:line="54" w:lineRule="exact"/>
        <w:rPr>
          <w:sz w:val="20"/>
          <w:szCs w:val="20"/>
          <w:color w:val="auto"/>
        </w:rPr>
      </w:pPr>
    </w:p>
    <w:p>
      <w:pPr>
        <w:ind w:left="700" w:right="60"/>
        <w:spacing w:after="0" w:line="282" w:lineRule="auto"/>
        <w:rPr>
          <w:sz w:val="20"/>
          <w:szCs w:val="20"/>
          <w:color w:val="auto"/>
        </w:rPr>
      </w:pPr>
      <w:r>
        <w:rPr>
          <w:rFonts w:ascii="Arial" w:cs="Arial" w:eastAsia="Arial" w:hAnsi="Arial"/>
          <w:sz w:val="16"/>
          <w:szCs w:val="16"/>
          <w:color w:val="auto"/>
        </w:rPr>
        <w:t>The Proposed SIFI Rules address a wide, diverse array of regulatory areas, each of which is highly complex. In some cases they would implement financial regulatory requirements being proposed for the first time, and in others over-lap with other regulatory reforms (including the Basel III capital and liquidity reforms discussed later in this section). The requirements generally will become effective on the first day of the fifth calendar quarter after the effective date of the final rule, although certain requirements have different transition periods. M&amp;T is analyzing the impact of the Proposed SIFI Rules on its businesses. However, the full impact will not be known until the rules, and other regulatory initiatives that overlap with the rules, are finalized and their combined impacts can be understood. In October 2012, the Federal Reserve Board implemented, with revisions, a portion of the Proposed SIFI Rules by issuing a final rule with respect to annual company-run stress test requirements for bank holding companies, like M&amp;T, with total consolidated assets of $50 billion or more.</w:t>
      </w:r>
    </w:p>
    <w:p>
      <w:pPr>
        <w:spacing w:after="0" w:line="6" w:lineRule="exact"/>
        <w:rPr>
          <w:sz w:val="20"/>
          <w:szCs w:val="20"/>
          <w:color w:val="auto"/>
        </w:rPr>
      </w:pPr>
    </w:p>
    <w:p>
      <w:pPr>
        <w:jc w:val="both"/>
        <w:ind w:left="700" w:right="180" w:hanging="243"/>
        <w:spacing w:after="0" w:line="234"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Dodd-Frank requires various U.S. financial regulatory agencies to implement comprehensive rules governing the supervision, structure, trading and regulation of swap and over-the-counter derivative markets and participants. Dodd-Frank requires a large number of rulemaking in this area, many of which are not yet final. Once these rules are finalized, they could affect the way M&amp;T or its subsidiaries operate, and resulting changes to the markets and participants could impact business models and profitability of M&amp;T or its subsidiaries.</w:t>
      </w:r>
    </w:p>
    <w:p>
      <w:pPr>
        <w:spacing w:after="0" w:line="157" w:lineRule="exact"/>
        <w:rPr>
          <w:sz w:val="20"/>
          <w:szCs w:val="20"/>
          <w:color w:val="auto"/>
        </w:rPr>
      </w:pPr>
    </w:p>
    <w:p>
      <w:pPr>
        <w:ind w:firstLine="685"/>
        <w:spacing w:after="0" w:line="298" w:lineRule="auto"/>
        <w:rPr>
          <w:sz w:val="20"/>
          <w:szCs w:val="20"/>
          <w:color w:val="auto"/>
        </w:rPr>
      </w:pPr>
      <w:r>
        <w:rPr>
          <w:rFonts w:ascii="Arial" w:cs="Arial" w:eastAsia="Arial" w:hAnsi="Arial"/>
          <w:sz w:val="16"/>
          <w:szCs w:val="16"/>
          <w:color w:val="auto"/>
        </w:rPr>
        <w:t>The Dodd-Frank Act requires the federal financial regulatory agencies to adopt rules that prohibit banks and their affiliates from engaging in proprietary trading and investing in and sponsoring certain unregistered investment companies (defined as hedge funds and private equity funds). The statutory provision is commonly called the “Volcker Rule.” In October 2011, federal regulators proposed rules to implement the Volcker Rule. The proposed rules are highly complex, and many aspects of their application remain uncertain. Although the Volcker Rule became effective on July 21, 2012, final rules for its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implementation have not yet been adopted. In April 2012, the Federal Reserve Board confirmed that banking institutions will have two years from the effective date to conform their activities to the requirements of the Volcker Rule. Based on the proposed rules, M&amp;T does not currently anticipate that the Volcker Rule will have a material effect on the operations of M&amp;T and its subsidiaries. Until a final rule is adopted, the precise financial impact of the rule on M&amp;T, its customers or the financial industry more generally, cannot be determined.</w:t>
      </w:r>
    </w:p>
    <w:p>
      <w:pPr>
        <w:spacing w:after="0" w:line="1" w:lineRule="exact"/>
        <w:rPr>
          <w:sz w:val="20"/>
          <w:szCs w:val="20"/>
          <w:color w:val="auto"/>
        </w:rPr>
      </w:pPr>
    </w:p>
    <w:p>
      <w:pPr>
        <w:ind w:right="80" w:firstLine="685"/>
        <w:spacing w:after="0" w:line="254" w:lineRule="auto"/>
        <w:rPr>
          <w:sz w:val="20"/>
          <w:szCs w:val="20"/>
          <w:color w:val="auto"/>
        </w:rPr>
      </w:pPr>
      <w:r>
        <w:rPr>
          <w:rFonts w:ascii="Arial" w:cs="Arial" w:eastAsia="Arial" w:hAnsi="Arial"/>
          <w:sz w:val="18"/>
          <w:szCs w:val="18"/>
          <w:color w:val="auto"/>
        </w:rPr>
        <w:t>New laws or regulations or changes to existing laws and regulations (including changes in interpretation or enforcement) could materially adversely affect M&amp;T’s financial condition or results of operations. As discussed further throughout this section, many aspects of the Dodd-Frank Act are subject to further rulemaking and will take effect over several years, making it difficult to anticipate the overall financial impact on M&amp;T and its subsidiaries or the financial services industry generally.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M&amp;T is a legal entity separate and distinct from its banking and other subsidiaries. Historically, the majority of M&amp;T’s revenue has been from dividends paid to M&amp;T by its subsidiary banks. M&amp;T Bank and Wilmington Trust, N.A. are subject, under one or more of the banking laws, to restrictions on the amount of dividends they may declare and pay. Future dividend payments to M&amp;T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3" w:lineRule="exact"/>
        <w:rPr>
          <w:sz w:val="20"/>
          <w:szCs w:val="20"/>
          <w:color w:val="auto"/>
        </w:rPr>
      </w:pPr>
    </w:p>
    <w:p>
      <w:pPr>
        <w:ind w:right="260" w:firstLine="685"/>
        <w:spacing w:after="0" w:line="250" w:lineRule="auto"/>
        <w:rPr>
          <w:sz w:val="20"/>
          <w:szCs w:val="20"/>
          <w:color w:val="auto"/>
        </w:rPr>
      </w:pPr>
      <w:r>
        <w:rPr>
          <w:rFonts w:ascii="Arial" w:cs="Arial" w:eastAsia="Arial" w:hAnsi="Arial"/>
          <w:sz w:val="18"/>
          <w:szCs w:val="18"/>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1" w:lineRule="exact"/>
        <w:rPr>
          <w:sz w:val="20"/>
          <w:szCs w:val="20"/>
          <w:color w:val="auto"/>
        </w:rPr>
      </w:pPr>
    </w:p>
    <w:p>
      <w:pPr>
        <w:jc w:val="both"/>
        <w:ind w:right="80" w:firstLine="685"/>
        <w:spacing w:after="0" w:line="255" w:lineRule="auto"/>
        <w:rPr>
          <w:sz w:val="20"/>
          <w:szCs w:val="20"/>
          <w:color w:val="auto"/>
        </w:rPr>
      </w:pPr>
      <w:r>
        <w:rPr>
          <w:rFonts w:ascii="Arial" w:cs="Arial" w:eastAsia="Arial" w:hAnsi="Arial"/>
          <w:sz w:val="18"/>
          <w:szCs w:val="18"/>
          <w:color w:val="auto"/>
        </w:rPr>
        <w:t>Dividend payments by M&amp;T to its shareholders and stock repurchases by M&amp;T are subject to the oversight of the Federal Reserve Board. As described below in this section under “Federal Reserve Board’s Capital Plan Review,” dividends and stock repurchases generally may only be paid or made under a capital plan as to which the Federal Reserve Board has not objected.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M&amp;T Bank’s Subsidiaries</w:t>
      </w:r>
    </w:p>
    <w:p>
      <w:pPr>
        <w:spacing w:after="0" w:line="2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M&amp;T Bank has a number of subsidiaries. These subsidiaries are subject to the laws and regulations of both the federal government and the various states in which they conduct business. For example, M&amp;T Securities is regulated by the SEC, the Financial Industry Regulatory Authority and state securities regulators.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Reserve Board’s Capital Plan Review</w:t>
      </w:r>
    </w:p>
    <w:p>
      <w:pPr>
        <w:spacing w:after="0" w:line="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November 2011, the Federal Reserve Board published a final rule requiring bank holding companies (including M&amp;T) with $50 billion or more of total consolidated assets to submit annual capital plans to the appropriate Federal Reserve Bank. Such bank holding companies will also be required to collect and report certain related data on a quarterly basis to allow the Federal Reserve Board to monitor the companies’ progress against their annual capital plans. The comprehensive capital plans, which are prepared using Basel I capital guidelines, include a view of capital adequacy under four scenarios – a BHC-defined baseline scenario, a baseline scenario provided by the Federal Reserve Board, at least one BHC-defined stress scenario, and a stress scenario provided by the Federal Reserve Board. Covered bank holding companies, including M&amp;T, may pay dividends and repurchase stock only in accordance with a capital plan that has been reviewed by the Federal Reserve Board and as to which the Federal Reserve Board has not objected. The rules provide that the Federal Reserve Board may object to a capital plan if the plan does not show that the covered BHC will meet all minimum regulatory capital ratios and maintain a ratio of Tier 1 common equity to risk-weighted assets of at least 5% on a pro forma basis under expected and stressful conditions throughout the nine-quarter planning horizon covered by the capital plan. Even if such quantitative thresholds are met, the Federal Reserve Board could object to a capital plan for qualitative reasons, including inadequate assumptions in the plan, other unresolved supervisory issues or an insufficiently robust capital adequacy process, or if the capital plan would otherwise constitute an unsafe or unsound practice or violate law. The rules also require, among other things, that a covered BHC may not make a capital distribution unless after giving effect to the distribution it will meet all minimum regulatory capital ratios and have a ratio of Tier 1 common equity to risk-weighted assets of at least 5%. As part of this process, M&amp;T also</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provides the Federal Reserve Board with projections covering the time period it will take M&amp;T to fully comply with Basel III capital guidelines, including the 7% Tier 1 common equity, 8.5% Tier 1 capital and 3% leverage ratios as well as granular components of those elements. M&amp;T’s most recent annual capital plan was filed with the Federal Reserve Board on January 7, 2013.</w:t>
      </w:r>
    </w:p>
    <w:p>
      <w:pPr>
        <w:ind w:right="60" w:firstLine="685"/>
        <w:spacing w:after="0" w:line="254" w:lineRule="auto"/>
        <w:rPr>
          <w:sz w:val="20"/>
          <w:szCs w:val="20"/>
          <w:color w:val="auto"/>
        </w:rPr>
      </w:pPr>
      <w:r>
        <w:rPr>
          <w:rFonts w:ascii="Arial" w:cs="Arial" w:eastAsia="Arial" w:hAnsi="Arial"/>
          <w:sz w:val="18"/>
          <w:szCs w:val="18"/>
          <w:color w:val="auto"/>
        </w:rPr>
        <w:t>The purpose of the Federal Reserve Board’s capital plan review is to ensure that these bank holding companies have robust, forward-looking capital planning processes that account for each BHC’s unique risks and that permit continued operations during times of economic and financial stress. The capital plan review rule, consistent with prior Federal Reserve Board guidance, provides that capital plans contemplating dividend payout ratios exceeding 30% of projected after-tax net income will receive particularly close scrutiny.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M&amp;T and its subsidiary banks are required to comply with the applicable capital adequacy standards established by the Federal Reserve Board. There are two basic measures of capital adequacy for bank holding companies that have been promulgated by the Federal Reserve Board: a risk-based measure and a leverage measure.</w:t>
      </w:r>
    </w:p>
    <w:p>
      <w:pPr>
        <w:spacing w:after="0" w:line="1"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i w:val="1"/>
          <w:iCs w:val="1"/>
          <w:color w:val="auto"/>
        </w:rPr>
        <w:t xml:space="preserve">Risk-based Capital Standards. </w:t>
      </w:r>
      <w:r>
        <w:rPr>
          <w:rFonts w:ascii="Arial" w:cs="Arial" w:eastAsia="Arial" w:hAnsi="Arial"/>
          <w:sz w:val="18"/>
          <w:szCs w:val="18"/>
          <w:color w:val="auto"/>
        </w:rPr>
        <w:t>The risk-based capital standards are designed to make regulatory capital requirements more sensitive to differences in</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and market risk profiles among bank and financial holding companies, to account for off-balance sheet exposure, and to minimize disincentives for holding liquid assets. Assets and off-balance sheet items are assigned to broad risk categories, each with appropriate weights. The resulting capital ratios represent capital as a percentage of total risk-weighted assets and off-balance sheet items.</w:t>
      </w:r>
    </w:p>
    <w:p>
      <w:pPr>
        <w:spacing w:after="0" w:line="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minimum guideline for the ratio of total capital (“Total Capital”) to risk-weighted assets (including certain off-balance sheet items, such as standby letters of credit) is 8.0%. At least half of the Total Capital must be “Tier 1 Capital,” which currently consists of qualifying common equity, qualifying perpetual preferred stock (including related surplus), minority interests relating to qualifying common or non-cumulative perpetual preferred stock issued by a consolidated U.S. depository institution or foreign bank subsidiary, and certain “restricted core capital elements,” as discussed below, less goodwill and certain other intangible assets. Currently, “Tier 2 Capital” may consist of, among other things, qualifying subordinated debt, mandatorily convertible debt securities, preferred stock and trust preferred securities not included in the definition of Tier 1 Capital, and a limited amount of the allowance for loan losses. Non-cumulative perpetual preferred stock, trust preferred securities and other so-called “restricted core capital elements” are currently limited to 25% of Tier 1 Capital. Pursuant to the Dodd-Frank Act, trust preferred securities will be phased-out of the definition of Tier 1 Capital of bank holding companies having consolidated assets exceeding $500 million, such as M&amp;T, over a three-year period that began in January 2013.</w:t>
      </w:r>
    </w:p>
    <w:p>
      <w:pPr>
        <w:spacing w:after="0" w:line="6" w:lineRule="exact"/>
        <w:rPr>
          <w:sz w:val="20"/>
          <w:szCs w:val="20"/>
          <w:color w:val="auto"/>
        </w:rPr>
      </w:pPr>
    </w:p>
    <w:p>
      <w:pPr>
        <w:jc w:val="both"/>
        <w:ind w:right="40" w:firstLine="685"/>
        <w:spacing w:after="0" w:line="281" w:lineRule="auto"/>
        <w:rPr>
          <w:sz w:val="20"/>
          <w:szCs w:val="20"/>
          <w:color w:val="auto"/>
        </w:rPr>
      </w:pPr>
      <w:r>
        <w:rPr>
          <w:rFonts w:ascii="Arial" w:cs="Arial" w:eastAsia="Arial" w:hAnsi="Arial"/>
          <w:sz w:val="16"/>
          <w:szCs w:val="16"/>
          <w:color w:val="auto"/>
        </w:rPr>
        <w:t>The minimum guideline to be considered well-capitalized for Tier 1 Capital and Total Capital is 6.0% and 10.0%, respectively. At December 31, 2012, the Registrant’s consolidated Tier 1 Capital ratio was 10.22% and its Total Capital ratio was 13.39%. The elements currently comprising Tier 1 Capital and Tier 2 Capital and the minimum Tier 1 Capital and Total Capital ratios may in the future be subject to change, as discussed in greater detail below.</w:t>
      </w:r>
    </w:p>
    <w:p>
      <w:pPr>
        <w:spacing w:after="0" w:line="2"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i w:val="1"/>
          <w:iCs w:val="1"/>
          <w:color w:val="auto"/>
        </w:rPr>
        <w:t xml:space="preserve">Basel I and II Standards. </w:t>
      </w:r>
      <w:r>
        <w:rPr>
          <w:rFonts w:ascii="Arial" w:cs="Arial" w:eastAsia="Arial" w:hAnsi="Arial"/>
          <w:sz w:val="16"/>
          <w:szCs w:val="16"/>
          <w:color w:val="auto"/>
        </w:rPr>
        <w:t>M&amp;T currently calculates its risk-based capital ratios under guidelines adopted by the Federal Reserve Board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1988 Capital Accord (“Basel I”) of the Basel Committee on Banking Supervision (the “Basel Committee”). In 2004, the Basel Committee published a new set of risk-based capital standards (“Basel II”) in order to update Basel I. Basel II provides two approaches for setting capital standards for credit risk — an internal ratings-based approach tailored to individual institutions’ circumstances and a standardized approach that bases risk-weighting on external credit assessments to a much greater extent than permitted in the existing risk-based capital guidelines. Basel II also would set capital requirements for operational risk and refine the existing capital requirements for market risk exposures. A definitive final rule for implementing the advanced approaches of Basel II in the United States, which applies only to internationally active banking organizations, or “core banks” (defined as those with consolidated total assets of $250 billion or more or consolidated on-balance sheet foreign exposures of $10 billion or more) became effective on April 1, 2008. Other U.S. banking organizations may elect to adopt the requirements of this rule (if they meet applicable qualification requirements), but are not required to comply. The rule also allows a banking organization’s primary federal supervisor to determine that application of the rule would not be appropriate in light of the bank’s asset size, level of complexity, risk profile or scope of operations. Neither M&amp;T Bank nor Wilmington Trust, N.A. is currently required to comply with Basel II.</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83" w:lineRule="auto"/>
        <w:rPr>
          <w:sz w:val="20"/>
          <w:szCs w:val="20"/>
          <w:color w:val="auto"/>
        </w:rPr>
      </w:pPr>
      <w:r>
        <w:rPr>
          <w:rFonts w:ascii="Arial" w:cs="Arial" w:eastAsia="Arial" w:hAnsi="Arial"/>
          <w:sz w:val="16"/>
          <w:szCs w:val="16"/>
          <w:color w:val="auto"/>
        </w:rPr>
        <w:t>In July 2008, the U.S. bank regulatory agencies issued a proposed rule that would provide banking organizations that do not use the advanced approaches with the option to implement a new risk-based capital framework. This framework would adopt the standardized approach of Basel II for credit risk, the basic indicator approach of Basel II for operational risk, and related disclosure requirements. Although this proposed rule generally parallels the relevant approaches under Basel II, it diverges where United States markets have unique characteristics and risk profiles, most notably with respect to risk weighting residential mortgage exposures. A definitive final rule has not been issued as of February 2013.</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i w:val="1"/>
          <w:iCs w:val="1"/>
          <w:color w:val="auto"/>
        </w:rPr>
        <w:t xml:space="preserve">Leverage Requirements. </w:t>
      </w:r>
      <w:r>
        <w:rPr>
          <w:rFonts w:ascii="Arial" w:cs="Arial" w:eastAsia="Arial" w:hAnsi="Arial"/>
          <w:sz w:val="16"/>
          <w:szCs w:val="16"/>
          <w:color w:val="auto"/>
        </w:rPr>
        <w:t>Although neither Basel I nor Basel II includes a leverage requirement as an international standard, the Federal Reserve Board</w:t>
      </w:r>
      <w:r>
        <w:rPr>
          <w:rFonts w:ascii="Arial" w:cs="Arial" w:eastAsia="Arial" w:hAnsi="Arial"/>
          <w:sz w:val="16"/>
          <w:szCs w:val="16"/>
          <w:i w:val="1"/>
          <w:iCs w:val="1"/>
          <w:color w:val="auto"/>
        </w:rPr>
        <w:t xml:space="preserve"> </w:t>
      </w:r>
      <w:r>
        <w:rPr>
          <w:rFonts w:ascii="Arial" w:cs="Arial" w:eastAsia="Arial" w:hAnsi="Arial"/>
          <w:sz w:val="16"/>
          <w:szCs w:val="16"/>
          <w:color w:val="auto"/>
        </w:rPr>
        <w:t>has established minimum leverage ratio guidelines to be considered well-capitalized for bank holding companies. These guidelines provide for a minimum ratio of Tier 1 Capital to average total assets, less goodwill and certain other intangible assets (the “Leverage Ratio”), of 3.0% for bank holding companies that meet certain specified criteria, including having the highest regulatory rating. All other bank holding companies generally are required to maintain a Leverage Ratio of at least 4%. M&amp;T’s Leverage Ratio at December 31, 2012 was 10.07%.</w:t>
      </w:r>
    </w:p>
    <w:p>
      <w:pPr>
        <w:spacing w:after="0" w:line="3" w:lineRule="exact"/>
        <w:rPr>
          <w:sz w:val="20"/>
          <w:szCs w:val="20"/>
          <w:color w:val="auto"/>
        </w:rPr>
      </w:pPr>
    </w:p>
    <w:p>
      <w:pPr>
        <w:ind w:right="260" w:firstLine="685"/>
        <w:spacing w:after="0" w:line="250" w:lineRule="auto"/>
        <w:rPr>
          <w:sz w:val="20"/>
          <w:szCs w:val="20"/>
          <w:color w:val="auto"/>
        </w:rPr>
      </w:pPr>
      <w:r>
        <w:rPr>
          <w:rFonts w:ascii="Arial" w:cs="Arial" w:eastAsia="Arial" w:hAnsi="Arial"/>
          <w:sz w:val="18"/>
          <w:szCs w:val="18"/>
          <w:color w:val="auto"/>
        </w:rPr>
        <w:t>The guidelines also provide that bank holding companies experiencing internal growth or making acquisitions will be expected to maintain strong capital positions substantially above the minimum supervisory levels without significant reliance on intangible assets. Furthermore, the Federal Reserve Board has indicated that it will consider a “tangible Tier 1 Capital leverage ratio” (deducting all intangibles) and other indicators of capital strength in evaluating proposals for expansion or new activities.</w:t>
      </w:r>
    </w:p>
    <w:p>
      <w:pPr>
        <w:spacing w:after="0" w:line="2" w:lineRule="exact"/>
        <w:rPr>
          <w:sz w:val="20"/>
          <w:szCs w:val="20"/>
          <w:color w:val="auto"/>
        </w:rPr>
      </w:pPr>
    </w:p>
    <w:p>
      <w:pPr>
        <w:ind w:right="200" w:firstLine="685"/>
        <w:spacing w:after="0" w:line="281" w:lineRule="auto"/>
        <w:rPr>
          <w:sz w:val="20"/>
          <w:szCs w:val="20"/>
          <w:color w:val="auto"/>
        </w:rPr>
      </w:pPr>
      <w:r>
        <w:rPr>
          <w:rFonts w:ascii="Arial" w:cs="Arial" w:eastAsia="Arial" w:hAnsi="Arial"/>
          <w:sz w:val="16"/>
          <w:szCs w:val="16"/>
          <w:i w:val="1"/>
          <w:iCs w:val="1"/>
          <w:color w:val="auto"/>
        </w:rPr>
        <w:t xml:space="preserve">Basel III Standards. </w:t>
      </w:r>
      <w:r>
        <w:rPr>
          <w:rFonts w:ascii="Arial" w:cs="Arial" w:eastAsia="Arial" w:hAnsi="Arial"/>
          <w:sz w:val="16"/>
          <w:szCs w:val="16"/>
          <w:color w:val="auto"/>
        </w:rPr>
        <w:t>In December 2010, the Basel Committee released its final framework for strengthening international capital and liquidity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now officially identified by the Basel Committee as “Basel III.” Basel III, when implemented by the U.S. bank regulatory agencies as proposed in a joint notice of proposed rulemaking in June 2012 and fully phased-in, will require bank holding companies and their bank subsidiaries to maintain substantially more capital, with a greater emphasis on common equity. The Basel III final capital framework, among other things:</w:t>
      </w:r>
    </w:p>
    <w:p>
      <w:pPr>
        <w:spacing w:after="0" w:line="3" w:lineRule="exact"/>
        <w:rPr>
          <w:sz w:val="20"/>
          <w:szCs w:val="20"/>
          <w:color w:val="auto"/>
        </w:rPr>
      </w:pPr>
    </w:p>
    <w:p>
      <w:pPr>
        <w:jc w:val="right"/>
        <w:ind w:left="700" w:right="60" w:hanging="243"/>
        <w:spacing w:after="0" w:line="255"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5"/>
          <w:szCs w:val="15"/>
          <w:color w:val="auto"/>
        </w:rPr>
        <w:t xml:space="preserve">  introduces as a new capital measure “Common Equity Tier 1,” or “CET1,” specifies that Tier 1 capital consists of CET1 and “Additional Tier 1 capital” instruments meeting specified requirements, defines CET1 narrowly by requiring that most deductions or adjustments to regulatory capital measures be made to CET1 and not to the other components of capital, and expands the scope of the deductions or adjustments as compared to existing regulations;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when fully phased in (which is contemplated to occur by January 1, 2019), requires bank holding companies to maintain:</w:t>
      </w:r>
    </w:p>
    <w:p>
      <w:pPr>
        <w:ind w:left="920" w:right="140" w:hanging="243"/>
        <w:spacing w:after="0" w:line="212"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as a newly adopted international standard, a minimum ratio of CET1 to risk-weighted assets of at least 4.5%, plus a 2.5% “capital conservation buffer” (which is added to the 4.5% CET1 ratio as that buffer is phased in, effectively resulting in a minimum ratio of CET1 to risk-weighted assets of at least 7%);</w:t>
      </w:r>
    </w:p>
    <w:p>
      <w:pPr>
        <w:ind w:left="920" w:right="360" w:hanging="243"/>
        <w:spacing w:after="0" w:line="21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minimum ratio of Tier 1 capital to risk-weighted assets of at least 6.0%, plus the capital conservation buffer (which is added to the 6.0% Tier 1 capital ratio as that buffer is phased in, effectively resulting in a minimum Tier 1 capital ratio of 8.5% upon full implementation);</w:t>
      </w:r>
    </w:p>
    <w:p>
      <w:pPr>
        <w:spacing w:after="0" w:line="1" w:lineRule="exact"/>
        <w:rPr>
          <w:sz w:val="20"/>
          <w:szCs w:val="20"/>
          <w:color w:val="auto"/>
        </w:rPr>
      </w:pPr>
    </w:p>
    <w:p>
      <w:pPr>
        <w:ind w:left="920" w:right="30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 minimum ratio of Total (that is, Tier 1 plus Tier 2) capital to risk-weighted assets of at least 8.0%, plus the capital conservation buffer (which is added to the 8.0% total capital ratio as that buffer is phased in, effectively resulting in a minimum total capital ratio of 10.5% upon full implementation);</w:t>
      </w:r>
    </w:p>
    <w:p>
      <w:pPr>
        <w:spacing w:after="0" w:line="2" w:lineRule="exact"/>
        <w:rPr>
          <w:sz w:val="20"/>
          <w:szCs w:val="20"/>
          <w:color w:val="auto"/>
        </w:rPr>
      </w:pPr>
    </w:p>
    <w:p>
      <w:pPr>
        <w:ind w:left="920" w:right="200" w:hanging="243"/>
        <w:spacing w:after="0" w:line="209"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as a newly adopted international standard, a minimum leverage ratio of 3%, calculated as the ratio of Tier 1 capital to balance sheet exposures plus certain off-balance sheet exposures (as the average for each quarter of the month-end ratios for the quarter); and</w:t>
      </w:r>
    </w:p>
    <w:p>
      <w:pPr>
        <w:spacing w:after="0" w:line="1" w:lineRule="exact"/>
        <w:rPr>
          <w:sz w:val="20"/>
          <w:szCs w:val="20"/>
          <w:color w:val="auto"/>
        </w:rPr>
      </w:pPr>
    </w:p>
    <w:p>
      <w:pPr>
        <w:ind w:left="920" w:right="2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provides for a “countercyclical capital buffer,” generally to be imposed when national regulators determine that excess aggregate credit growth becomes associated with a buildup of systemic risk, that would be a CET1 add-on to the capital conservation buffer in the range of 0% to 2.5% when fully implemented (potentially resulting in total buffers of between 2.5% and 5%).</w:t>
      </w:r>
    </w:p>
    <w:p>
      <w:pPr>
        <w:spacing w:after="0" w:line="158" w:lineRule="exact"/>
        <w:rPr>
          <w:sz w:val="20"/>
          <w:szCs w:val="20"/>
          <w:color w:val="auto"/>
        </w:rPr>
      </w:pPr>
    </w:p>
    <w:p>
      <w:pPr>
        <w:ind w:right="380" w:firstLine="685"/>
        <w:spacing w:after="0" w:line="306" w:lineRule="auto"/>
        <w:rPr>
          <w:sz w:val="20"/>
          <w:szCs w:val="20"/>
          <w:color w:val="auto"/>
        </w:rPr>
      </w:pPr>
      <w:r>
        <w:rPr>
          <w:rFonts w:ascii="Arial" w:cs="Arial" w:eastAsia="Arial" w:hAnsi="Arial"/>
          <w:sz w:val="16"/>
          <w:szCs w:val="16"/>
          <w:color w:val="auto"/>
        </w:rPr>
        <w:t>The capital conservation buffer is designed to absorb losses during periods of economic stress. Banking institutions with a ratio of CET1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1" w:lineRule="auto"/>
        <w:rPr>
          <w:sz w:val="20"/>
          <w:szCs w:val="20"/>
          <w:color w:val="auto"/>
        </w:rPr>
      </w:pPr>
      <w:r>
        <w:rPr>
          <w:rFonts w:ascii="Arial" w:cs="Arial" w:eastAsia="Arial" w:hAnsi="Arial"/>
          <w:sz w:val="18"/>
          <w:szCs w:val="18"/>
          <w:color w:val="auto"/>
        </w:rPr>
        <w:t>In July 2011, the Basel Committee introduced a consultative document establishing a requirement for a capital surcharge on certain globally systemically important banks (“G-SIBs”), and in November 2011, the Basel Committee issued final provisions substantially unchanged from the previous proposal. An “indicator-based approach” will be used to determine whether a bank is a G-SIB and the appropriate level of the surcharge to be applied. The “indicator-based approach” consists of five broad categories: size, interconnectedness, lack of substitutability, cross-jurisdictional activity and complexity. Banks found to be G-SIBs will be subject to a progressive CET1 surcharge ranging from 1% to 3.5% over the Basel III 7% CET1 requirement. The surcharge will become fully effective on January 1, 2019.</w:t>
      </w:r>
    </w:p>
    <w:p>
      <w:pPr>
        <w:spacing w:after="0" w:line="4"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The implementation of the Basel III final framework was originally contemplated to commence on January 1, 2013, but in November 2012, the U.S. bank regulatory agencies announced that implementation would not take effect on that date. As of February 2013, no new effective date had been announced. Upon effectiveness of the Basel III capital rules, banking institutions will be required to meet the following minimum capital ratios before the application of any buffer:</w:t>
      </w:r>
    </w:p>
    <w:p>
      <w:pPr>
        <w:ind w:left="460"/>
        <w:spacing w:after="0" w:line="181"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3.5% CET1 to risk-weighted assets;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4.5% Tier 1 capital to risk-weighted assets;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8.0% Total capital to risk-weighted assets.</w:t>
      </w:r>
    </w:p>
    <w:p>
      <w:pPr>
        <w:spacing w:after="0" w:line="54" w:lineRule="exact"/>
        <w:rPr>
          <w:sz w:val="20"/>
          <w:szCs w:val="20"/>
          <w:color w:val="auto"/>
        </w:rPr>
      </w:pPr>
    </w:p>
    <w:p>
      <w:pPr>
        <w:jc w:val="both"/>
        <w:ind w:right="280" w:firstLine="685"/>
        <w:spacing w:after="0" w:line="284" w:lineRule="auto"/>
        <w:rPr>
          <w:sz w:val="20"/>
          <w:szCs w:val="20"/>
          <w:color w:val="auto"/>
        </w:rPr>
      </w:pPr>
      <w:r>
        <w:rPr>
          <w:rFonts w:ascii="Arial" w:cs="Arial" w:eastAsia="Arial" w:hAnsi="Arial"/>
          <w:sz w:val="16"/>
          <w:szCs w:val="16"/>
          <w:color w:val="auto"/>
        </w:rPr>
        <w:t>The Basel III final framework provides for a number of new deductions from and adjustments to CET1. These include, for example, the requirement that mortgage servicing rights, deferred tax assets dependent upon future taxable income and significant investments in non-consolidated financial entities be deducted from CET1 to the extent that any one such category exceeds 10% of CET1 or all such categories in the aggregate exceed 15% of CET1.</w:t>
      </w:r>
    </w:p>
    <w:p>
      <w:pPr>
        <w:spacing w:after="0" w:line="1" w:lineRule="exact"/>
        <w:rPr>
          <w:sz w:val="20"/>
          <w:szCs w:val="20"/>
          <w:color w:val="auto"/>
        </w:rPr>
      </w:pPr>
    </w:p>
    <w:p>
      <w:pPr>
        <w:jc w:val="both"/>
        <w:ind w:right="220" w:firstLine="685"/>
        <w:spacing w:after="0" w:line="281" w:lineRule="auto"/>
        <w:rPr>
          <w:sz w:val="20"/>
          <w:szCs w:val="20"/>
          <w:color w:val="auto"/>
        </w:rPr>
      </w:pPr>
      <w:r>
        <w:rPr>
          <w:rFonts w:ascii="Arial" w:cs="Arial" w:eastAsia="Arial" w:hAnsi="Arial"/>
          <w:sz w:val="16"/>
          <w:szCs w:val="16"/>
          <w:color w:val="auto"/>
        </w:rPr>
        <w:t>Implementation of the deductions and other adjustments to CET1 are contemplated to begin on January 1, 2014 (which may be subject to delay given the delayed initial implementation of the Basel III framework) and will be phased-in over a five-year period (20% per year). The implementation of the capital conservation buffer will begin on January 1, 2016 (subject to potential delay) at 0.625% and be phased in over a four-year period (increasing by that amount on each subsequent January 1, until it reaches 2.5% on January 1, 2019, subject to potential delay).</w:t>
      </w:r>
    </w:p>
    <w:p>
      <w:pPr>
        <w:spacing w:after="0" w:line="3" w:lineRule="exact"/>
        <w:rPr>
          <w:sz w:val="20"/>
          <w:szCs w:val="20"/>
          <w:color w:val="auto"/>
        </w:rPr>
      </w:pPr>
    </w:p>
    <w:p>
      <w:pPr>
        <w:ind w:firstLine="685"/>
        <w:spacing w:after="0" w:line="300" w:lineRule="auto"/>
        <w:rPr>
          <w:sz w:val="20"/>
          <w:szCs w:val="20"/>
          <w:color w:val="auto"/>
        </w:rPr>
      </w:pPr>
      <w:r>
        <w:rPr>
          <w:rFonts w:ascii="Arial" w:cs="Arial" w:eastAsia="Arial" w:hAnsi="Arial"/>
          <w:sz w:val="15"/>
          <w:szCs w:val="15"/>
          <w:color w:val="auto"/>
        </w:rPr>
        <w:t>In June 2012, the U.S. banking regulators requested comment on three sets of proposed rules that would implement Basel III in the U.S. These proposed rules, among other things, would revise the capital levels at which a banking institution would be subject to the prompt corrective action framework (including the establishment of a new Tier 1 common capital requirement), eliminate or reduce the ability of certain types of capital instruments to count as regulatory capital, eliminate the Tier 1 treatment of trust preferred securities (as required by the Dodd- Frank Act) following a phase-in period beginning in 2013, and require new deductions from capital for investments in unconsolidated financial institutions, mortgage servicing assets and deferred tax assets that exceed specified thresholds. The proposed rules also would establish a new capital conservation buffer and, for large or internationally active banks not currently including M&amp;T, a supplemental leverage capital requirement that would take into account certain off-balance sheet exposures and a countercyclical capital buffer that would initially be set at zero. The proposed rules would also revise the Federal Reserve Board’s rules for calculating risk-weighted assets to enhance risk sensitivity.</w:t>
      </w:r>
    </w:p>
    <w:p>
      <w:pPr>
        <w:spacing w:after="0" w:line="4"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The Dodd-Frank Act appears to require the Federal Reserve Board to adopt regulations imposing a continuing “floor” of the Basel I-based capital requirements in cases where the Basel II-based capital requirements and any changes in capital regulations resulting from Basel III otherwise would permit lower requirements. In 2011, the Federal Reserve Board, FDIC and OCC jointly approved a final rule which requires a banking organization operating under the agencies’ advanced approaches risk-based capital rules to adhere to the higher of the minimum requirements under the general risk-based capital rules and the minimum requirements under the advanced approaches risk-based capital rules.</w:t>
      </w:r>
    </w:p>
    <w:p>
      <w:pPr>
        <w:spacing w:after="0" w:line="3" w:lineRule="exact"/>
        <w:rPr>
          <w:sz w:val="20"/>
          <w:szCs w:val="20"/>
          <w:color w:val="auto"/>
        </w:rPr>
      </w:pPr>
    </w:p>
    <w:p>
      <w:pPr>
        <w:ind w:right="120" w:firstLine="685"/>
        <w:spacing w:after="0" w:line="312" w:lineRule="auto"/>
        <w:rPr>
          <w:sz w:val="20"/>
          <w:szCs w:val="20"/>
          <w:color w:val="auto"/>
        </w:rPr>
      </w:pPr>
      <w:r>
        <w:rPr>
          <w:rFonts w:ascii="Arial" w:cs="Arial" w:eastAsia="Arial" w:hAnsi="Arial"/>
          <w:sz w:val="15"/>
          <w:szCs w:val="15"/>
          <w:i w:val="1"/>
          <w:iCs w:val="1"/>
          <w:color w:val="auto"/>
        </w:rPr>
        <w:t xml:space="preserve">Liquidity Ratios under Basel III. </w:t>
      </w:r>
      <w:r>
        <w:rPr>
          <w:rFonts w:ascii="Arial" w:cs="Arial" w:eastAsia="Arial" w:hAnsi="Arial"/>
          <w:sz w:val="15"/>
          <w:szCs w:val="15"/>
          <w:color w:val="auto"/>
        </w:rPr>
        <w:t>Historically, regulation and monitoring of bank and BHC liquidity has been addressed as a supervisory matter, both in</w:t>
      </w:r>
      <w:r>
        <w:rPr>
          <w:rFonts w:ascii="Arial" w:cs="Arial" w:eastAsia="Arial" w:hAnsi="Arial"/>
          <w:sz w:val="15"/>
          <w:szCs w:val="15"/>
          <w:i w:val="1"/>
          <w:iCs w:val="1"/>
          <w:color w:val="auto"/>
        </w:rPr>
        <w:t xml:space="preserve"> </w:t>
      </w:r>
      <w:r>
        <w:rPr>
          <w:rFonts w:ascii="Arial" w:cs="Arial" w:eastAsia="Arial" w:hAnsi="Arial"/>
          <w:sz w:val="15"/>
          <w:szCs w:val="15"/>
          <w:color w:val="auto"/>
        </w:rPr>
        <w:t>the U.S. and internationally, without required formulaic measures. The Basel III final framework requires banks and bank holding companies to measure their liquidity against specific liquidity tests. One test, referred to as the liquidity coverage ratio (“LCR”), is designed to ensure that the banking entity maintains an adequate level of unencumbered high-quality liquid assets equal to the entity’s expected net cash outflow for a 30-day time horizon (or, if greater, 25% of its expected total cash outflow) under an acute liquidity stress scenario. The other, referred to as the net stable funding ratio (“NSFR”), is designed to promote more medium- and long-term funding of the assets and activities of banking entities over a one-year time horizon. These requirements will incent banking entities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to increase their holdings of U.S. Treasury securities and other sovereign debt as a component of assets and increase the use of long-term debt as a funding source. The Basel III liquidity framework contemplates that the LCR will be subject to an observation period continuing through mid-2013 and, subject to any revisions resulting from the analyses conducted and data collected during the observation period, implemented as a minimum standard on January 1, 2015. However, in January 2013, the governing body of the Basel Committee endorsed revisions to the LCR which include introducing the LCR as planned on January 1, 2015, but the minimum requirement will begin at 60%, raising in equal annual steps of ten percentage points each contemplated to reach 100% on January 1, 2019. Similarly, the Basel III liquidity framework contemplates that the NSFR will be subject to an observation period through mid-2016 and, subject to any revisions resulting from the analyses conducted and data collected during the observation period, implemented as a minimum standard by January 1, 2018. These new standards are subject to further rulemaking and their terms may well change before implementation. The U.S. bank regulatory agencies have not yet proposed rules to implement Basel III’s liquidity requirements.</w:t>
      </w:r>
    </w:p>
    <w:p>
      <w:pPr>
        <w:spacing w:after="0" w:line="5"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The Proposed SIFI Rules address liquidity requirements for bank holding companies, including M&amp;T, with $50 billion or more in total consolidated assets. In the release accompanying those rules, the Federal Reserve Board states a general intention to incorporate the Basel III liquidity framework for the bank holding companies covered by the Proposed SIFI Rules or a “subset” of those bank holding companies. Although these rules do not include prescriptive ratios like the LCR and NSFR, they do include detailed liquidity-related requirements, including requirements for cashflow projections, liquidity stress testing (including, at a minimum, over time horizons that include an overnight time horizon, a 30-day time horizon, a 90-day time horizon and a 1-year time horizon), and a requirement that covered bank holding companies maintain a liquidity buffer of unencumbered highly liquid assets sufficient to meet projected net cash outflows and the projected loss or impairment of existing funding sources for 30 days over a range of liquidity stress scenarios.</w:t>
      </w:r>
    </w:p>
    <w:p>
      <w:pPr>
        <w:spacing w:after="0" w:line="5"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i w:val="1"/>
          <w:iCs w:val="1"/>
          <w:color w:val="auto"/>
        </w:rPr>
        <w:t xml:space="preserve">Capital Requirements of Subsidiary Depository Institutions. </w:t>
      </w:r>
      <w:r>
        <w:rPr>
          <w:rFonts w:ascii="Arial" w:cs="Arial" w:eastAsia="Arial" w:hAnsi="Arial"/>
          <w:sz w:val="16"/>
          <w:szCs w:val="16"/>
          <w:color w:val="auto"/>
        </w:rPr>
        <w:t>M&amp;T Bank and Wilmington Trust, N.A. are subject to substantially similar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as those applicable to M&amp;T. As of December 31, 2012, both M&amp;T Bank and Wilmington Trust, N.A. were in compliance with applicable minimum capital requirements. None of M&amp;T, M&amp;T Bank or Wilmington Trust, N.A. has been advised by any federal banking agency of a failure to meet any specific minimum capital ratio requirement applicable to it as of December 31, 2012. Failure to meet capital guidelines could subject a bank to a variety of enforcement remedies, including the termination of deposit insurance by the FDIC, and to certain restrictions on its business. See “Regulatory Remedies under the FDIA.”</w:t>
      </w:r>
    </w:p>
    <w:p>
      <w:pPr>
        <w:spacing w:after="0" w:line="3" w:lineRule="exact"/>
        <w:rPr>
          <w:sz w:val="20"/>
          <w:szCs w:val="20"/>
          <w:color w:val="auto"/>
        </w:rPr>
      </w:pPr>
    </w:p>
    <w:p>
      <w:pPr>
        <w:ind w:right="120" w:firstLine="685"/>
        <w:spacing w:after="0" w:line="361" w:lineRule="auto"/>
        <w:rPr>
          <w:sz w:val="20"/>
          <w:szCs w:val="20"/>
          <w:color w:val="auto"/>
        </w:rPr>
      </w:pPr>
      <w:r>
        <w:rPr>
          <w:rFonts w:ascii="Arial" w:cs="Arial" w:eastAsia="Arial" w:hAnsi="Arial"/>
          <w:sz w:val="15"/>
          <w:szCs w:val="15"/>
          <w:color w:val="auto"/>
        </w:rPr>
        <w:t>Given that the Basel III rules are subject to change and the scope and content of capital regulations that U.S. federal banking agencies may adopt under the Dodd-Frank Act is uncertain, M&amp;T cannot be certain of the impact new capital regulations will have on its capital ratios or those of its bank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Soundness Standards</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Guidelines adopted by the federal bank regulatory agencies pursuant to the Federal Deposit Insurance Act, as amended (the “FDIA”),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the FDIA. See “Regulatory Remedies under the FDIA” below. If an institution fails to comply with such an order, the agency may seek to enforce such order in judicial proceedings and to impose civil money penalties.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Remedies under the FDIA</w:t>
      </w:r>
    </w:p>
    <w:p>
      <w:pPr>
        <w:spacing w:after="0" w:line="21"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The FDIA establishes a system of regulatory remedies to resolve the problems of undercapitalized institutions, referred to as the prompt corrective action. The federal banking regulators have established five capital categories (“well-capitalized,” “adequately capitalized,” “undercapitalized,” “significantly</w:t>
      </w:r>
    </w:p>
    <w:p>
      <w:pPr>
        <w:spacing w:after="0" w:line="77"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depends upon the capital category in which the institution is placed. Generally, subject to a narrow exception, the FDIA requires the banking regulator to appoint a receiver or conservator for an institution that is critically undercapitalized. The federal bank regulatory agencies have specified by regulation the relevant capital levels for each category: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“Well-Capitalized”</w:t>
            </w:r>
          </w:p>
        </w:tc>
        <w:tc>
          <w:tcPr>
            <w:tcW w:w="2380" w:type="dxa"/>
            <w:vAlign w:val="bottom"/>
            <w:gridSpan w:val="5"/>
          </w:tcPr>
          <w:p>
            <w:pPr>
              <w:spacing w:after="0"/>
              <w:rPr>
                <w:sz w:val="20"/>
                <w:szCs w:val="20"/>
                <w:color w:val="auto"/>
              </w:rPr>
            </w:pPr>
            <w:r>
              <w:rPr>
                <w:rFonts w:ascii="Arial" w:cs="Arial" w:eastAsia="Arial" w:hAnsi="Arial"/>
                <w:sz w:val="18"/>
                <w:szCs w:val="18"/>
                <w:b w:val="1"/>
                <w:bCs w:val="1"/>
                <w:color w:val="auto"/>
              </w:rPr>
              <w:t>“Adequately</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80" w:type="dxa"/>
            <w:vAlign w:val="bottom"/>
            <w:gridSpan w:val="5"/>
            <w:vMerge w:val="restart"/>
          </w:tcPr>
          <w:p>
            <w:pPr>
              <w:spacing w:after="0" w:line="196" w:lineRule="exact"/>
              <w:rPr>
                <w:sz w:val="20"/>
                <w:szCs w:val="20"/>
                <w:color w:val="auto"/>
              </w:rPr>
            </w:pPr>
            <w:r>
              <w:rPr>
                <w:rFonts w:ascii="Arial" w:cs="Arial" w:eastAsia="Arial" w:hAnsi="Arial"/>
                <w:sz w:val="18"/>
                <w:szCs w:val="18"/>
                <w:b w:val="1"/>
                <w:bCs w:val="1"/>
                <w:color w:val="auto"/>
              </w:rPr>
              <w:t>Capitalized”</w:t>
            </w:r>
          </w:p>
        </w:tc>
        <w:tc>
          <w:tcPr>
            <w:tcW w:w="0" w:type="dxa"/>
            <w:vAlign w:val="bottom"/>
          </w:tcPr>
          <w:p>
            <w:pPr>
              <w:spacing w:after="0"/>
              <w:rPr>
                <w:sz w:val="1"/>
                <w:szCs w:val="1"/>
                <w:color w:val="auto"/>
              </w:rPr>
            </w:pPr>
          </w:p>
        </w:tc>
      </w:tr>
      <w:tr>
        <w:trPr>
          <w:trHeight w:val="156"/>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Leverage Ratio of 5%,</w:t>
            </w: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60" w:type="dxa"/>
            <w:vAlign w:val="bottom"/>
            <w:gridSpan w:val="3"/>
            <w:vMerge w:val="continue"/>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060" w:type="dxa"/>
            <w:vAlign w:val="bottom"/>
            <w:gridSpan w:val="3"/>
            <w:vMerge w:val="continue"/>
          </w:tcPr>
          <w:p>
            <w:pPr>
              <w:spacing w:after="0"/>
              <w:rPr>
                <w:sz w:val="17"/>
                <w:szCs w:val="17"/>
                <w:color w:val="auto"/>
              </w:rPr>
            </w:pPr>
          </w:p>
        </w:tc>
        <w:tc>
          <w:tcPr>
            <w:tcW w:w="1840" w:type="dxa"/>
            <w:vAlign w:val="bottom"/>
            <w:gridSpan w:val="4"/>
          </w:tcPr>
          <w:p>
            <w:pPr>
              <w:spacing w:after="0" w:line="201" w:lineRule="exact"/>
              <w:rPr>
                <w:sz w:val="20"/>
                <w:szCs w:val="20"/>
                <w:color w:val="auto"/>
              </w:rPr>
            </w:pPr>
            <w:r>
              <w:rPr>
                <w:rFonts w:ascii="Arial" w:cs="Arial" w:eastAsia="Arial" w:hAnsi="Arial"/>
                <w:sz w:val="18"/>
                <w:szCs w:val="18"/>
                <w:color w:val="auto"/>
              </w:rPr>
              <w:t>Leverage Ratio of 4%,</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Tier 1 Capital ratio of 6%,</w:t>
            </w:r>
          </w:p>
        </w:tc>
        <w:tc>
          <w:tcPr>
            <w:tcW w:w="2380" w:type="dxa"/>
            <w:vAlign w:val="bottom"/>
            <w:gridSpan w:val="5"/>
          </w:tcPr>
          <w:p>
            <w:pPr>
              <w:spacing w:after="0"/>
              <w:rPr>
                <w:sz w:val="20"/>
                <w:szCs w:val="20"/>
                <w:color w:val="auto"/>
              </w:rPr>
            </w:pPr>
            <w:r>
              <w:rPr>
                <w:rFonts w:ascii="Arial" w:cs="Arial" w:eastAsia="Arial" w:hAnsi="Arial"/>
                <w:sz w:val="18"/>
                <w:szCs w:val="18"/>
                <w:color w:val="auto"/>
                <w:w w:val="99"/>
              </w:rPr>
              <w:t>Tier 1 Capital ratio of 4%, and</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Total Capital ratio of 10%, and</w:t>
            </w:r>
          </w:p>
        </w:tc>
        <w:tc>
          <w:tcPr>
            <w:tcW w:w="2380" w:type="dxa"/>
            <w:vAlign w:val="bottom"/>
            <w:gridSpan w:val="5"/>
          </w:tcPr>
          <w:p>
            <w:pPr>
              <w:spacing w:after="0"/>
              <w:rPr>
                <w:sz w:val="20"/>
                <w:szCs w:val="20"/>
                <w:color w:val="auto"/>
              </w:rPr>
            </w:pPr>
            <w:r>
              <w:rPr>
                <w:rFonts w:ascii="Arial" w:cs="Arial" w:eastAsia="Arial" w:hAnsi="Arial"/>
                <w:sz w:val="18"/>
                <w:szCs w:val="18"/>
                <w:color w:val="auto"/>
              </w:rPr>
              <w:t>Total Capital ratio of 8%.</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w w:val="95"/>
              </w:rPr>
              <w:t>Not subject to a written agreement, order, capital directive or regulatory remedy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3"/>
          </w:tcPr>
          <w:p>
            <w:pPr>
              <w:spacing w:after="0"/>
              <w:rPr>
                <w:sz w:val="20"/>
                <w:szCs w:val="20"/>
                <w:color w:val="auto"/>
              </w:rPr>
            </w:pPr>
            <w:r>
              <w:rPr>
                <w:rFonts w:ascii="Arial" w:cs="Arial" w:eastAsia="Arial" w:hAnsi="Arial"/>
                <w:sz w:val="18"/>
                <w:szCs w:val="18"/>
                <w:color w:val="auto"/>
              </w:rPr>
              <w:t>directive requiring a specific capital level.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“Undercapitalized”</w:t>
            </w:r>
          </w:p>
        </w:tc>
        <w:tc>
          <w:tcPr>
            <w:tcW w:w="2380" w:type="dxa"/>
            <w:vAlign w:val="bottom"/>
            <w:gridSpan w:val="5"/>
          </w:tcPr>
          <w:p>
            <w:pPr>
              <w:spacing w:after="0"/>
              <w:rPr>
                <w:sz w:val="20"/>
                <w:szCs w:val="20"/>
                <w:color w:val="auto"/>
              </w:rPr>
            </w:pPr>
            <w:r>
              <w:rPr>
                <w:rFonts w:ascii="Arial" w:cs="Arial" w:eastAsia="Arial" w:hAnsi="Arial"/>
                <w:sz w:val="18"/>
                <w:szCs w:val="18"/>
                <w:b w:val="1"/>
                <w:bCs w:val="1"/>
                <w:color w:val="auto"/>
              </w:rPr>
              <w:t>“Significantly</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620" w:type="dxa"/>
            <w:vAlign w:val="bottom"/>
            <w:tcBorders>
              <w:left w:val="single" w:sz="8" w:color="auto"/>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80" w:type="dxa"/>
            <w:vAlign w:val="bottom"/>
            <w:gridSpan w:val="5"/>
            <w:vMerge w:val="restart"/>
          </w:tcPr>
          <w:p>
            <w:pPr>
              <w:spacing w:after="0" w:line="196" w:lineRule="exact"/>
              <w:rPr>
                <w:sz w:val="20"/>
                <w:szCs w:val="20"/>
                <w:color w:val="auto"/>
              </w:rPr>
            </w:pPr>
            <w:r>
              <w:rPr>
                <w:rFonts w:ascii="Arial" w:cs="Arial" w:eastAsia="Arial" w:hAnsi="Arial"/>
                <w:sz w:val="18"/>
                <w:szCs w:val="18"/>
                <w:b w:val="1"/>
                <w:bCs w:val="1"/>
                <w:color w:val="auto"/>
              </w:rPr>
              <w:t>Undercapitalized”</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80"/>
          </w:cols>
          <w:pgMar w:left="240" w:top="459" w:right="279" w:bottom="1440" w:gutter="0" w:footer="0" w:header="0"/>
        </w:sectPr>
      </w:pPr>
    </w:p>
    <w:p>
      <w:pPr>
        <w:spacing w:after="0"/>
        <w:rPr>
          <w:sz w:val="20"/>
          <w:szCs w:val="20"/>
          <w:color w:val="auto"/>
        </w:rPr>
      </w:pPr>
      <w:r>
        <w:rPr>
          <w:rFonts w:ascii="Arial" w:cs="Arial" w:eastAsia="Arial" w:hAnsi="Arial"/>
          <w:sz w:val="18"/>
          <w:szCs w:val="18"/>
          <w:color w:val="auto"/>
        </w:rPr>
        <w:t>Leverage Ratio less than 4%,</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Tier 1 Capital ratio less than 4%,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Capital ratio less than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Leverage Ratio less than 3%,</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Tier 1 Capital ratio less than 3%,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Capital ratio less than 6%.</w:t>
      </w:r>
    </w:p>
    <w:p>
      <w:pPr>
        <w:spacing w:after="0" w:line="141"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“Critically undercapitalized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88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811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Tangible equity to total assets less than 2%.</w:t>
      </w:r>
    </w:p>
    <w:p>
      <w:pPr>
        <w:spacing w:after="0" w:line="90" w:lineRule="exact"/>
        <w:rPr>
          <w:sz w:val="20"/>
          <w:szCs w:val="20"/>
          <w:color w:val="auto"/>
        </w:rPr>
      </w:pPr>
    </w:p>
    <w:p>
      <w:pPr>
        <w:ind w:right="200" w:firstLine="685"/>
        <w:spacing w:after="0" w:line="251" w:lineRule="auto"/>
        <w:rPr>
          <w:sz w:val="20"/>
          <w:szCs w:val="20"/>
          <w:color w:val="auto"/>
        </w:rPr>
      </w:pPr>
      <w:r>
        <w:rPr>
          <w:rFonts w:ascii="Arial" w:cs="Arial" w:eastAsia="Arial" w:hAnsi="Arial"/>
          <w:sz w:val="18"/>
          <w:szCs w:val="18"/>
          <w:color w:val="auto"/>
        </w:rPr>
        <w:t>For purposes of these regulations, the term “tangible equity” includes core capital elements counted as Tier 1 Capital for purposes of the risk-based capital standards plus the amount of outstanding cumulative perpetual preferred stock (including related surplus), minus all intangible assets with certain exceptions. An institution that is classified as well-capitalized based on its capital levels may be classified as adequately capitalized, and an institution that is adequately capitalized or undercapitalized based upon its capital levels may be treated as though it were undercapitalized or significantly undercapitalized, respectively, if the appropriate federal banking agency, after notice and opportunity for hearing, determines that an unsafe or unsound condition or an unsafe or unsound practice warrants such treatment.</w:t>
      </w:r>
    </w:p>
    <w:p>
      <w:pPr>
        <w:spacing w:after="0" w:line="4"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BHC must guarantee that a subsidiary depository institution will comply with its capital restoration plan, subject to certain limitations. The BHC must also provide appropriate assurances of performance. The obligation of a controlling BHC under the FDIA to fund a capital restoration plan is limited to the lesser of 5.0% of an undercapitalized subsidiary’s assets or the amount required to meet regulatory capital requirements. An undercapitalized institution is also generally prohibited from increasing its average total assets,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of Subsidiary Banks</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Under longstanding Federal Reserve Board policy which has been codified by the Dodd-Frank Act, M&amp;T is expected to act as a source of financial strength to, and to commit resources to support, its subsidiary banks. This support may be required at times when M&amp;T may not be inclined to provide it. In addition, any capital loans by a BHC to a subsidiary bank are subordinate in right of payment to deposits and to certain other indebtedness of such subsidiary bank. In the event of a bank holding company’s bankruptcy, any commitment by the BHC to a federal bank regulatory agency to maintain the capital of a subsidiary bank will be assumed by the bankruptcy trustee and entitled to a priority of payment.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Provisions</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insured depository institution “controlled” (as defined in the BHCA) by the same BHC can be held liable to the FDIC for any loss incurred, or reasonably expected to be incurred, by the FDIC due to the default of any other insured depository institution controlled by that holding company and for any assistance provided by the FDIC to any of those banks that is in danger of default. The FDIC’s claim under the cross-guarantee provisions is superior to claims of shareholders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There are various legal restrictions on the extent to which M&amp;T and its non-bank subsidiaries may borrow or otherwise obtain funding from M&amp;T Bank and Wilmington Trust, N.A. In general, Sections 23A and 23B of the Federal Reserve Board Act and Federal Reserve Board Regulation W require that any “covered transaction” by M&amp;T Bank and Wilmington Trust, N.A. (or any of their respective subsidiaries) with an affiliate must be secured by designated amounts of specified collateral and must be limited to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The Dodd-Frank Act significantly expanded the coverage and scope of the limitations on affiliate transactions within a banking organization, including for example, the requirement that the 10% of capital limit on covered transactions begin to apply to financial subsidiaries. “Covered transactions” are defined by statute to include, among other things, a loan or extension of credit, as well as a purchase of securities issued by an affiliate, a purchase of assets (unless otherwise exempted by the Federal Reserve Board)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FDIC Insurance Assessments</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Deposit Insurance Assessments. </w:t>
      </w:r>
      <w:r>
        <w:rPr>
          <w:rFonts w:ascii="Arial" w:cs="Arial" w:eastAsia="Arial" w:hAnsi="Arial"/>
          <w:sz w:val="18"/>
          <w:szCs w:val="18"/>
          <w:color w:val="auto"/>
        </w:rPr>
        <w:t>M&amp;T Bank and Wilmington Trust, N.A. pay deposit insurance premiums to the FDIC based on an assessment rate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FDIC.</w:t>
      </w:r>
    </w:p>
    <w:p>
      <w:pPr>
        <w:spacing w:after="0" w:line="1"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Since April 1, 2011, the FDIC, as required by the Dodd-Frank Act, has mandated that the deposit insurance assessment be based on a depository institution’s average consolidated total assets minus its average tangible equity. Additionally, the FDIC’s deposit insurance assessment system has a two scorecard system for large institutions, one for most large institutions that have more than $10 billion in assets, such as M&amp;T Bank, and another for “highly complex” institutions that have over $50 billion in assets and are fully owned by a parent with over $500 billion in assets. Each scorecard has a performance score and a loss-severity score that is combined to produce a total score, which is translated into an initial assessment rate. In calculating these scores, the FDIC utilizes the bank’s capital level and supervisory ratings (its “CAMELS” ratings) and certain new forward-looking financial measures to assess an institution’s ability to withstand asset-related stress and funding-related stress. The FDIC’s current assessment rule does not use risk categories and long-term debt issuer ratings for calculating risk-based assessments for institutions having more than $10 billion in assets. The FDIC has the ability to make discretionary adjustments to the total score, up or down, based upon significant risk factors that are not adequately captured in the scorecard. The total score is then translated to an initial base assessment rate on a non-linear, sharply-increasing scale.</w:t>
      </w:r>
    </w:p>
    <w:p>
      <w:pPr>
        <w:spacing w:after="0" w:line="7" w:lineRule="exact"/>
        <w:rPr>
          <w:sz w:val="20"/>
          <w:szCs w:val="20"/>
          <w:color w:val="auto"/>
        </w:rPr>
      </w:pPr>
    </w:p>
    <w:p>
      <w:pPr>
        <w:ind w:right="60" w:firstLine="685"/>
        <w:spacing w:after="0" w:line="292" w:lineRule="auto"/>
        <w:rPr>
          <w:sz w:val="20"/>
          <w:szCs w:val="20"/>
          <w:color w:val="auto"/>
        </w:rPr>
      </w:pPr>
      <w:r>
        <w:rPr>
          <w:rFonts w:ascii="Arial" w:cs="Arial" w:eastAsia="Arial" w:hAnsi="Arial"/>
          <w:sz w:val="16"/>
          <w:szCs w:val="16"/>
          <w:color w:val="auto"/>
        </w:rPr>
        <w:t>For large institutions, including M&amp;T Bank, the initial base assessment rate ranges from 5 to 35 basis points (hundredths of one percent) on an annualized basis. After the effect of potential base-rate adjustments, the total base assessment rate could range from 2.5 to 45 basis points on an annualized basis. The potential adjustments to an institution’s initial base assessment rate include (i) a potential decrease of up to 5 basis points for certain long-term unsecured debt and (ii) (except for well-capitalized institutions with a CAMELS rating of 1 or 2) a potential increase of up to 10 basis points for brokered deposits in excess of 10% of domestic deposits. As the DIF reserve ratio grows, the rate schedule will be adjusted downward.</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Additionally, there is an adjustment for depository institution debt whereby an institution will pay an additional premium equal to 50 basis points on every dollar (above 3% of an institution’s Tier 1 capital) of long-term, unsecured debt held that was issued by another insured depository institution (excluding debt guaranteed under the Temporary Liquidity Guarantee Program).</w:t>
      </w:r>
    </w:p>
    <w:p>
      <w:pPr>
        <w:ind w:right="160" w:firstLine="685"/>
        <w:spacing w:after="0" w:line="281" w:lineRule="auto"/>
        <w:rPr>
          <w:sz w:val="20"/>
          <w:szCs w:val="20"/>
          <w:color w:val="auto"/>
        </w:rPr>
      </w:pPr>
      <w:r>
        <w:rPr>
          <w:rFonts w:ascii="Arial" w:cs="Arial" w:eastAsia="Arial" w:hAnsi="Arial"/>
          <w:sz w:val="16"/>
          <w:szCs w:val="16"/>
          <w:color w:val="auto"/>
        </w:rPr>
        <w:t>In October 2010, the FDIC adopted a new restoration plan to ensure the designated reserve ratio reaches 1.35% by September 2020. The FDIC will, at least semi-annually, update its income and loss projections for the DIF and, if necessary, propose rules to further increase assessment rates.</w:t>
      </w:r>
    </w:p>
    <w:p>
      <w:pPr>
        <w:spacing w:after="0" w:line="1" w:lineRule="exact"/>
        <w:rPr>
          <w:sz w:val="20"/>
          <w:szCs w:val="20"/>
          <w:color w:val="auto"/>
        </w:rPr>
      </w:pPr>
    </w:p>
    <w:p>
      <w:pPr>
        <w:ind w:right="420" w:firstLine="685"/>
        <w:spacing w:after="0" w:line="250" w:lineRule="auto"/>
        <w:rPr>
          <w:sz w:val="20"/>
          <w:szCs w:val="20"/>
          <w:color w:val="auto"/>
        </w:rPr>
      </w:pPr>
      <w:r>
        <w:rPr>
          <w:rFonts w:ascii="Arial" w:cs="Arial" w:eastAsia="Arial" w:hAnsi="Arial"/>
          <w:sz w:val="18"/>
          <w:szCs w:val="18"/>
          <w:color w:val="auto"/>
        </w:rPr>
        <w:t>In November 2010, the FDIC issued a final rule to implement provisions of the Dodd-Frank Act that provide for temporary unlimited coverage for noninterest-bearing transaction accounts. The separate coverage for noninterest-bearing transaction accounts became effective on December 31, 2010 and terminated on December 31, 2012.</w:t>
      </w:r>
    </w:p>
    <w:p>
      <w:pPr>
        <w:spacing w:after="0" w:line="1" w:lineRule="exact"/>
        <w:rPr>
          <w:sz w:val="20"/>
          <w:szCs w:val="20"/>
          <w:color w:val="auto"/>
        </w:rPr>
      </w:pPr>
    </w:p>
    <w:p>
      <w:pPr>
        <w:ind w:right="100" w:firstLine="685"/>
        <w:spacing w:after="0" w:line="300" w:lineRule="auto"/>
        <w:rPr>
          <w:sz w:val="20"/>
          <w:szCs w:val="20"/>
          <w:color w:val="auto"/>
        </w:rPr>
      </w:pPr>
      <w:r>
        <w:rPr>
          <w:rFonts w:ascii="Arial" w:cs="Arial" w:eastAsia="Arial" w:hAnsi="Arial"/>
          <w:sz w:val="15"/>
          <w:szCs w:val="15"/>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spacing w:after="0" w:line="1" w:lineRule="exact"/>
        <w:rPr>
          <w:sz w:val="20"/>
          <w:szCs w:val="20"/>
          <w:color w:val="auto"/>
        </w:rPr>
      </w:pPr>
    </w:p>
    <w:p>
      <w:pPr>
        <w:ind w:right="20" w:firstLine="685"/>
        <w:spacing w:after="0" w:line="292" w:lineRule="auto"/>
        <w:rPr>
          <w:sz w:val="20"/>
          <w:szCs w:val="20"/>
          <w:color w:val="auto"/>
        </w:rPr>
      </w:pPr>
      <w:r>
        <w:rPr>
          <w:rFonts w:ascii="Arial" w:cs="Arial" w:eastAsia="Arial" w:hAnsi="Arial"/>
          <w:sz w:val="16"/>
          <w:szCs w:val="16"/>
          <w:i w:val="1"/>
          <w:iCs w:val="1"/>
          <w:color w:val="auto"/>
        </w:rPr>
        <w:t xml:space="preserve">FICO Assessments. </w:t>
      </w:r>
      <w:r>
        <w:rPr>
          <w:rFonts w:ascii="Arial" w:cs="Arial" w:eastAsia="Arial" w:hAnsi="Arial"/>
          <w:sz w:val="16"/>
          <w:szCs w:val="16"/>
          <w:color w:val="auto"/>
        </w:rPr>
        <w:t>In addition, the Deposit Insurance Funds Act of 1996 authorized the Financing Corporation (“FICO”) to impose assessments on DIF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$5 million of expense related to its FICO assessments and Wilmington Trust, N.A. recognized $70 thousand of such expense in 2012.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BHCA requires every BHC to obtain the prior approval of the Federal Reserve Board before: (1) it may acquire direct or indirect ownership or control of any voting shares of any bank or savings and loan association, if after such acquisition, the BHC will directly or indirectly own or control 5% or more of the voting shares of the institution; (2) it or any of its subsidiaries, other than a bank, may acquire all or substantially all of the assets of any bank or savings and loan association; or (3) it may merge or consolidate with any other BHC. Since July 2011, financial holding companies and bank holding companies with consolidated assets exceeding $50 billion, such as M&amp;T, have been required to (i) obtain prior approval from the Federal Reserve Board before acquiring certain nonbank financial companies with assets exceeding $10 billion and (ii) provide prior written notice to the Federal Reserve Board before acquiring direct or indirect ownership or control of any voting shares of any company having consolidated assets of $10 billion or more. Since July 2011, bank holding companies seeking approval to complete an acquisition have been required to be well-capitalized and well-managed.</w:t>
      </w:r>
    </w:p>
    <w:p>
      <w:pPr>
        <w:spacing w:after="0" w:line="5"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The BHCA further provides that the Federal Reserve Board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Board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The Federal Reserve Board must take into account the institutions’ effectiveness in combating money laundering. In addition, pursuant to the Dodd-Frank Act, the BHCA was amended to require the Federal Reserve Board, when evaluating a proposed transaction, to consider the extent to which the transaction would result in greater or more concentrated risks to the stability of the United States banking or financial system.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Capital Purchase Program</w:t>
      </w:r>
    </w:p>
    <w:p>
      <w:pPr>
        <w:spacing w:after="0" w:line="2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Pursuant to the U.S. Treasury’s Troubled Asset Relief Program Capital Purchase Program (“TARP”), on December 23, 2008, M&amp;T issued and sold to the U.S. Treasury in a private offering (i) $600 million of Series A Preferred Stock and (ii) a warrant to purchase 1,218,522 shares of M&amp;T Common Stock at an exercise price of $73.86 per share, subject to certain anti-dilution and other adjustments (the “M&amp;T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Warrant”). M&amp;T elected to participate in the capital purchase program at an amount equal to approximately 1% of its risk-weighted assets at the time. On</w:t>
      </w:r>
    </w:p>
    <w:p>
      <w:pPr>
        <w:spacing w:after="0" w:line="3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May 18, 2011, M&amp;T redeemed and retired $370 million of the Series A Preferred Stock, on August 21, 2012, the U.S. Treasury completed its public offering of the remaining outstanding shares of Series A Preferred Stock and on December 17, 2012, the U.S. Treasury completed its public offering of the M&amp;T Warrant. In connection with its acquisition of Provident on May 23, 2009, M&amp;T issued $151.5 million of Series C Preferred Stock in exchange for the securities issued by Provident to the U.S. Treasury on November 14, 2008, and assumed a warrant issued by Provident to the U.S. Treasury, which, on a converted basis, provides for the purchase of 407,542 shares of M&amp;T Common Stock at $55.76 per share. On August 21, 2012, the U.S. Treasury completed its public offering of the outstanding shares of Series C Preferred Stock. Following the completion of these public offerings, the U.S. Treasury does not hold any preferred shares of M&amp;T.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Incentive Compensation</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 In June 2010, the Federal Reserve Board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discussed above.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9"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Dodd-Frank Act requires the federal bank regulatory agencies and the SEC to establish joint regulations or guidelines prohibiting incentive-based payment arrangements at specified regulated entities, such as M&amp;T and M&amp;T Bank, having at least $1 billion in total assets that encourage inappropriate risks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agencies proposed such regulations in April 2011 and in December 2012, the Federal Reserve Board announced that it, along with other federal regulatory agencies, was continuing to work on developing final rules regarding incentive-based payment arrangements. If the final regulations are adopted in the form initially proposed, they will impose limitations on the manner in which M&amp;T may structure compensation for its executives.</w:t>
      </w:r>
    </w:p>
    <w:p>
      <w:pPr>
        <w:spacing w:after="0" w:line="5"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The scope and content of the U.S.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Planning</w:t>
      </w:r>
    </w:p>
    <w:p>
      <w:pPr>
        <w:spacing w:after="0" w:line="2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As required by the Dodd-Frank Act, the Federal Reserve Board and FDIC have jointly issued a final rule that requires certain organizations, including bank holding companies with consolidated assets of $50 billion or more,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final rule sets specific standards for the resolution plans, including requiring a strategic analysis of the plan’s components, a description of the range of specific actions the company proposes to take in resolution,</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and a description of the company’s organizational structure, material entities, interconnections and interdependencies, and management information systems, among other elements. The initial plan of M&amp;T is due on December 31, 2013.</w:t>
      </w:r>
    </w:p>
    <w:p>
      <w:pPr>
        <w:ind w:right="20" w:firstLine="685"/>
        <w:spacing w:after="0" w:line="288" w:lineRule="auto"/>
        <w:rPr>
          <w:sz w:val="20"/>
          <w:szCs w:val="20"/>
          <w:color w:val="auto"/>
        </w:rPr>
      </w:pPr>
      <w:r>
        <w:rPr>
          <w:rFonts w:ascii="Arial" w:cs="Arial" w:eastAsia="Arial" w:hAnsi="Arial"/>
          <w:sz w:val="16"/>
          <w:szCs w:val="16"/>
          <w:color w:val="auto"/>
        </w:rPr>
        <w:t>In addition, the FDIC has issued a final rule that requires insured depository institutions with $50 billion or more in total assets, such as M&amp;T Bank, to submit to the FDIC periodic plans for resolution in the event of the institution’s failure. The rule requires these insured institutions to submit a resolution plan that will enable the FDIC, as receiver, to resolve the bank in a manner that ensures that depositors receive access to their insured deposits within one business day of the institution’s failure, maximizes the net-present-value return from the sale or disposition of its assets, and minimizes the amount of any loss to be realized by the institution’s creditors. The final rule also sets specific standards for the resolution plans, including requiring a strategic analysis of the plan’s components, a description of the strategies for achieving the least costly resolution, and analyses of the financial company’s organization, material entities, interconnections and interdependencies, and management information systems, among other elements. The initial plan of M&amp;T Bank is due on December 31,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of an Insured Depository Institution or a Bank Holding Company</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If the FDIC is appointed as conservator or receiver for an insured depository institution such as M&amp;T Bank or Wilmington Trust, N.A., upon its insolvency or in certain other events, the FDIC has the power:</w:t>
      </w:r>
    </w:p>
    <w:p>
      <w:pPr>
        <w:spacing w:after="0" w:line="1" w:lineRule="exact"/>
        <w:rPr>
          <w:sz w:val="20"/>
          <w:szCs w:val="20"/>
          <w:color w:val="auto"/>
        </w:rPr>
      </w:pPr>
    </w:p>
    <w:p>
      <w:pPr>
        <w:ind w:left="700" w:right="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transfer any of the depository institution’s assets and liabilities to a new obligor, including a newly formed “bridge” bank without the approval of the depository institution’s creditors;</w:t>
      </w:r>
    </w:p>
    <w:p>
      <w:pPr>
        <w:ind w:left="700" w:right="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enforce the terms of the depository institution’s contracts pursuant to their terms without regard to any provisions triggered by the appointment of the FDIC in that capacity; or</w:t>
      </w:r>
    </w:p>
    <w:p>
      <w:pPr>
        <w:ind w:left="700" w:right="18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58"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 new resolution regime (known as “orderly liquidation authority”) for systemically important non-bank financial companies, including bank holding companies and their affiliates. Under the orderly liquidation authority, the FDIC may be appointed as receiver for the systemically important institution, and its failed non-bank subsidiaries, for purposes of liquidating the entity if, among other conditions, it is determined at the time of the institution’s failure that it is in default or in danger of default and the failure poses a risk to the stability of the U.S. financial system.</w:t>
      </w:r>
    </w:p>
    <w:p>
      <w:pPr>
        <w:spacing w:after="0" w:line="6"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 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 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5"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The orderly liquidation authority provisions of the Dodd-Frank Act became effective upon enactment. However, a number of rulemakings are required under the terms of Dodd-Frank, and a number of provisions of the new authority require clarification. The FDIC has completed its initial phase of rulemaking under the orderly liquidation authority, but additional rules are under consideration.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56" w:lineRule="auto"/>
        <w:rPr>
          <w:sz w:val="20"/>
          <w:szCs w:val="20"/>
          <w:color w:val="auto"/>
        </w:rPr>
      </w:pPr>
      <w:r>
        <w:rPr>
          <w:rFonts w:ascii="Arial" w:cs="Arial" w:eastAsia="Arial" w:hAnsi="Arial"/>
          <w:sz w:val="18"/>
          <w:szCs w:val="18"/>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 Preference</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BHC, with respect to any extensions of credit they have made to such insured depository institution.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2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Protection Laws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4" w:lineRule="exact"/>
        <w:rPr>
          <w:sz w:val="20"/>
          <w:szCs w:val="20"/>
          <w:color w:val="auto"/>
        </w:rPr>
      </w:pPr>
    </w:p>
    <w:p>
      <w:pPr>
        <w:ind w:right="60" w:firstLine="685"/>
        <w:spacing w:after="0" w:line="290" w:lineRule="auto"/>
        <w:rPr>
          <w:sz w:val="20"/>
          <w:szCs w:val="20"/>
          <w:color w:val="auto"/>
        </w:rPr>
      </w:pPr>
      <w:r>
        <w:rPr>
          <w:rFonts w:ascii="Arial" w:cs="Arial" w:eastAsia="Arial" w:hAnsi="Arial"/>
          <w:sz w:val="16"/>
          <w:szCs w:val="16"/>
          <w:color w:val="auto"/>
        </w:rPr>
        <w:t>Since July 1, 2010, a federal banking rule under the Electronic Fund Transfer Act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Protection Bureau Supervision</w:t>
      </w:r>
    </w:p>
    <w:p>
      <w:pPr>
        <w:spacing w:after="0" w:line="2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In July 2011, M&amp;T Bank and Wilmington Trust, N.A. were notified that they will be supervised by the CFPB for certain consumer protection purposes. The CFPB will focus on:</w:t>
      </w:r>
    </w:p>
    <w:p>
      <w:pPr>
        <w:ind w:left="460"/>
        <w:spacing w:after="0" w:line="187"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risks to consumers and compliance with the federal consumer financial laws, when it evaluates the policies and practices of a financial institution;</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the markets in which firms operate and risks to consumers posed by activities in those markets;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that offer a wide variety of consumer financial products and services;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with a more specialized focus;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non-depository companies that offer one or more consumer financial products or services.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Sarbanes-Oxley Act of 2002 implemented a broad range of corporate governance, accounting and reporting measures for companies that have securities registered under the Exchange Act, including publicly-held bank holding companies such as M&amp;T. Specifically, the Sarbanes-Oxley Act of 2002 and the various regulations promulgated thereunder, established, among other things: (i) requirements for audit committees, including independence, expertise, and responsibilities; (ii) responsibilities regarding financial statements for the Chief Executive Officer and Chief Financial Officer of the reporting company; (iii) the forfeiture of bonuses or other incentive-based compensation and profits from the sale of the reporting company’s securities by the Chief Executive Officer and Chief Financial Officer in the twelve-month period following the initial publication of any financial statements that later require restatement; (iv) the creation of an independent accounting oversight board; (v) standards for auditors and regulation of audits, including independence provisions that restrict non-audit services that accountants may provide to their audit clients; (vi) disclosure and reporting obligations for the reporting company and their directors and executive officers, including accelerated reporting of stock transactions and a prohibition on trading during pension blackout periods; (vii) a prohibition on personal loans to directors and officers, except certain loans made by insured financial institutions on nonpreferential terms and in compliance with other bank regulatory requirements; and (viii) a range of civil and criminal penalties for fraud and other violations of the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Reinvestment Act</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M&amp;T Bank and Wilmington Trust, N.A. are subject to the provisions of the CRA. 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Currently, M&amp;T Bank has a CRA rating of “Outstanding” and Wilmington Trust, N.A. has a CRA rating of “Satisfactory.” In the case of a BHC applying for approval to acquire a bank or BHC, the Federal Reserve Board will assess the record of each subsidiary bank of the applicant BHC in considering the application, and such records may be the basis for denying the application. The Banking Law contains provisions similar to the CRA which are applicable to New York-chartered banks. Currently, M&amp;T Bank has a CRA rating of “Outstanding” as determined by the New York State Department of Financial Services.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 Patriot Act</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Uniting and Strengthening America by Providing Appropriate Tools Required to Intercept and Obstruct Terrorism Act of 2001 (the “USA Patriot Act”) imposes obligations on U.S. financial institutions, including banks and broker/dealer subsidiaries, to implement and maintain appropriate policies, procedures and controls which are reasonably designed to prevent, detect and report instances of money laundering and the financing of terrorism and to verify the identity of their customers. In addition, provisions of the USA Patriot Act require the federal financial institution regulatory agencies to consider the effectiveness of a financial institution’s anti-money laundering activities when reviewing bank mergers and BHC acquisitions. Failure of a financial institution to maintain and implement adequate programs to combat money laundering and terrorist financing could have serious legal and reputational consequences for the institution. The Registrant and its impacted subsidiaries have approved policies and procedures that are believed to be compliant with the USA Patriot Act.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Foreign Assets Control Regulation</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Insurers and Insurance Brokers</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operations in the areas of insurance brokerage and reinsurance of credit life insurance are subject to regulation and supervision by various state insurance regulatory authorities.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Certain of M&amp;T’s insurance company subsidiaries are subject to extensive regulatory supervision and to insurance laws and regulations requiring, among other things, maintenance of capital, record keeping, reporting and examinations.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w:t>
      </w:r>
    </w:p>
    <w:p>
      <w:pPr>
        <w:spacing w:after="0" w:line="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the Interstate Banking Act and the Banking Law have allowed for increased competition among diversified financial services providers.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Legislative and Regulatory Initiatives</w:t>
      </w:r>
    </w:p>
    <w:p>
      <w:pPr>
        <w:spacing w:after="0" w:line="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Proposals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Registrant in substantial and unpredictable ways. If enacted, such legislation could increase or decrease the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cost of doing business, limit or expand permissible activities or affect the competitive balance among banks, savings associations, credit unions, and other financial institutions. M&amp;T cannot predict whether any such legislation will be enacted, and, if enacted, the effect that it, or any implementing regulations, would have on the financial condition or results of operations of the Registrant. A change in statutes, regulations or regulatory policies applicable to M&amp;T or any of its subsidiaries could have a material effect on the business of the Registrant.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 Copies of such reports and other information are also available at no charge to any person who requests them or at www.sec.gov. Such requests may be directed to M&amp;T Bank Corporation, Shareholder Relations Department, One M&amp;T Plaza, 13th Floor, Buffalo, NY 14203-2399 (Telephone: (716) 842-5138).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and Risk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M&amp;T Bank Corporation, Shareholder Relations Department, One M&amp;T Plaza, 13th Floor, Buffalo, NY 14203-2399 (Telephone: (716) 842-5138).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Pursuant to Guide 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 cross-reference sheet for disclosures incorporated elsewhere in this Annual Report on Form 10-K. Additional information is included in the following tables.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Table 1</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340" w:type="dxa"/>
            <w:vAlign w:val="bottom"/>
            <w:gridSpan w:val="12"/>
          </w:tcPr>
          <w:p>
            <w:pPr>
              <w:jc w:val="right"/>
              <w:ind w:right="960"/>
              <w:spacing w:after="0"/>
              <w:rPr>
                <w:sz w:val="20"/>
                <w:szCs w:val="20"/>
                <w:color w:val="auto"/>
              </w:rPr>
            </w:pPr>
            <w:r>
              <w:rPr>
                <w:rFonts w:ascii="Arial" w:cs="Arial" w:eastAsia="Arial" w:hAnsi="Arial"/>
                <w:sz w:val="18"/>
                <w:szCs w:val="18"/>
                <w:b w:val="1"/>
                <w:bCs w:val="1"/>
                <w:color w:val="auto"/>
                <w:w w:val="97"/>
              </w:rPr>
              <w:t>SELECTED CONSOLIDATED YEAR-END BALANCES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129,945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154,960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133,335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10,284</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Federal funds sold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20,119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21,347</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Resell agreements</w:t>
            </w:r>
          </w:p>
        </w:tc>
        <w:tc>
          <w:tcPr>
            <w:tcW w:w="1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Trading account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488,966</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561,834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523,834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386,984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617,821</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U.S. Treasury and federal agencies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4,007,725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5,200,489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4,177,783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4,006,968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3,909,493</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9"/>
              </w:rPr>
              <w:t>Obligations of states and political subdivisions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203,004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266,748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135,585</w:t>
            </w: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1,863,632</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2,243,716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2,721,213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3,506,893</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3,874,129</w:t>
            </w:r>
          </w:p>
        </w:tc>
        <w:tc>
          <w:tcPr>
            <w:tcW w:w="100" w:type="dxa"/>
            <w:vAlign w:val="bottom"/>
          </w:tcPr>
          <w:p>
            <w:pPr>
              <w:spacing w:after="0"/>
              <w:rPr>
                <w:sz w:val="19"/>
                <w:szCs w:val="19"/>
                <w:color w:val="auto"/>
              </w:rPr>
            </w:pP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 securities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6,074,361</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7,673,154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7,150,540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7,780,609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7,919,207</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Loans and leases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17,973,140</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15,952,105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13,645,600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13,790,737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14,563,091</w:t>
            </w: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Real estate — construction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3,772,413</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4,203,324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4,332,618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4,726,570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4,568,368</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33,494,359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28,202,217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22,854,160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21,747,533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19,224,003</w:t>
            </w: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Consumer</w:t>
            </w:r>
          </w:p>
        </w:tc>
        <w:tc>
          <w:tcPr>
            <w:tcW w:w="11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11,550,274</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12,020,229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11,483,564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12,041,617</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11,004,275</w:t>
            </w: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loans and leases</w:t>
            </w:r>
          </w:p>
        </w:tc>
        <w:tc>
          <w:tcPr>
            <w:tcW w:w="1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66,790,186</w:t>
            </w: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60,377,875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52,315,942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52,306,457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49,359,737</w:t>
            </w:r>
          </w:p>
        </w:tc>
        <w:tc>
          <w:tcPr>
            <w:tcW w:w="10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Unearned discount</w:t>
            </w:r>
          </w:p>
        </w:tc>
        <w:tc>
          <w:tcPr>
            <w:tcW w:w="118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(219,229)</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(281,870)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(325,560)</w:t>
            </w:r>
          </w:p>
        </w:tc>
        <w:tc>
          <w:tcPr>
            <w:tcW w:w="320" w:type="dxa"/>
            <w:vAlign w:val="bottom"/>
          </w:tcPr>
          <w:p>
            <w:pPr>
              <w:spacing w:after="0"/>
              <w:rPr>
                <w:sz w:val="19"/>
                <w:szCs w:val="19"/>
                <w:color w:val="auto"/>
              </w:rPr>
            </w:pPr>
          </w:p>
        </w:tc>
        <w:tc>
          <w:tcPr>
            <w:tcW w:w="1500" w:type="dxa"/>
            <w:vAlign w:val="bottom"/>
            <w:gridSpan w:val="5"/>
          </w:tcPr>
          <w:p>
            <w:pPr>
              <w:jc w:val="right"/>
              <w:ind w:right="337"/>
              <w:spacing w:after="0"/>
              <w:rPr>
                <w:sz w:val="20"/>
                <w:szCs w:val="20"/>
                <w:color w:val="auto"/>
              </w:rPr>
            </w:pPr>
            <w:r>
              <w:rPr>
                <w:rFonts w:ascii="Arial" w:cs="Arial" w:eastAsia="Arial" w:hAnsi="Arial"/>
                <w:sz w:val="18"/>
                <w:szCs w:val="18"/>
                <w:color w:val="auto"/>
              </w:rPr>
              <w:t>(369,771)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(359,274)</w:t>
            </w: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7"/>
              </w:rPr>
              <w:t>Loans and leases, net of unearned discount</w:t>
            </w:r>
          </w:p>
        </w:tc>
        <w:tc>
          <w:tcPr>
            <w:tcW w:w="1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66,570,957</w:t>
            </w: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60,096,005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51,990,382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51,936,686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49,000,463</w:t>
            </w:r>
          </w:p>
        </w:tc>
        <w:tc>
          <w:tcPr>
            <w:tcW w:w="10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Allowance for credit losses</w:t>
            </w:r>
          </w:p>
        </w:tc>
        <w:tc>
          <w:tcPr>
            <w:tcW w:w="118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(925,860)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(908,290)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(902,941)</w:t>
            </w:r>
          </w:p>
        </w:tc>
        <w:tc>
          <w:tcPr>
            <w:tcW w:w="320" w:type="dxa"/>
            <w:vAlign w:val="bottom"/>
          </w:tcPr>
          <w:p>
            <w:pPr>
              <w:spacing w:after="0"/>
              <w:rPr>
                <w:sz w:val="19"/>
                <w:szCs w:val="19"/>
                <w:color w:val="auto"/>
              </w:rPr>
            </w:pPr>
          </w:p>
        </w:tc>
        <w:tc>
          <w:tcPr>
            <w:tcW w:w="1500" w:type="dxa"/>
            <w:vAlign w:val="bottom"/>
            <w:gridSpan w:val="5"/>
          </w:tcPr>
          <w:p>
            <w:pPr>
              <w:jc w:val="right"/>
              <w:ind w:right="337"/>
              <w:spacing w:after="0"/>
              <w:rPr>
                <w:sz w:val="20"/>
                <w:szCs w:val="20"/>
                <w:color w:val="auto"/>
              </w:rPr>
            </w:pPr>
            <w:r>
              <w:rPr>
                <w:rFonts w:ascii="Arial" w:cs="Arial" w:eastAsia="Arial" w:hAnsi="Arial"/>
                <w:sz w:val="18"/>
                <w:szCs w:val="18"/>
                <w:color w:val="auto"/>
              </w:rPr>
              <w:t>(878,022)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(787,904)</w:t>
            </w: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and leases, net</w:t>
            </w:r>
          </w:p>
        </w:tc>
        <w:tc>
          <w:tcPr>
            <w:tcW w:w="1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65,645,097</w:t>
            </w: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59,187,715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51,087,441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51,058,664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48,212,559</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3,524,625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3,524,625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3,524,625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3,524,625</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3,192,128</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115,763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182,418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183,496</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Real estate and other assets owned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104,279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156,592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220,049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94,604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99,617</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83,008,803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77,924,287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68,021,263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68,880,399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65,815,757</w:t>
            </w:r>
          </w:p>
        </w:tc>
      </w:tr>
      <w:tr>
        <w:trPr>
          <w:trHeight w:val="322"/>
        </w:trPr>
        <w:tc>
          <w:tcPr>
            <w:tcW w:w="3520" w:type="dxa"/>
            <w:vAlign w:val="bottom"/>
            <w:gridSpan w:val="2"/>
          </w:tcPr>
          <w:p>
            <w:pPr>
              <w:spacing w:after="0"/>
              <w:rPr>
                <w:sz w:val="20"/>
                <w:szCs w:val="20"/>
                <w:color w:val="auto"/>
              </w:rPr>
            </w:pPr>
            <w:r>
              <w:rPr>
                <w:rFonts w:ascii="Arial" w:cs="Arial" w:eastAsia="Arial" w:hAnsi="Arial"/>
                <w:sz w:val="18"/>
                <w:szCs w:val="18"/>
                <w:color w:val="auto"/>
              </w:rPr>
              <w:t>Noninterest-bearing deposits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24,240,802</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20,017,883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14,557,568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13,794,636</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8,856,114</w:t>
            </w:r>
          </w:p>
        </w:tc>
      </w:tr>
      <w:tr>
        <w:trPr>
          <w:trHeight w:val="218"/>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1,979,619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1,393,349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1,396,471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1,141,308</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33,783,947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31,001,083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26,431,281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23,676,798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19,488,918</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4,562,366</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6,107,530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5,817,170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7,531,495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9,046,937</w:t>
            </w: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Deposits at Cayman Islands office</w:t>
            </w:r>
          </w:p>
        </w:tc>
        <w:tc>
          <w:tcPr>
            <w:tcW w:w="1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1,044,519</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1,605,916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1,050,438</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4,047,986</w:t>
            </w:r>
          </w:p>
        </w:tc>
        <w:tc>
          <w:tcPr>
            <w:tcW w:w="100" w:type="dxa"/>
            <w:vAlign w:val="bottom"/>
          </w:tcPr>
          <w:p>
            <w:pPr>
              <w:spacing w:after="0"/>
              <w:rPr>
                <w:sz w:val="19"/>
                <w:szCs w:val="19"/>
                <w:color w:val="auto"/>
              </w:rPr>
            </w:pP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deposits</w:t>
            </w:r>
          </w:p>
        </w:tc>
        <w:tc>
          <w:tcPr>
            <w:tcW w:w="2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65,611,253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59,394,649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49,805,284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47,449,838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42,581,263</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1,074,482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782,082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947,432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2,442,582</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3,009,735</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4,607,758</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6,686,226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7,840,151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10,240,016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12,075,149</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72,806,210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68,653,078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59,663,568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61,127,492</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59,031,026</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10,202,593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9,271,209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8,357,695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7,752,907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6,784,731</w:t>
            </w:r>
          </w:p>
        </w:tc>
      </w:tr>
      <w:tr>
        <w:trPr>
          <w:trHeight w:val="376"/>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Table 2</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140" w:type="dxa"/>
            <w:vAlign w:val="bottom"/>
            <w:gridSpan w:val="8"/>
          </w:tcPr>
          <w:p>
            <w:pPr>
              <w:jc w:val="right"/>
              <w:spacing w:after="0"/>
              <w:rPr>
                <w:sz w:val="20"/>
                <w:szCs w:val="20"/>
                <w:color w:val="auto"/>
              </w:rPr>
            </w:pPr>
            <w:r>
              <w:rPr>
                <w:rFonts w:ascii="Arial" w:cs="Arial" w:eastAsia="Arial" w:hAnsi="Arial"/>
                <w:sz w:val="18"/>
                <w:szCs w:val="18"/>
                <w:b w:val="1"/>
                <w:bCs w:val="1"/>
                <w:color w:val="auto"/>
              </w:rPr>
              <w:t>SHAREHOLDERS, EMPLOYEES AND OFFICES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Number at Year-End</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3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w:t>
            </w: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15,623</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15,959</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12,773</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13,207</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11,197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14,943</w:t>
            </w: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15,666</w:t>
            </w:r>
          </w:p>
        </w:tc>
        <w:tc>
          <w:tcPr>
            <w:tcW w:w="900" w:type="dxa"/>
            <w:vAlign w:val="bottom"/>
            <w:gridSpan w:val="3"/>
          </w:tcPr>
          <w:p>
            <w:pPr>
              <w:jc w:val="right"/>
              <w:ind w:right="232"/>
              <w:spacing w:after="0"/>
              <w:rPr>
                <w:sz w:val="20"/>
                <w:szCs w:val="20"/>
                <w:color w:val="auto"/>
              </w:rPr>
            </w:pPr>
            <w:r>
              <w:rPr>
                <w:rFonts w:ascii="Arial" w:cs="Arial" w:eastAsia="Arial" w:hAnsi="Arial"/>
                <w:sz w:val="18"/>
                <w:szCs w:val="18"/>
                <w:color w:val="auto"/>
              </w:rPr>
              <w:t>13,365</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14,226</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13,620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Offices</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849</w:t>
            </w:r>
          </w:p>
        </w:tc>
        <w:tc>
          <w:tcPr>
            <w:tcW w:w="90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10"/>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EARNINGS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2,704,156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2,522,567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2,394,082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2,326,748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2,825,587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Resell agreements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Trading account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Fully taxable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227,116</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256,057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324,695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389,268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Exempt from federal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2,941,685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2,792,087</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2,729,795</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2,725,197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3,277,591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112,550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46,102</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71,014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100,241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206,220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271,578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340,037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343,169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402,331</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462,269</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669,449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1,337,795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2,598,516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2,389,756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2,267,526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2,055,748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1,939,796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368,000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604,000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2,394,516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2,119,756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1,899,526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1,451,748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1,527,796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349,064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207,561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446,698</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455,095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478,133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469,195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Trust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471,852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128,568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59,059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49,669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57,611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and foreign exchange gains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Gain on bank investment securities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150,187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other-than-temporary impairment (“OTTI”) losses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(115,947)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(264,363)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8"/>
              </w:rPr>
              <w:t>Portion of OTTI losses recognized in other comprehensive income (before taxes)</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(15,755)</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29,666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126,066</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(86,281)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(138,297)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Equity in earnings of Bayview Lending Group LLC</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(21,511)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(25,768)</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(25,898)</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from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496,796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355,053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325,076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1,667,270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1,582,912</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1,108,100</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1,048,106</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938,979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1,314,540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1,203,993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999,709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1,001,873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249,514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216,064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211,391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41,929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40,917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33,847</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38,216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64,255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FDIC assessments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101,110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100,230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79,324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96,519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821,797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527,790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568,309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2,509,260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2,478,068</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1,914,837</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1,980,563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1,726,996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1,224,600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1,092,789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519,291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523,028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365,121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356,628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139,400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1,029,498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859,479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Preferred</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53,450</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40,225</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31,946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6380" w:type="dxa"/>
            <w:vAlign w:val="bottom"/>
            <w:gridSpan w:val="2"/>
          </w:tcPr>
          <w:p>
            <w:pPr>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20"/>
                <w:szCs w:val="20"/>
                <w:color w:val="auto"/>
              </w:rPr>
            </w:pPr>
            <w:r>
              <w:rPr>
                <w:rFonts w:ascii="Arial" w:cs="Arial" w:eastAsia="Arial" w:hAnsi="Arial"/>
                <w:sz w:val="18"/>
                <w:szCs w:val="18"/>
                <w:b w:val="1"/>
                <w:bCs w:val="1"/>
                <w:color w:val="auto"/>
              </w:rPr>
              <w:t>Table 4</w:t>
            </w: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59"/>
        </w:trPr>
        <w:tc>
          <w:tcPr>
            <w:tcW w:w="4060" w:type="dxa"/>
            <w:vAlign w:val="bottom"/>
          </w:tcPr>
          <w:p>
            <w:pPr>
              <w:spacing w:after="0"/>
              <w:rPr>
                <w:sz w:val="24"/>
                <w:szCs w:val="24"/>
                <w:color w:val="auto"/>
              </w:rPr>
            </w:pPr>
          </w:p>
        </w:tc>
        <w:tc>
          <w:tcPr>
            <w:tcW w:w="422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COMMON SHAREHOLDER DATA</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4060" w:type="dxa"/>
            <w:vAlign w:val="bottom"/>
          </w:tcPr>
          <w:p>
            <w:pPr>
              <w:spacing w:after="0"/>
              <w:rPr>
                <w:sz w:val="24"/>
                <w:szCs w:val="24"/>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r>
      <w:tr>
        <w:trPr>
          <w:trHeight w:val="198"/>
        </w:trPr>
        <w:tc>
          <w:tcPr>
            <w:tcW w:w="40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Per share</w:t>
            </w:r>
          </w:p>
        </w:tc>
        <w:tc>
          <w:tcPr>
            <w:tcW w:w="1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$ 7.57</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$ 6.37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$ 5.72</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$ 2.90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$ 5.04</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6.35</w:t>
            </w:r>
          </w:p>
        </w:tc>
        <w:tc>
          <w:tcPr>
            <w:tcW w:w="500" w:type="dxa"/>
            <w:vAlign w:val="bottom"/>
          </w:tcPr>
          <w:p>
            <w:pPr>
              <w:jc w:val="right"/>
              <w:spacing w:after="0"/>
              <w:rPr>
                <w:sz w:val="20"/>
                <w:szCs w:val="20"/>
                <w:color w:val="auto"/>
              </w:rPr>
            </w:pPr>
            <w:r>
              <w:rPr>
                <w:rFonts w:ascii="Arial" w:cs="Arial" w:eastAsia="Arial" w:hAnsi="Arial"/>
                <w:sz w:val="18"/>
                <w:szCs w:val="18"/>
                <w:color w:val="auto"/>
              </w:rPr>
              <w:t>5.69</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2.89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5.01</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declared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Common shareholders’ equity at year-end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72.73</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66.82</w:t>
            </w:r>
          </w:p>
        </w:tc>
        <w:tc>
          <w:tcPr>
            <w:tcW w:w="500" w:type="dxa"/>
            <w:vAlign w:val="bottom"/>
          </w:tcPr>
          <w:p>
            <w:pPr>
              <w:jc w:val="right"/>
              <w:spacing w:after="0"/>
              <w:rPr>
                <w:sz w:val="20"/>
                <w:szCs w:val="20"/>
                <w:color w:val="auto"/>
              </w:rPr>
            </w:pPr>
            <w:r>
              <w:rPr>
                <w:rFonts w:ascii="Arial" w:cs="Arial" w:eastAsia="Arial" w:hAnsi="Arial"/>
                <w:sz w:val="18"/>
                <w:szCs w:val="18"/>
                <w:color w:val="auto"/>
              </w:rPr>
              <w:t>63.54</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59.31</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56.29</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Tangible common shareholders’ equity at year-end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37.79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28.27</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25.94</w:t>
            </w: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Dividend payout ratio</w:t>
            </w:r>
          </w:p>
        </w:tc>
        <w:tc>
          <w:tcPr>
            <w:tcW w:w="2720" w:type="dxa"/>
            <w:vAlign w:val="bottom"/>
            <w:gridSpan w:val="3"/>
          </w:tcPr>
          <w:p>
            <w:pPr>
              <w:jc w:val="right"/>
              <w:ind w:right="280"/>
              <w:spacing w:after="0"/>
              <w:rPr>
                <w:sz w:val="20"/>
                <w:szCs w:val="20"/>
                <w:color w:val="auto"/>
              </w:rPr>
            </w:pPr>
            <w:r>
              <w:rPr>
                <w:rFonts w:ascii="Arial" w:cs="Arial" w:eastAsia="Arial" w:hAnsi="Arial"/>
                <w:sz w:val="18"/>
                <w:szCs w:val="18"/>
                <w:color w:val="auto"/>
              </w:rPr>
              <w:t>36.98%</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44.15%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48.98%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97.36%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55.62%</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Table 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00" w:type="dxa"/>
            <w:vAlign w:val="bottom"/>
          </w:tcPr>
          <w:p>
            <w:pPr>
              <w:spacing w:after="0"/>
              <w:rPr>
                <w:sz w:val="24"/>
                <w:szCs w:val="24"/>
                <w:color w:val="auto"/>
              </w:rPr>
            </w:pPr>
          </w:p>
        </w:tc>
        <w:tc>
          <w:tcPr>
            <w:tcW w:w="724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CHANGES IN INTEREST INCOME AND EXPENSE(a)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2012 Compared with 2011</w:t>
            </w:r>
          </w:p>
        </w:tc>
        <w:tc>
          <w:tcPr>
            <w:tcW w:w="100" w:type="dxa"/>
            <w:vAlign w:val="bottom"/>
          </w:tcPr>
          <w:p>
            <w:pPr>
              <w:spacing w:after="0"/>
              <w:rPr>
                <w:sz w:val="24"/>
                <w:szCs w:val="2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7"/>
              </w:rPr>
              <w:t>2011 Compared with 2010</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right"/>
              <w:ind w:right="172"/>
              <w:spacing w:after="0" w:line="197" w:lineRule="exact"/>
              <w:rPr>
                <w:sz w:val="20"/>
                <w:szCs w:val="20"/>
                <w:color w:val="auto"/>
              </w:rPr>
            </w:pPr>
            <w:r>
              <w:rPr>
                <w:rFonts w:ascii="Arial" w:cs="Arial" w:eastAsia="Arial" w:hAnsi="Arial"/>
                <w:sz w:val="18"/>
                <w:szCs w:val="18"/>
                <w:b w:val="1"/>
                <w:bCs w:val="1"/>
                <w:color w:val="auto"/>
              </w:rPr>
              <w:t>Resulting from</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132"/>
              <w:spacing w:after="0" w:line="197" w:lineRule="exact"/>
              <w:rPr>
                <w:sz w:val="20"/>
                <w:szCs w:val="20"/>
                <w:color w:val="auto"/>
              </w:rPr>
            </w:pPr>
            <w:r>
              <w:rPr>
                <w:rFonts w:ascii="Arial" w:cs="Arial" w:eastAsia="Arial" w:hAnsi="Arial"/>
                <w:sz w:val="18"/>
                <w:szCs w:val="18"/>
                <w:b w:val="1"/>
                <w:bCs w:val="1"/>
                <w:color w:val="auto"/>
              </w:rPr>
              <w:t>Resulting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Total</w:t>
            </w:r>
          </w:p>
        </w:tc>
        <w:tc>
          <w:tcPr>
            <w:tcW w:w="19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Changes in:</w:t>
            </w:r>
          </w:p>
        </w:tc>
        <w:tc>
          <w:tcPr>
            <w:tcW w:w="10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Total</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Changes in:</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w w:val="90"/>
              </w:rPr>
              <w:t>Change</w:t>
            </w: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Volume</w:t>
            </w:r>
          </w:p>
        </w:tc>
        <w:tc>
          <w:tcPr>
            <w:tcW w:w="7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Rate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3"/>
              </w:rPr>
              <w:t>Change</w:t>
            </w: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Volume</w:t>
            </w: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7"/>
          </w:tcPr>
          <w:p>
            <w:pPr>
              <w:jc w:val="right"/>
              <w:ind w:right="692"/>
              <w:spacing w:after="0"/>
              <w:rPr>
                <w:sz w:val="20"/>
                <w:szCs w:val="20"/>
                <w:color w:val="auto"/>
              </w:rPr>
            </w:pPr>
            <w:r>
              <w:rPr>
                <w:rFonts w:ascii="Arial" w:cs="Arial" w:eastAsia="Arial" w:hAnsi="Arial"/>
                <w:sz w:val="18"/>
                <w:szCs w:val="18"/>
                <w:b w:val="1"/>
                <w:bCs w:val="1"/>
                <w:color w:val="auto"/>
              </w:rPr>
              <w:t>(Increase (decrease) 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182,621</w:t>
            </w:r>
          </w:p>
        </w:tc>
        <w:tc>
          <w:tcPr>
            <w:tcW w:w="3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w w:val="92"/>
              </w:rPr>
              <w:t>286,590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(103,969)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130,831</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221,381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(90,550)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(1,713)</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(1,499)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2,846</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2,444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(346)</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(257)</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(4,839)</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13,157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(36,338)</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(12,927)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(23,411)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(2,066)</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(1,312)</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(1,403)</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(1,244)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(23,705)</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(16,104)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(32,156)</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(23,759)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150,113</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64,145</w:t>
            </w: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134</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(16,303)</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8,292</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(24,595)</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(912)</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13,025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(13,937)</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(24,912)</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(11,097)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(29,227)</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(27,669)</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(256)</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(228)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(1,976)</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(18,569)</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w w:val="98"/>
              </w:rPr>
              <w:t>(54,973)</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36,404</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(27,712)</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(72,152)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(59,162)</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(59,938)</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40" w:hanging="452"/>
        <w:spacing w:after="0" w:line="268"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M&amp;T’s common stock, in particular.</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Weakness in the economy has adversely affected the Company and may continue to adversely affect the Company.</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From late-2007 through mid-2009, the U.S. economy was in recession. Although there has been gradual improvement in the U.S. economy since then, economic growth has been slow and uneven. The housing market remains weak and unemployment levels are high. Local governments and some businesses are in financial difficulty due to lower consumer spending and the lack of liquidity in the credit markets. A slowing of improvement or a return to deteriorating business and economic conditions could have one or more of the following adverse effects on the Company’s business:</w:t>
      </w:r>
    </w:p>
    <w:p>
      <w:pPr>
        <w:ind w:left="460"/>
        <w:spacing w:after="0" w:line="181"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 decrease in the demand for loans and other products and services offered by the Company.</w:t>
      </w:r>
    </w:p>
    <w:p>
      <w:pPr>
        <w:spacing w:after="0" w:line="1" w:lineRule="exact"/>
        <w:rPr>
          <w:sz w:val="20"/>
          <w:szCs w:val="20"/>
          <w:color w:val="auto"/>
        </w:rPr>
      </w:pP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net interest income derived from the Company’s lending and deposit gathering activities.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the value of the Company’s investment securities, loans held for sale or other assets secured by residential or commercial real estate.</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Other-than-temporary impairment of investment securities in the Company’s investment securities portfolio.</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fees from the Company’s brokerage and trust businesses associated with declines or lack of growth in stock market prices.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Potential higher FDIC assessments due to the DIF falling below minimum required levels.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An impairment of certain intangible assets, such as goodwill.</w:t>
      </w:r>
    </w:p>
    <w:p>
      <w:pPr>
        <w:ind w:left="700" w:right="140" w:hanging="243"/>
        <w:spacing w:after="0" w:line="222"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An increase in the number of customers and counterparties who become delinquent, file for protection under bankruptcy laws or default on their loans or other obligations to the Company. An increase in the number of delinquencies, bankruptcies or defaults could result in higher levels of nonperforming assets, net charge-offs, provision for credit losses and valuation adjustments on loans held for sale.</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Company’s business and financial performance is impacted significantly by market interest rates and movements in those rates. The monetary, tax and other policies of governmental agencies, including the Federal Reserve, have a significant impact on interest rates and overall financial market performance over which M&amp;T has no control and which M&amp;T may not be able to anticipate adequately</w:t>
      </w:r>
      <w:r>
        <w:rPr>
          <w:rFonts w:ascii="Arial" w:cs="Arial" w:eastAsia="Arial" w:hAnsi="Arial"/>
          <w:sz w:val="18"/>
          <w:szCs w:val="18"/>
          <w:b w:val="1"/>
          <w:bCs w:val="1"/>
          <w:i w:val="1"/>
          <w:iCs w:val="1"/>
          <w:color w:val="auto"/>
        </w:rPr>
        <w:t>.</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high percentage of the Company’s assets and liabilities that are in the form of interest-bearing or interest-related instruments, changes in interest rates, in the shape of the yield curve or in spreads between different market interest rates, can have a material effect on the Company’s business and profitability and the value of the Company’s assets and liabilities. For example:</w:t>
      </w:r>
    </w:p>
    <w:p>
      <w:pPr>
        <w:ind w:left="700" w:right="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Changes in interest rates or interest rate spreads can affect the difference between the interest that the Company earns on assets and the interest that the Company pays on liabilities, which impacts the Company’s overall net interest income and profitability.</w:t>
      </w:r>
    </w:p>
    <w:p>
      <w:pPr>
        <w:ind w:left="700" w:right="6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Such changes can affect the ability of borrowers to meet obligations under variable or adjustable rate loans and other debt instruments, and can, in turn, affect the Company’s loss rates on those assets.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Such changes may decrease the demand for interest rate based products and services, including loans and deposits.</w:t>
      </w:r>
    </w:p>
    <w:p>
      <w:pPr>
        <w:ind w:left="700" w:right="60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Such changes can also affect the Company’s ability to hedge various forms of market and interest rate risk and may decrease the profitability or protection or increase the risk or cost associated with such hedges.</w:t>
      </w:r>
    </w:p>
    <w:p>
      <w:pPr>
        <w:spacing w:after="0" w:line="1" w:lineRule="exact"/>
        <w:rPr>
          <w:sz w:val="20"/>
          <w:szCs w:val="20"/>
          <w:color w:val="auto"/>
        </w:rPr>
      </w:pPr>
    </w:p>
    <w:p>
      <w:pPr>
        <w:ind w:left="700" w:right="2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Movements in interest rates also affect mortgage prepayment speeds and could result in the impairment of capitalized mortgage servicing assets, reduce the value of loans held for sale and increase the volatility of mortgage banking revenues, potentially adversely affecting the Company’s results of operations.</w:t>
      </w:r>
    </w:p>
    <w:p>
      <w:pPr>
        <w:spacing w:after="0" w:line="77" w:lineRule="exact"/>
        <w:rPr>
          <w:sz w:val="20"/>
          <w:szCs w:val="20"/>
          <w:color w:val="auto"/>
        </w:rPr>
      </w:pPr>
    </w:p>
    <w:p>
      <w:pPr>
        <w:ind w:right="140" w:firstLine="685"/>
        <w:spacing w:after="0" w:line="289" w:lineRule="auto"/>
        <w:rPr>
          <w:sz w:val="20"/>
          <w:szCs w:val="20"/>
          <w:color w:val="auto"/>
        </w:rPr>
      </w:pPr>
      <w:r>
        <w:rPr>
          <w:rFonts w:ascii="Arial" w:cs="Arial" w:eastAsia="Arial" w:hAnsi="Arial"/>
          <w:sz w:val="16"/>
          <w:szCs w:val="16"/>
          <w:color w:val="auto"/>
        </w:rPr>
        <w:t>The monetary, tax and other policies of the government and its agencies, including the Federal Reserve, have a significant impact on interest rates and overall financial market performance. These governmental policies can thus affect the activities and results of operations of banking companies such as the Company. An important function of the Federal Reserve is to regulate the national supply of bank credit and certain interest rates. The actions of the Federal Reserve influence the rates of interest that the Company charges on loans and that the Company pays on borrowings and interest-bearing deposits and can also affect the value of the Company’s on-balance sheet and off-balance sheet financial instruments. Also, due to the impact on rates for short-term funding, the Federal Reserve’s policies also influence, to a significant extent, the Company’s cost of such funding. In addition, the Company is routinely subject to examinations from various governmental taxing authorities. Such examinations may result in challenges to the tax return treatment applied by the Company to specific transactions. Management believes that the assumptions and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M&amp;T cannot predict the nature or timing of future changes in monetary, tax and other policies or the effect that they may have on the Company’s business activities,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business and performance is vulnerable to the impact of volatility in debt and equity markets.</w:t>
      </w:r>
    </w:p>
    <w:p>
      <w:pPr>
        <w:spacing w:after="0" w:line="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most of the Company’s assets and liabilities are financial in nature, the Company’s performance tends to be sensitive to the performance of the financial markets. Turmoil and volatility in U.S. and global financial markets, such as that experienced during the recent financial crisis, can be a major contributory factor to overall weak economic conditions, leading to some of the risks discussed herein, including the impaired ability of borrowers and other counterparties to meet obligations to the Company. Financial market volatility also can have some of the following adverse effects on the Company and its business, including adversely affecting the Company’s financial condition and results of operations: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It can affect the value or liquidity of the Company’s on-balance sheet and off-balance sheet financial instruments.</w:t>
      </w:r>
    </w:p>
    <w:p>
      <w:pPr>
        <w:spacing w:after="0" w:line="1" w:lineRule="exact"/>
        <w:rPr>
          <w:sz w:val="20"/>
          <w:szCs w:val="20"/>
          <w:color w:val="auto"/>
        </w:rPr>
      </w:pP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It can affect the value of capitalized servicing assets.</w:t>
      </w:r>
    </w:p>
    <w:p>
      <w:pPr>
        <w:ind w:left="700" w:right="14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It can affect M&amp;T’s ability to access capital markets to raise funds. Inability to access capital markets if needed, at cost effective rates, could adversely affect the Company’s liquidity and results of operations.</w:t>
      </w:r>
    </w:p>
    <w:p>
      <w:pPr>
        <w:spacing w:after="0" w:line="1" w:lineRule="exact"/>
        <w:rPr>
          <w:sz w:val="20"/>
          <w:szCs w:val="20"/>
          <w:color w:val="auto"/>
        </w:rPr>
      </w:pPr>
    </w:p>
    <w:p>
      <w:pPr>
        <w:ind w:left="700" w:right="32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It can affect the value of the assets that the Company manages or otherwise administers or services for others. Although the Company is not directly impacted by changes in the value of such assets, decreases in the value of those assets would affect related fee income and could result in decreased demand for the Company’s services.</w:t>
      </w:r>
    </w:p>
    <w:p>
      <w:pPr>
        <w:spacing w:after="0" w:line="2" w:lineRule="exact"/>
        <w:rPr>
          <w:sz w:val="20"/>
          <w:szCs w:val="20"/>
          <w:color w:val="auto"/>
        </w:rPr>
      </w:pPr>
    </w:p>
    <w:p>
      <w:pPr>
        <w:ind w:left="460"/>
        <w:spacing w:after="0" w:line="235"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In general, it can impact the nature, profitability or risk profile of the financial transactions in which the Company engages.</w:t>
      </w:r>
    </w:p>
    <w:p>
      <w:pPr>
        <w:spacing w:after="0" w:line="1" w:lineRule="exact"/>
        <w:rPr>
          <w:sz w:val="20"/>
          <w:szCs w:val="20"/>
          <w:color w:val="auto"/>
        </w:rPr>
      </w:pPr>
    </w:p>
    <w:p>
      <w:pPr>
        <w:ind w:right="80" w:firstLine="685"/>
        <w:spacing w:after="0" w:line="252" w:lineRule="auto"/>
        <w:rPr>
          <w:sz w:val="20"/>
          <w:szCs w:val="20"/>
          <w:color w:val="auto"/>
        </w:rPr>
      </w:pPr>
      <w:r>
        <w:rPr>
          <w:rFonts w:ascii="Arial" w:cs="Arial" w:eastAsia="Arial" w:hAnsi="Arial"/>
          <w:sz w:val="18"/>
          <w:szCs w:val="18"/>
          <w:color w:val="auto"/>
        </w:rPr>
        <w:t>Volatility in the markets for real estate and other assets commonly securing financial products has been and may continue to be a significant contributor to overall volatility in financial markets.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regional concentrations expose it to adverse economic conditions in its primary retail banking office footprint.</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Although many of the Company’s businesses are national in scope, its core banking business is concentrated within the Company’s retail banking office network footprint, located principally in New York, Pennsylvania, Maryland, Delaware, Virginia, West Virginia and the District of Columbia. Therefore, the Company is, or in the future may be, particularly vulnerable to adverse changes in economic conditions in the Northeast and Mid-Atlantic regions.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Regulatory Environment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The Company is subject to extensive government regulation and supervision and this regulatory environment is being significantly impacted by the financial regulatory reform initiatives in the United States, including the Dodd-Frank Act and related regulations.</w:t>
      </w:r>
    </w:p>
    <w:p>
      <w:pPr>
        <w:spacing w:after="0" w:line="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is subject to extensive federal and state regulation and supervision. Banking regulations are primarily intended to protect depositors’ funds, federal deposit insurance funds and the financial system as a whole, not security holders. These regulations affect the Company’s lending practices, capital structure, investment practices, dividend policy and growth, among other things. Failure to comply with laws, regulations or policies could result in sanctions by regulatory agencies, civil money penalties and/or reputation damage, which could have a material adverse effect on the Company’s business, financial condition and results of operations.</w:t>
      </w:r>
    </w:p>
    <w:p>
      <w:pPr>
        <w:ind w:right="20" w:firstLine="685"/>
        <w:spacing w:after="0" w:line="295" w:lineRule="auto"/>
        <w:rPr>
          <w:sz w:val="20"/>
          <w:szCs w:val="20"/>
          <w:color w:val="auto"/>
        </w:rPr>
      </w:pPr>
      <w:r>
        <w:rPr>
          <w:rFonts w:ascii="Arial" w:cs="Arial" w:eastAsia="Arial" w:hAnsi="Arial"/>
          <w:sz w:val="16"/>
          <w:szCs w:val="16"/>
          <w:color w:val="auto"/>
        </w:rPr>
        <w:t>The United States government and others have recently undertaken major reforms of the regulatory oversight structure of the financial services industry. M&amp;T expects to face increased regulation of its industry as a result of current and possible future initiatives. M&amp;T also expects more intense scrutiny in the examination process and more aggressive enforcement of regulations on both the federal and state levels. Compliance with these new regulations and supervisory initiatives will likely increase the Company’s costs, reduce its revenue and may limit its ability to pursue certain desirable business opportunities.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Many parts of the Dodd-Frank Act are now in effect, while others depend on rules that are in an implementation stage likely to continue for several years. The law requires that regulators, some of which are new regulatory bodies created by the Dodd-Frank Act, draft, review and approve hundreds of implementing regulations and conduct numerous studies that are likely to lead to more regulations. As such, the ultimate impact of the Dodd-Frank Act on the Company currently cannot be fully predicted. For more information about the Dodd-Frank Act, see “Recent Developments” under Part I, Item I “Business” and “Recent Legislative Developments” under Part II, Item 7 “Management’s Discussion and Analysis of Financial Condition and Results of Operations.” Reforms, both under the Dodd-Frank Act and otherwise, will have a significant effect on the entire financial services industry. Although it is difficult to predict the magnitude and extent of these effects, M&amp;T believes compliance with the Dodd-Frank Act and its implementing regulations and other initiatives will likely negatively impact revenue and increase the cost of doing business, both in terms of transition expenses and on an ongoing basis, and may also limit M&amp;T’s ability to pursue certain desirable business opportunities. Any new regulatory requirements or changes to existing requirements could require changes to the Company’s businesses, result in increased compliance costs and affect the profitability of such businesses. Additionally, reform could affect the behaviors of third parties that the Company deals with in the course of its business, such as rating agencies, insurance companies and investors. Heightened regulatory practices, requirements or expectations resulting from the Dodd-Frank Act and the rules promulgated thereunder could affect the Company in substantial and unpredictable ways, and, in turn, could have a material adverse effect on the Company’s business, financial condition and results of operations.</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Capital requirements imposed by the Dodd-Frank Act, together with new capital and liquidity standards developed through the Basel Committee and adopted by the U.S. banking regulators, will result in banks and bank holding companies needing to maintain more and higher quality capital and greater liquidity than has historically been the case.</w:t>
      </w:r>
    </w:p>
    <w:p>
      <w:pPr>
        <w:spacing w:after="0" w:line="5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New and evolving capital standards, both as a result of the Dodd-Frank Act and implementation in the U.S. of new capital standards adopted by the Basel Committee, including the so-called “Basel III” capital accord, will have a significant effect on banks and bank holding companies, including M&amp;T. Basel III, when implemented by the U.S. bank regulatory agencies as proposed in a joint notice of proposed rulemaking in June 2012 and fully phased-in, will require bank holding companies and their bank subsidiaries to maintain substantially more capital, with a greater emphasis on common equity. For additional information, see “Capital Requirements” under Part I, Item 1 “Business.” Because implementation of the new Basel III capital and liquidity standards in the U.S., as well as any additional heightened capital or liquidity standards that may be established by the Federal Reserve under the Dodd-Frank Act, remain subject to rulemaking in the U.S. and, in many cases, to extended observation and phase-in periods, the full effect of these standards on M&amp;T’s regulatory capital is uncertain at this time.</w:t>
      </w:r>
    </w:p>
    <w:p>
      <w:pPr>
        <w:spacing w:after="0" w:line="5" w:lineRule="exact"/>
        <w:rPr>
          <w:sz w:val="20"/>
          <w:szCs w:val="20"/>
          <w:color w:val="auto"/>
        </w:rPr>
      </w:pPr>
    </w:p>
    <w:p>
      <w:pPr>
        <w:ind w:right="20" w:firstLine="685"/>
        <w:spacing w:after="0" w:line="287" w:lineRule="auto"/>
        <w:rPr>
          <w:sz w:val="20"/>
          <w:szCs w:val="20"/>
          <w:color w:val="auto"/>
        </w:rPr>
      </w:pPr>
      <w:r>
        <w:rPr>
          <w:rFonts w:ascii="Arial" w:cs="Arial" w:eastAsia="Arial" w:hAnsi="Arial"/>
          <w:sz w:val="16"/>
          <w:szCs w:val="16"/>
          <w:color w:val="auto"/>
        </w:rPr>
        <w:t>The need to maintain more and higher quality capital, as well as greater liquidity, going forward than historically has been required, and generally increased regulatory scrutiny with respect to capital levels, could limit the Company’s business activities, including lending, and its ability to expand, either organically or through acquisitions. It could also result in M&amp;T being required to take steps to increase its regulatory capital that may be dilutive to shareholders or limit its ability to pay dividends or otherwise return capital to shareholders, or sell or refrain from acquiring assets, the capital requirements for which are not justified by the assets’ underlying risks. In addition, the new liquidity standards could require the Company to increase its holdings of unencumbered highly liquid short-term investments, thereby reducing the Company’s ability to invest in longer-term assets even if deemed more desirable from a balance sheet management perspective. Moreover, although these new requirements are being phased in over time, U.S. federal banking agencies have been taking into account expectations regarding the ability of banks to meet these new requirements, including under stressed conditions, in approving actions that represent uses of capital, such as dividend increases, share repurchases and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Company’s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credit quality could adversely impact the Company.</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As a lender, the Company is exposed to the risk that customers will be unable to repay their loans in accordance with the terms of the agreements, and that any collateral securing the loans may be insufficient to assure full repayment. Credit losses are inherent in the business of making loans.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2"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Factors that can influence the Company’s credit loss experience include: (i) the impact of residential real estate values on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many other regions of the country; (iv) the repayment performance associated with first and second lien loans secured by residential real estate; and (v) the size of the Company’s portfolio of loans to individual consumers, which historically have experienced higher net charge-offs as a percentage of loans outstanding than loans to other types of borrowers. In recent years, the Company has experienced historically high levels of nonaccrual loans and net charge-offs of residential real estate-related loans, including first and junior lien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governmental policy regarding housing and housing finance and general economic conditions affecting consumers.</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maintains an allowance for credit losses which represents, in management’s judgment, the amount of losses inherent in the loan and lease portfolio.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acquired loans are also considered in the establishment of the allowance for credit losses.</w:t>
      </w:r>
    </w:p>
    <w:p>
      <w:pPr>
        <w:spacing w:after="0" w:line="3"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M&amp;T believes that the allowance for credit losses appropriately reflects credit losses inherent in the loan and lease portfolio. However, there is no assurance that the allowance will be sufficient to cover such credit losses, particularly if housing and employment conditions worsen or the economy experiences a downturn. In those cases, the Company may be required to increase the allowance through an increase in the provision for credit losses, which would reduce net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must maintain adequate sources of funding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must maintain adequate funding sources in the normal course of business to support its operations and fund outstanding liabilities, as well as meet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regulatory expectations. The Company primarily relies on deposits to be a low cost and stable source of funding for the loans it makes and the operations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Core customer deposits, which include noninterest-bearing deposits, interest-bearing transaction accounts, savings deposits and time deposits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or less, have historically provided the Company with a sizeable source of relatively stable and low-cost funds. In addition to customer deposits, sources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liquidity include borrowings from third party banks, securities dealers, various Federal Home Loan Banks and the Federal Reserve Bank of New York.</w:t>
      </w:r>
    </w:p>
    <w:p>
      <w:pPr>
        <w:spacing w:after="0" w:line="3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Company’s liquidity and ability to fund and run the business could be materially adversely affected by a variety of conditions and factors, including financial and credit market disruptions and volatility or a lack of market or customer confidence in financial markets in general, which may result in a loss of customer deposits or outflows of cash or collateral and/or ability to access capital markets on favorable terms.</w:t>
      </w:r>
    </w:p>
    <w:p>
      <w:pPr>
        <w:spacing w:after="0" w:line="2" w:lineRule="exact"/>
        <w:rPr>
          <w:sz w:val="20"/>
          <w:szCs w:val="20"/>
          <w:color w:val="auto"/>
        </w:rPr>
      </w:pPr>
    </w:p>
    <w:p>
      <w:pPr>
        <w:ind w:right="20" w:firstLine="685"/>
        <w:spacing w:after="0" w:line="252" w:lineRule="auto"/>
        <w:rPr>
          <w:sz w:val="20"/>
          <w:szCs w:val="20"/>
          <w:color w:val="auto"/>
        </w:rPr>
      </w:pPr>
      <w:r>
        <w:rPr>
          <w:rFonts w:ascii="Arial" w:cs="Arial" w:eastAsia="Arial" w:hAnsi="Arial"/>
          <w:sz w:val="18"/>
          <w:szCs w:val="18"/>
          <w:color w:val="auto"/>
        </w:rPr>
        <w:t>Other conditions and factors that could materially adversely affect the Company’s liquidity and funding include a lack of market or customer confidence in, or negative news about, the Company or the financial services industry generally which also may result in a loss of deposits and/or negatively affect the ability to access the capital markets; the loss of customer deposits to alternative investments; inability to sell or securitize loans or other assets; and downgrades in one or more of the Company’s credit ratings. A downgrade in the Company’s credit ratings, which could result from general industry-wide or regulatory factors not solely related to the Company, could adversely affect the Company’s ability to borrow funds and raise the cost of borrowings substantially and could cause creditors and business counterparties to raise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collateral requirements or take other actions that could adversely affect M&amp;T’s ability to raise capital. Many of the above conditions and factors may be caused by events over which M&amp;T has little or no control. There can be no assurance that significant disruption and volatility in the financial markets will not occur in the future.</w:t>
      </w:r>
    </w:p>
    <w:p>
      <w:pPr>
        <w:ind w:right="320" w:firstLine="685"/>
        <w:spacing w:after="0" w:line="255" w:lineRule="auto"/>
        <w:rPr>
          <w:sz w:val="20"/>
          <w:szCs w:val="20"/>
          <w:color w:val="auto"/>
        </w:rPr>
      </w:pPr>
      <w:r>
        <w:rPr>
          <w:rFonts w:ascii="Arial" w:cs="Arial" w:eastAsia="Arial" w:hAnsi="Arial"/>
          <w:sz w:val="18"/>
          <w:szCs w:val="18"/>
          <w:color w:val="auto"/>
        </w:rPr>
        <w:t>If the Company is unable to continue to fund assets through customer bank deposits or access funding sources on favorable terms or if the Company suffers an increase in borrowing costs or otherwise fails to manage liquidity effectively, the Company’s liquidity, operating margins, financial condition and results of operations may be materially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financial services industry is highly competitive and creates competitive pressures that could adversely affect the Company’s revenue and profitability.</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financial services industry in which the Company operates is highly competitive. The Company competes not only with commercial and other banks and thrifts, but also with insurance companies, mutual funds, hedge funds, securities brokerage firms and other companies offering financial services in the U.S., globally and over the Internet. The Company competes on the basis of several factors, including capital, access to capital, revenue generation, products, services, transaction execution, innovation, reputation and price. Over time, certain sectors of the financial services industry have become more concentrated, as institutions involved in a broad range of financial services have been acquired by or merged into other firms. These developments could result in the Company’s competitors gaining greater capital and other resources, such as a broader range of products and services and geographic diversity. The Company may experience pricing pressures as a result of these factors and as some of its competitors seek to increase market share by reducing prices or paying higher rates of interest on deposits. Finally, technological change is influencing how individuals and firms conduct their financial affairs and changing the delivery channels for financial services, with the result that the Company may have to contend with a broader range of competitors including many that are not located within the geographic footprint of its banking office network.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may be adversely affected by the soundness of other financial institutions.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Financial services institutions are interrelated as a result of trading, clearing, counterparty, or other relationships. The Company has exposure to many different industries and counterparties, and routinely executes transactions with counterparties in the financial services industry, including commercial banks, brokers and dealers, investment banks, and other institutional clients. Many of these transactions expose the Company to credit risk in the event of a default by a counterparty or client. In addition, the Company’s credit risk may be exacerbated when the collateral held by the Company cannot be realized or is liquidated at prices not sufficient to recover the full amount of the credit or derivative exposure due to the Company. Any such losses could have a material adverse effect on the Company’s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relies on dividends from its subsidiaries for its liquidity.</w:t>
      </w:r>
    </w:p>
    <w:p>
      <w:pPr>
        <w:spacing w:after="0" w:line="9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M&amp;T is a separate and distinct legal entity from its subsidiaries. M&amp;T typically receives substantially all of its revenue from subsidiary dividends. These dividends are the principal source of funds to pay dividends on M&amp;T stock and interest and principal on its debt. Various federal and/or state laws and regulations, as well as regulatory expectations, limit the amount of dividends that M&amp;T’s banking subsidiaries and certain nonbank subsidiaries may pay. Regulatory scrutiny of capital levels at bank holding companies and insured depository institution subsidiaries has increased since the financial crisis and has resulted in increased regulatory focus on all aspects of capital planning, including dividends and other distributions to shareholders of banks such as parent bank holding companies. See “Item 1. Business — Dividends” for a discussion of regulatory and other restrictions on dividend declarations. Also, M&amp;T’s right to participate in a distribution of assets upon a subsidiary’s liquidation or reorganization is subject to the prior claims of that subsidiary’s creditors. Limitations on M&amp;T’s ability to receive dividends from its subsidiaries could have a material adverse effect on its liquidity and ability to pay dividends on its stock or interest and principal on its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is subject to operational risk.</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Like all businesses, the Company is subject to operational risk, which represents the risk of loss resulting from human error, inadequate or failed internal processes and systems, and external events. Operational risk</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also encompasses reputational risk and compliance and legal risk, which is the risk of loss from violations of, or noncompliance with, laws, rules, regulations, prescribed practices or ethical standards, as well as the risk of noncompliance with contractual and other obligations. The Company is also exposed to operational risk through outsourcing arrangements, and the effect that changes in circumstances or capabilities of its outsourcing vendors can have on the Company’s ability to continue to perform operational functions necessary to its business. In addition, along with other participants in the financial services industry, the Company continually and frequently attempts to introduce new technology-driven products and services that are aimed at allowing the Company to better serve customers and to reduce costs. The Company may not be able to effectively implement new technology-driven products and services that allows it to remain competitive or be successful in marketing these products and services to its customers. Although the Company seeks to mitigate operational risk through a system of internal controls which are reviewed and updated, no system of controls, however well designed and maintained, is infallible. Control weaknesses or failures or other operational risks could result in charges, increased operational costs, harm to the Company’s reputation or foregone business opportunities.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could impact the Company’s financial condition and results of operations.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accounting standard setters, including the Financial Accounting Standards Board (“FASB”), the SEC and other regulatory bodies, periodically change the financial accounting and reporting standards that govern the preparation of the Company’s consolidated financial statements. These changes can be hard to predict and can materially impact how the Company records and reports its financial condition and results of operations. In some cases, the Company could be required to apply a new or revised standard retroactively, which would result in the restating of the Company’s prior period financial statements.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M&amp;T’s accounting policies and processes are critical to the reporting of the Company’s financial condition and results of operations. They require management to make estimates about matters that are uncertain.</w:t>
      </w:r>
    </w:p>
    <w:p>
      <w:pPr>
        <w:spacing w:after="0" w:line="5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Accounting policies and processes are fundamental to the Company’s reported financial condition and results of operations. Some of these policies require use of estimates and assumptions that may affect the reported amounts of assets or liabilities and financial results. Several of M&amp;T’s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Pursuant to generally accepted accounting principles (“GAAP”), management is required to make certain assumptions and estimates in preparing the Company’s financial statements. If assumptions or estimates underlying the Company’s financial statements are incorrect, the Company may experience material losses.</w:t>
      </w:r>
    </w:p>
    <w:p>
      <w:pPr>
        <w:spacing w:after="0" w:line="1" w:lineRule="exact"/>
        <w:rPr>
          <w:sz w:val="20"/>
          <w:szCs w:val="20"/>
          <w:color w:val="auto"/>
        </w:rPr>
      </w:pPr>
    </w:p>
    <w:p>
      <w:pPr>
        <w:ind w:right="40" w:firstLine="685"/>
        <w:spacing w:after="0" w:line="287" w:lineRule="auto"/>
        <w:rPr>
          <w:sz w:val="20"/>
          <w:szCs w:val="20"/>
          <w:color w:val="auto"/>
        </w:rPr>
      </w:pPr>
      <w:r>
        <w:rPr>
          <w:rFonts w:ascii="Arial" w:cs="Arial" w:eastAsia="Arial" w:hAnsi="Arial"/>
          <w:sz w:val="16"/>
          <w:szCs w:val="16"/>
          <w:color w:val="auto"/>
        </w:rPr>
        <w:t>Management has identified certain accounting policies as being critical because they require management’s judgment to ascertain the valuations of assets, liabilities, commitments and contingencies. A variety of factors could affect the ultimate value that is obtained either when earning income, recognizing an expense, recovering an asset, valuing an asset or liability, or recognizing or reducing a liability. M&amp;T has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judgments and the estimates pertaining to these matters, M&amp;T could be required to adjust accounting policies or restate prior period financial statements if those judgments and estimates prove to be incorrect. For additional information, see Part II, Item 7, Management’s Discussion and Analysis of Financial Condition and Results of Operations, “Critical Accounting Estimates” and Note 1, “Significant Accounting Policies,” to the Consolidated Financial Statements in Part II, Item 8.</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Difficulties in combining the operations of acquired entities with the Company’s own operations may prevent M&amp;T from achieving the expected benefits from its acquisitions.</w:t>
      </w:r>
    </w:p>
    <w:p>
      <w:pPr>
        <w:spacing w:after="0" w:line="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M&amp;T has regularly considered opportunities to expand and improve its business through acquisition of other financial institutions. Inherent uncertainties exist when integrating the operations of an acquired entity. M&amp;T may not be able to fully achieve its strategic objectives and planned operating efficiencies in an acquisition. In addition, the markets and industries in which the Company and its potential acquisition targets operate are highly competitive. The Company may lose customers or fail to retain the customers of</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acquired entities as a result of an acquisition. Future acquisition and integration activities may require M&amp;T to devote substantial time and resources, and as a result M&amp;T may not be able to pursue other business opportunities.</w:t>
      </w:r>
    </w:p>
    <w:p>
      <w:pPr>
        <w:ind w:right="260" w:firstLine="685"/>
        <w:spacing w:after="0" w:line="323" w:lineRule="auto"/>
        <w:rPr>
          <w:sz w:val="20"/>
          <w:szCs w:val="20"/>
          <w:color w:val="auto"/>
        </w:rPr>
      </w:pPr>
      <w:r>
        <w:rPr>
          <w:rFonts w:ascii="Arial" w:cs="Arial" w:eastAsia="Arial" w:hAnsi="Arial"/>
          <w:sz w:val="16"/>
          <w:szCs w:val="16"/>
          <w:color w:val="auto"/>
        </w:rPr>
        <w:t>After completing an acquisition, the Company may not realize the expected benefits of the acquisition due to lower financial results pertaining to the acquired entity. For example, the Company could experience higher credit losses than originally anticipated related to an acquired loan portfolio.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could suffer if it fails to attract and retain skilled personnel.</w:t>
      </w:r>
    </w:p>
    <w:p>
      <w:pPr>
        <w:spacing w:after="0" w:line="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M&amp;T’s success depends, in large part, on its ability to attract and retain key individuals. Competition for qualified candidates in the activities and markets that the Company serves is significant and the Company may not be able to hire these candidates and retain them. Growth in the Company’s business, including through acquisitions, may increase its need for additional qualified personnel. If the Company is not able to hire or retain these key individuals, it may be unable to execute its business strategies and may suffer adverse consequences to its business, financial condition and results of operations.</w:t>
      </w:r>
    </w:p>
    <w:p>
      <w:pPr>
        <w:spacing w:after="0" w:line="3" w:lineRule="exact"/>
        <w:rPr>
          <w:sz w:val="20"/>
          <w:szCs w:val="20"/>
          <w:color w:val="auto"/>
        </w:rPr>
      </w:pPr>
    </w:p>
    <w:p>
      <w:pPr>
        <w:ind w:right="140" w:firstLine="685"/>
        <w:spacing w:after="0" w:line="290" w:lineRule="auto"/>
        <w:rPr>
          <w:sz w:val="20"/>
          <w:szCs w:val="20"/>
          <w:color w:val="auto"/>
        </w:rPr>
      </w:pPr>
      <w:r>
        <w:rPr>
          <w:rFonts w:ascii="Arial" w:cs="Arial" w:eastAsia="Arial" w:hAnsi="Arial"/>
          <w:sz w:val="16"/>
          <w:szCs w:val="16"/>
          <w:color w:val="auto"/>
        </w:rPr>
        <w:t>In June 2010, the federal banking agencies issued joint guidance on executive compensation designed to help ensure that a banking organization’s incentive compensation policies do not encourage imprudent risk taking and are consistent with the safety and soundness of the organization. In addition, the Dodd-Frank Act requires those agencies, along with the SEC, to adopt rules to require reporting of incentive compensation and to prohibit certain compensation arrangements. If as a result of complying with any such rules M&amp;T is unable to attract and retain qualified employees, or do so at rates necessary to maintain its competitive position, or if the compensation costs required to attract and retain employees become more significant, the Company’s performance, including its competitive position, could be materially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Severe weather, natural disasters, acts of war or terrorism and other external events could significantly impact the Company’s business.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Severe weather, natural disasters, acts of war or terrorism and other adverse external events could have a significant impact on the Company’s ability to conduct business.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Although the Company has established disaster recovery plans and procedures, and monitors for significant environmental effects on its properties or its investments, the occurrence of any such event could have a material adverse effect on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information systems may experience interruptions or breaches in security.</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relies heavily on communications and information systems to conduct its business. Any failure, interruption or breach in security of these systems could result in disruptions to its accounting, deposit, loan and other systems, and adversely affect the Company’s customer relationships. While the Company has policies and procedures designed to prevent or limit the effect of these possible events, there can be no assurance that any such failure, interruption or security breach will not occur or, if any does occur, that it can be sufficiently remediated.</w:t>
      </w:r>
    </w:p>
    <w:p>
      <w:pPr>
        <w:spacing w:after="0" w:line="1"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There have been increasing efforts on the part of third parties to breach data security at financial institutions or with respect to financial transactions. In addition, because the techniques used to cause such security breaches change frequently, often are not recognized until launched against a target and may originate from less regulated and remote areas around the world, the Company may be unable to proactively address these techniques or to implement adequate preventative measures. The ability of the Company’s customers to bank remotely, including online and through mobile devices, requires secure transmission of confidential information and increases the risk of data security breaches.</w:t>
      </w:r>
    </w:p>
    <w:p>
      <w:pPr>
        <w:spacing w:after="0" w:line="3"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occurrence of any failure, interruption or security breach of the Company’s systems, particularly if widespread or resulting in financial losses to customers, could damage the Company’s reputation, result in a loss of customer business, subject it to additional regulatory scrutiny, or expose it to civil litigation and financial liability.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i w:val="1"/>
          <w:iCs w:val="1"/>
          <w:color w:val="auto"/>
        </w:rPr>
        <w:t>The Company is or may become involved from time to time in suits, legal proceedings, information-gathering requests, investigations and proceedings by governmental and self-regulatory agencies that may lead to adverse consequences.</w:t>
      </w:r>
    </w:p>
    <w:p>
      <w:pPr>
        <w:spacing w:after="0" w:line="51"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Many aspects of the Company’s business involve substantial risk of legal liability. M&amp;T and/or its subsidiaries have been named or threatened to be named as defendants in various lawsuits arising from its or its subsidiaries’ business activities (and in some cases from the activities of companies M&amp;T has acquired). In addition, from time to time, M&amp;T is, or may become, the subject of governmental and self-regulatory agency information-gathering requests, reviews, investigations and proceedings and other forms of regulatory inquiry, including by the SEC and law enforcement authorities. M&amp;T is also at risk when it has agreed to indemnify others for losses related to legal proceedings, including litigation and governmental investigations and inquiries, they face, such as in connection with the purchase or sale of a business or assets. The results of such proceedings could lead to significant monetary damages or penalties, adverse judgments, settlements, fines, injunctions, restrictions on the way in which the Company conducts its business, or reputational harm.</w:t>
      </w:r>
    </w:p>
    <w:p>
      <w:pPr>
        <w:ind w:right="40" w:firstLine="685"/>
        <w:spacing w:after="0" w:line="315" w:lineRule="auto"/>
        <w:rPr>
          <w:sz w:val="20"/>
          <w:szCs w:val="20"/>
          <w:color w:val="auto"/>
        </w:rPr>
      </w:pPr>
      <w:r>
        <w:rPr>
          <w:rFonts w:ascii="Arial" w:cs="Arial" w:eastAsia="Arial" w:hAnsi="Arial"/>
          <w:sz w:val="15"/>
          <w:szCs w:val="15"/>
          <w:color w:val="auto"/>
        </w:rPr>
        <w:t>Although the Company establishes accruals for legal proceedings when information related to the loss contingencies represented by those matters indicates both that a loss is probable and that the amount of loss can be reasonably estimated, the Company does not have accruals for all legal proceedings where it faces a risk of loss. In addition, due to the inherent subjectivity of the assessments and unpredictability of the outcome of legal proceedings, amounts accrued may not represent the ultimate loss to the Company from the legal proceedings in question. Thus, the Company’s ultimate losses may be higher, and possibly significantly so, than the amounts accrued for legal loss contingencies, which could adversely affect the Company’s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relies on other companies to provide key components of the Company’s business infrastructure.</w:t>
      </w:r>
    </w:p>
    <w:p>
      <w:pPr>
        <w:spacing w:after="0" w:line="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Third parties provide key components of the Company’s business infrastructure such as banking services, processing, and Internet connections and network access. Any disruption in such services provided by these third parties or any failure of these third parties to handle current or higher volumes of use could adversely affect the Company’s ability to deliver products and services to clients and otherwise to conduct business. Technological or financial difficulties of a third party service provider could adversely affect the Company’s business to the extent those difficulties result in the interruption or discontinuation of services provided by that party. The Company may not be insured against all types of losses as a result of third party failures and insurance coverage may be inadequate to cover all losses resulting from system failures or other disruptions. Failures in the Company’s business infrastructure could interrupt the operations or increase the costs of doing business.</w:t>
      </w:r>
    </w:p>
    <w:p>
      <w:pPr>
        <w:ind w:firstLine="685"/>
        <w:spacing w:after="0" w:line="281" w:lineRule="auto"/>
        <w:rPr>
          <w:sz w:val="20"/>
          <w:szCs w:val="20"/>
          <w:color w:val="auto"/>
        </w:rPr>
      </w:pPr>
      <w:r>
        <w:rPr>
          <w:rFonts w:ascii="Arial" w:cs="Arial" w:eastAsia="Arial" w:hAnsi="Arial"/>
          <w:sz w:val="16"/>
          <w:szCs w:val="16"/>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3" w:lineRule="exact"/>
        <w:rPr>
          <w:sz w:val="20"/>
          <w:szCs w:val="20"/>
          <w:color w:val="auto"/>
        </w:rPr>
      </w:pPr>
    </w:p>
    <w:p>
      <w:pPr>
        <w:ind w:right="20" w:firstLine="685"/>
        <w:spacing w:after="0" w:line="302" w:lineRule="auto"/>
        <w:rPr>
          <w:sz w:val="20"/>
          <w:szCs w:val="20"/>
          <w:color w:val="auto"/>
        </w:rPr>
      </w:pPr>
      <w:r>
        <w:rPr>
          <w:rFonts w:ascii="Arial" w:cs="Arial" w:eastAsia="Arial" w:hAnsi="Arial"/>
          <w:sz w:val="16"/>
          <w:szCs w:val="16"/>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FASB or other regulatory agencies.</w:t>
      </w:r>
    </w:p>
    <w:p>
      <w:pPr>
        <w:spacing w:after="0" w:line="1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approximately 98% of the building and the remainder is leased to non-affiliated tenants. At December 31, 2012, the cost of this property (including improvements subsequent to the initial construction), net of accumulated depreciation, was $10.4 million.</w:t>
      </w:r>
    </w:p>
    <w:p>
      <w:pPr>
        <w:jc w:val="both"/>
        <w:ind w:right="260" w:firstLine="685"/>
        <w:spacing w:after="0" w:line="281" w:lineRule="auto"/>
        <w:rPr>
          <w:sz w:val="20"/>
          <w:szCs w:val="20"/>
          <w:color w:val="auto"/>
        </w:rPr>
      </w:pPr>
      <w:r>
        <w:rPr>
          <w:rFonts w:ascii="Arial" w:cs="Arial" w:eastAsia="Arial" w:hAnsi="Arial"/>
          <w:sz w:val="16"/>
          <w:szCs w:val="16"/>
          <w:color w:val="auto"/>
        </w:rPr>
        <w:t>M&amp;T Bank owns an additional facility in Buffalo, New York with approximately 395,000 rentable square feet of space. Approximately 89% of this facility, known as M&amp;T Center, is occupied by M&amp;T Bank and its subsidiaries, with the remainder leased to non-affiliated tenants. At December 31, 2012, the cost of this building (including improvements subsequent to acquisition), net of accumulated depreciation, was $9.1 million.</w:t>
      </w:r>
    </w:p>
    <w:p>
      <w:pPr>
        <w:spacing w:after="0" w:line="2" w:lineRule="exact"/>
        <w:rPr>
          <w:sz w:val="20"/>
          <w:szCs w:val="20"/>
          <w:color w:val="auto"/>
        </w:rPr>
      </w:pPr>
    </w:p>
    <w:p>
      <w:pPr>
        <w:jc w:val="both"/>
        <w:ind w:right="640" w:firstLine="685"/>
        <w:spacing w:after="0" w:line="250" w:lineRule="auto"/>
        <w:rPr>
          <w:sz w:val="20"/>
          <w:szCs w:val="20"/>
          <w:color w:val="auto"/>
        </w:rPr>
      </w:pPr>
      <w:r>
        <w:rPr>
          <w:rFonts w:ascii="Arial" w:cs="Arial" w:eastAsia="Arial" w:hAnsi="Arial"/>
          <w:sz w:val="18"/>
          <w:szCs w:val="18"/>
          <w:color w:val="auto"/>
        </w:rPr>
        <w:t>M&amp;T Bank also owns and occupies two separate facilities in the Buffalo area which support certain back-office and operations functions of the Company. The total square footage of these facilities approximates 225,000 square feet and their combined cost (including improvements subsequent to acquisition), net of accumulated depreciation, was $19.4 million at December 31, 2012.</w:t>
      </w:r>
    </w:p>
    <w:p>
      <w:pPr>
        <w:spacing w:after="0" w:line="1"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M&amp;T Bank also owns a facility in Syracuse, New York with approximately 160,000 rentable square feet of space. Approximately 46% of this facility is occupied by M&amp;T Bank. At December 31, 2012, the cost of this building (including improvements subsequent to acquisition), net of accumulated depreciation, was $4.4 million.</w:t>
      </w:r>
    </w:p>
    <w:p>
      <w:pPr>
        <w:spacing w:after="0" w:line="1"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M&amp;T Bank also owns facilities in Harrisburg, Pennsylvania and Millsboro, Delaware with approximately 215,000 and 325,000 rentable square feet of space, respectively. M&amp;T Bank occupies approximately 34% and 90% of these respective facilities. At December 31, 2012, the cost of these buildings (including improvements subsequent to acquisition), net of accumulated depreciation, was $11.3 million and $6.9 million, respectively.</w:t>
      </w:r>
    </w:p>
    <w:p>
      <w:pPr>
        <w:spacing w:after="0" w:line="2" w:lineRule="exact"/>
        <w:rPr>
          <w:sz w:val="20"/>
          <w:szCs w:val="20"/>
          <w:color w:val="auto"/>
        </w:rPr>
      </w:pPr>
    </w:p>
    <w:p>
      <w:pPr>
        <w:ind w:right="200" w:firstLine="685"/>
        <w:spacing w:after="0" w:line="250" w:lineRule="auto"/>
        <w:rPr>
          <w:sz w:val="20"/>
          <w:szCs w:val="20"/>
          <w:color w:val="auto"/>
        </w:rPr>
      </w:pPr>
      <w:r>
        <w:rPr>
          <w:rFonts w:ascii="Arial" w:cs="Arial" w:eastAsia="Arial" w:hAnsi="Arial"/>
          <w:sz w:val="18"/>
          <w:szCs w:val="18"/>
          <w:color w:val="auto"/>
        </w:rPr>
        <w:t>M&amp;T Bank obtained facilities in connection with the Wilmington Trust acquisition in Wilmington, Delaware, with approximately 340,000 (known as Wilmington Center) and 295,000 (known as Wilmington Plaza) rentable square feet of space, respectively. M&amp;T Bank occupies approximately 89% of Wilmington Center. Wilmington Plaza is 50% occupied by a tenant and unoccupied by M&amp;T Bank. At December 31, 2012, the cost of these buildings, net of accumulated depreciation, was $42.1 million and $13.9 million, respectively.</w:t>
      </w:r>
    </w:p>
    <w:p>
      <w:pPr>
        <w:spacing w:after="0" w:line="2" w:lineRule="exact"/>
        <w:rPr>
          <w:sz w:val="20"/>
          <w:szCs w:val="20"/>
          <w:color w:val="auto"/>
        </w:rPr>
      </w:pPr>
    </w:p>
    <w:p>
      <w:pPr>
        <w:ind w:right="100" w:firstLine="685"/>
        <w:spacing w:after="0" w:line="331" w:lineRule="auto"/>
        <w:rPr>
          <w:sz w:val="20"/>
          <w:szCs w:val="20"/>
          <w:color w:val="auto"/>
        </w:rPr>
      </w:pPr>
      <w:r>
        <w:rPr>
          <w:rFonts w:ascii="Arial" w:cs="Arial" w:eastAsia="Arial" w:hAnsi="Arial"/>
          <w:sz w:val="15"/>
          <w:szCs w:val="15"/>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727 domestic banking offices of the Registrant’s subsidiary banks at December 31, 2012, 302 are owned in fee and 425 are leased.</w:t>
      </w:r>
    </w:p>
    <w:p>
      <w:pPr>
        <w:spacing w:after="0" w:line="1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1"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Information concerning the Registrant’s executive officers is presented below as of February 22, 2013. The year the officer was first appointed to the indicated position with the Registrant or its subsidiaries is shown parenthetically. In the case of each entity noted below, officers’ terms run until the first meeting of the board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of directors after such entity’s annual meeting, which in the case of the Registrant takes place immediately following the Annual Meeting of Shareholders, and until their successors are elected and qualified.</w:t>
      </w:r>
    </w:p>
    <w:p>
      <w:pPr>
        <w:jc w:val="both"/>
        <w:ind w:right="340" w:firstLine="685"/>
        <w:spacing w:after="0" w:line="281" w:lineRule="auto"/>
        <w:rPr>
          <w:sz w:val="20"/>
          <w:szCs w:val="20"/>
          <w:color w:val="auto"/>
        </w:rPr>
      </w:pPr>
      <w:r>
        <w:rPr>
          <w:rFonts w:ascii="Arial" w:cs="Arial" w:eastAsia="Arial" w:hAnsi="Arial"/>
          <w:sz w:val="16"/>
          <w:szCs w:val="16"/>
          <w:color w:val="auto"/>
        </w:rPr>
        <w:t>Robert G. Wilmers, age 78, is chief executive officer (2007), chairman of the board (2000) and a director (1982) of the Registrant. From April 1998 until July 2000, he served as president and chief executive officer of the Registrant and from July 2000 until June 2005 he served as chairman, president</w:t>
      </w:r>
    </w:p>
    <w:p>
      <w:pPr>
        <w:spacing w:after="0" w:line="1"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color w:val="auto"/>
        </w:rPr>
        <w:t>(1988)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Michael P. Pinto, age 57, is a vice chairman (2007) and a director (2003) of the Registrant. Previously, he was an executive vice president of the Registrant (1997). He is a vice chairman and a director (2003) of M&amp;T Bank and is the chairman and chief executive officer of M&amp;T Bank’s Mid-Atlantic Division (2005). Prior to April 2005, Mr. Pinto was the chief financial officer of the Registrant (1997) and M&amp;T Bank (1996), and he oversaw the Company’s Finance Division, Technology and Banking Operations Division, Corporate Services Group, Treasury Division and General Counsel’s Office. He is an executive vice president (1996) and a director (1998) of Wilmington Trust, N.A. Mr. Pinto is chairman of the board and a director of WT Investment Advisors (2006).</w:t>
      </w:r>
    </w:p>
    <w:p>
      <w:pPr>
        <w:spacing w:after="0" w:line="3"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Mark J. Czarnecki, age 57, is president and a director (2007) of the Registrant and president and a director (2007) of M&amp;T Bank. Previously, he was an executive vice president of the Registrant (1999) and M&amp;T Bank (1997) and was responsible for the M&amp;T Investment Group and the Company’s Retail Banking network. Mr. Czarnecki is a director (1999) of M&amp;T Securities and chairman of the board, president and chief executive officer (2007) and a director (2005) of Wilmington Trust, N.A.</w:t>
      </w:r>
    </w:p>
    <w:p>
      <w:pPr>
        <w:spacing w:after="0" w:line="2"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Robert J. Bojdak, age 57, is an executive vice president and chief credit officer (2004) of the Registrant and M&amp;T Bank. In addition to managing the Company’s credit risk, Mr. Bojdak was also responsible for managing the Company’s enterprise-wide risk, including operational, compliance and investment risk, until February 2013. From April 2002 to April 2004, Mr. Bojdak served as senior vice president and credit deputy for M&amp;T Bank. He is an executive vice president and a director of Wilmington Trust, N.A. (2004).</w:t>
      </w:r>
    </w:p>
    <w:p>
      <w:pPr>
        <w:spacing w:after="0" w:line="2" w:lineRule="exact"/>
        <w:rPr>
          <w:sz w:val="20"/>
          <w:szCs w:val="20"/>
          <w:color w:val="auto"/>
        </w:rPr>
      </w:pPr>
    </w:p>
    <w:p>
      <w:pPr>
        <w:ind w:right="320" w:firstLine="685"/>
        <w:spacing w:after="0" w:line="281" w:lineRule="auto"/>
        <w:rPr>
          <w:sz w:val="20"/>
          <w:szCs w:val="20"/>
          <w:color w:val="auto"/>
        </w:rPr>
      </w:pPr>
      <w:r>
        <w:rPr>
          <w:rFonts w:ascii="Arial" w:cs="Arial" w:eastAsia="Arial" w:hAnsi="Arial"/>
          <w:sz w:val="16"/>
          <w:szCs w:val="16"/>
          <w:color w:val="auto"/>
        </w:rPr>
        <w:t>Stephen J. Braunscheidel, age 56, is an executive vice president (2004) of the Registrant and M&amp;T Bank, and is in charge of the Company’s Human Resources Division. Previously, he was a senior vice president in the M&amp;T Investment Group, where he managed the Private Client Services and Employee Benefits departments. Mr. Braunscheidel has held a number of management positions with M&amp;T Bank since 1978.</w:t>
      </w:r>
    </w:p>
    <w:p>
      <w:pPr>
        <w:spacing w:after="0" w:line="2"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William J. Farrell, II, age 55, is an executive vice president of the Registrant and M&amp;T Bank (2011), and is responsible for M&amp;T’s Wealth and Institutional Services Division, which includes Wealth Advisory Services, Institutional Client Services, Asset Management, M&amp;T Securities and M&amp;T Insurance Agency. Mr. Farrell joined M&amp;T through the Wilmington Trust acquisition. He joined Wilmington Trust in 1976 and held a number of senior management positions, most recently as executive vice president and head of the Corporate Client Services business. Mr. Farrell is an executive vice president of Wilmington Trust, N.A. (2011).</w:t>
      </w:r>
    </w:p>
    <w:p>
      <w:pPr>
        <w:spacing w:after="0" w:line="2" w:lineRule="exact"/>
        <w:rPr>
          <w:sz w:val="20"/>
          <w:szCs w:val="20"/>
          <w:color w:val="auto"/>
        </w:rPr>
      </w:pPr>
    </w:p>
    <w:p>
      <w:pPr>
        <w:jc w:val="both"/>
        <w:ind w:right="100" w:firstLine="685"/>
        <w:spacing w:after="0" w:line="281" w:lineRule="auto"/>
        <w:rPr>
          <w:sz w:val="20"/>
          <w:szCs w:val="20"/>
          <w:color w:val="auto"/>
        </w:rPr>
      </w:pPr>
      <w:r>
        <w:rPr>
          <w:rFonts w:ascii="Arial" w:cs="Arial" w:eastAsia="Arial" w:hAnsi="Arial"/>
          <w:sz w:val="16"/>
          <w:szCs w:val="16"/>
          <w:color w:val="auto"/>
        </w:rPr>
        <w:t>Richard S. Gold, age 52, is an executive vice president of the Registrant (2007) and M&amp;T Bank (2006) and is responsible for managing the Company’s Residential Mortgage and Business Banking Divisions. Mr. Gold served as senior vice president of M&amp;T Bank from 2000 to 2006, most recently responsible for the Retail Banking Division, including M&amp;T Securities. Mr. Gold is an executive vice president of Wilmington Trust, N.A. (2006).</w:t>
      </w:r>
    </w:p>
    <w:p>
      <w:pPr>
        <w:spacing w:after="0" w:line="2"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Brian E. Hickey, age 60, is an executive vice president of the Registrant (1997) and M&amp;T Bank (1996). He is a member of the Directors Advisory Council (1994) of the Rochester Division of M&amp;T Bank. Mr. Hickey is responsible for managing all of the non-retail segments in Upstate New York and in the Northern and Central/Western Pennsylvania regions. Mr. Hickey is also responsible for the Auto Floor Plan lending business.</w:t>
      </w:r>
    </w:p>
    <w:p>
      <w:pPr>
        <w:spacing w:after="0" w:line="2"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René F. Jones, age 48, is an executive vice president (2006) and chief financial officer (2005) of the Registrant and M&amp;T Bank.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Wilmington Trust, N.A., and he is chairman of the board, president (2009) and a trustee (2005) of M&amp;T Real Estate. He is a director of M&amp;T Insurance Agency (2007) and M&amp;T Securities (2005).</w:t>
      </w:r>
    </w:p>
    <w:p>
      <w:pPr>
        <w:spacing w:after="0" w:line="2" w:lineRule="exact"/>
        <w:rPr>
          <w:sz w:val="20"/>
          <w:szCs w:val="20"/>
          <w:color w:val="auto"/>
        </w:rPr>
      </w:pPr>
    </w:p>
    <w:p>
      <w:pPr>
        <w:ind w:right="200" w:firstLine="685"/>
        <w:spacing w:after="0" w:line="261" w:lineRule="auto"/>
        <w:rPr>
          <w:sz w:val="20"/>
          <w:szCs w:val="20"/>
          <w:color w:val="auto"/>
        </w:rPr>
      </w:pPr>
      <w:r>
        <w:rPr>
          <w:rFonts w:ascii="Arial" w:cs="Arial" w:eastAsia="Arial" w:hAnsi="Arial"/>
          <w:sz w:val="18"/>
          <w:szCs w:val="18"/>
          <w:color w:val="auto"/>
        </w:rPr>
        <w:t>Darren J. King, age 43, is an executive vice president of the Registrant (2010) and M&amp;T Bank (2009), and is in charge of the Retail Banking Division and Consumer Lending Division. Mr. King previously served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as senior vice president of M&amp;T Bank, most recently responsible for the Business Banking Division, and has held a number of management positions within M&amp;T Bank since 2000. Mr. King is an executive vice president of Wilmington Trust, N.A. (2009).</w:t>
      </w:r>
    </w:p>
    <w:p>
      <w:pPr>
        <w:ind w:right="20" w:firstLine="685"/>
        <w:spacing w:after="0" w:line="281" w:lineRule="auto"/>
        <w:rPr>
          <w:sz w:val="20"/>
          <w:szCs w:val="20"/>
          <w:color w:val="auto"/>
        </w:rPr>
      </w:pPr>
      <w:r>
        <w:rPr>
          <w:rFonts w:ascii="Arial" w:cs="Arial" w:eastAsia="Arial" w:hAnsi="Arial"/>
          <w:sz w:val="16"/>
          <w:szCs w:val="16"/>
          <w:color w:val="auto"/>
        </w:rPr>
        <w:t>Kevin J. Pearson, age 51, is an executive vice president (2002) of the Registrant and M&amp;T Bank. He is a member of the Directors Advisory Council (2006) of the New York City/Long Island Division of M&amp;T Bank. Mr. Pearson is responsible for managing all of the non-retail segments in the New York City, Philadelphia, Connecticut, New Jersey, Tarrytown, Greater Washington D.C. and Northern Virginia, Southern Pennsylvania and Delaware markets of M&amp;T Bank, as well as the Company’s commercial real estate business, Commercial Marketing and Treasury Management. He is an executive vice president of M&amp;T Real Estate (2003), chairman of the board (2009) and a director (2003) of M&amp;T Realty Capital and an executive vice president and a director of Wilmington Trust, N.A. (2008). Mr. Pearson served as senior vice president of M&amp;T Bank from 2000 to 2002.</w:t>
      </w:r>
    </w:p>
    <w:p>
      <w:pPr>
        <w:spacing w:after="0" w:line="4"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Michele D. Trolli, age 51, is an executive vice president and chief information officer of the Registrant and M&amp;T Bank (2005). She is in charge of the Company’s Banking Services, Technology, Alternative Banking and Global Sourcing groups. Previously, Ms. Trolli was in charge of the Technology and Banking Operations Division, the Retail Banking Division and the Corporate Services Group of M&amp;T Bank.</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Donald K. Truslow, age 54, is an executive vice president and chief risk officer (2013) of the Registrant and M&amp;T Bank. He is responsible for managing the Company’s enterprise-wide risk, including operational, compliance and investment risk. Previous to joining M&amp;T, Mr. Truslow served as President, Financial Stability Industry Council of The Financial Services Roundtable, for two years. Prior to that, Mr. Truslow served in several senior management positions at Wachovia Corporation, including eight years as senior executive vice president and chief risk officer.</w:t>
      </w:r>
    </w:p>
    <w:p>
      <w:pPr>
        <w:spacing w:after="0" w:line="3" w:lineRule="exact"/>
        <w:rPr>
          <w:sz w:val="20"/>
          <w:szCs w:val="20"/>
          <w:color w:val="auto"/>
        </w:rPr>
      </w:pPr>
    </w:p>
    <w:p>
      <w:pPr>
        <w:ind w:right="560" w:firstLine="685"/>
        <w:spacing w:after="0" w:line="254" w:lineRule="auto"/>
        <w:rPr>
          <w:sz w:val="20"/>
          <w:szCs w:val="20"/>
          <w:color w:val="auto"/>
        </w:rPr>
      </w:pPr>
      <w:r>
        <w:rPr>
          <w:rFonts w:ascii="Arial" w:cs="Arial" w:eastAsia="Arial" w:hAnsi="Arial"/>
          <w:sz w:val="18"/>
          <w:szCs w:val="18"/>
          <w:color w:val="auto"/>
        </w:rPr>
        <w:t>D. Scott N. Warman, age 47, is an executive vice president (2009) and treasurer (2008) of the Registrant and M&amp;T Bank. He is responsible for managing the Company’s Treasury Division. Mr. Warman previously served as senior vice president of M&amp;T Bank and has held a number of management positions within M&amp;T Bank since 1995. He is an executive vice president and treasurer of Wilmington Trust, N.A. (2008), a trustee of M&amp;T Real Estate (2009) and a director of M&amp;T Securities (2008).</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Shareholder Matters and Issuer Purchases of Equity Securities.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M&amp;T’s common stock is traded under the symbol MTB on the New York Stock Exchange. See cross-reference sheet for disclosures incorporated elsewhere in this Annual Report on Form 10-K for market prices of M&amp;T’s common stock, approximate number of common shareholders at year-end, frequency and amounts of dividends on common stock and restrictions on the payment of dividends.</w:t>
      </w:r>
    </w:p>
    <w:p>
      <w:pPr>
        <w:ind w:right="640" w:firstLine="685"/>
        <w:spacing w:after="0" w:line="344" w:lineRule="auto"/>
        <w:rPr>
          <w:sz w:val="20"/>
          <w:szCs w:val="20"/>
          <w:color w:val="auto"/>
        </w:rPr>
      </w:pPr>
      <w:r>
        <w:rPr>
          <w:rFonts w:ascii="Arial" w:cs="Arial" w:eastAsia="Arial" w:hAnsi="Arial"/>
          <w:sz w:val="18"/>
          <w:szCs w:val="18"/>
          <w:color w:val="auto"/>
        </w:rPr>
        <w:t xml:space="preserve">During the fourth quarter of 2012, M&amp;T did not issue any shares of its common stock that were not registered under the Securities Act of 1933. </w:t>
      </w:r>
      <w:r>
        <w:rPr>
          <w:rFonts w:ascii="Arial" w:cs="Arial" w:eastAsia="Arial" w:hAnsi="Arial"/>
          <w:sz w:val="18"/>
          <w:szCs w:val="18"/>
          <w:b w:val="1"/>
          <w:bCs w:val="1"/>
          <w:color w:val="auto"/>
        </w:rPr>
        <w:t>Equity Compensation Plan Information</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following table provides information as of December 31, 2012 with respect to shares of common stock that may be issued under M&amp;T’s existing equity compensation plans. M&amp;T’s existing equity compensation plans include the M&amp;T Bank Corporation 2001 Stock Option Plan, the 2005 Incentive Compensation Plan, which replaced the 2001 Stock Option Plan, and the 2009 Equity Incentive Compensation Plan, each of which has been previously approved by shareholders, and the M&amp;T Bank Corporation 2008 Directors’ Stock Plan and the M&amp;T Bank Corporation Deferred Bonus Plan, each of which did not require shareholder approval.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685"/>
        <w:spacing w:after="0" w:line="322" w:lineRule="auto"/>
        <w:rPr>
          <w:sz w:val="20"/>
          <w:szCs w:val="20"/>
          <w:color w:val="auto"/>
        </w:rPr>
      </w:pPr>
      <w:r>
        <w:rPr>
          <w:rFonts w:ascii="Arial" w:cs="Arial" w:eastAsia="Arial" w:hAnsi="Arial"/>
          <w:sz w:val="15"/>
          <w:szCs w:val="15"/>
          <w:color w:val="auto"/>
        </w:rPr>
        <w:t>The table does not include information with respect to shares of common stock subject to outstanding options and rights assumed by M&amp;T in connection with mergers and acquisitions of the companies that originally granted those options and rights. Footnote (1) to the table sets forth the total number of shares of common stock issuable upon the exercise of such assumed options and rights as of December 31, 2012, and their weighted-average exercise price.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Securities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Remaining Available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Weighted-</w:t>
            </w:r>
          </w:p>
        </w:tc>
        <w:tc>
          <w:tcPr>
            <w:tcW w:w="9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Average</w:t>
            </w:r>
          </w:p>
        </w:tc>
        <w:tc>
          <w:tcPr>
            <w:tcW w:w="9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9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 Price of</w:t>
            </w:r>
          </w:p>
        </w:tc>
        <w:tc>
          <w:tcPr>
            <w:tcW w:w="9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Compensation Plans</w:t>
            </w:r>
          </w:p>
        </w:tc>
        <w:tc>
          <w:tcPr>
            <w:tcW w:w="0" w:type="dxa"/>
            <w:vAlign w:val="bottom"/>
          </w:tcPr>
          <w:p>
            <w:pPr>
              <w:spacing w:after="0"/>
              <w:rPr>
                <w:sz w:val="1"/>
                <w:szCs w:val="1"/>
                <w:color w:val="auto"/>
              </w:rPr>
            </w:pPr>
          </w:p>
        </w:tc>
      </w:tr>
      <w:tr>
        <w:trPr>
          <w:trHeight w:val="216"/>
        </w:trPr>
        <w:tc>
          <w:tcPr>
            <w:tcW w:w="49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Outstanding</w:t>
            </w:r>
          </w:p>
        </w:tc>
        <w:tc>
          <w:tcPr>
            <w:tcW w:w="9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24"/>
        </w:trPr>
        <w:tc>
          <w:tcPr>
            <w:tcW w:w="4920" w:type="dxa"/>
            <w:vAlign w:val="bottom"/>
            <w:gridSpan w:val="4"/>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Options or Rights</w:t>
            </w:r>
          </w:p>
        </w:tc>
        <w:tc>
          <w:tcPr>
            <w:tcW w:w="96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Options or Rights</w:t>
            </w:r>
          </w:p>
        </w:tc>
        <w:tc>
          <w:tcPr>
            <w:tcW w:w="98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Reflected in Column A)</w:t>
            </w:r>
          </w:p>
        </w:tc>
        <w:tc>
          <w:tcPr>
            <w:tcW w:w="0" w:type="dxa"/>
            <w:vAlign w:val="bottom"/>
          </w:tcPr>
          <w:p>
            <w:pPr>
              <w:spacing w:after="0"/>
              <w:rPr>
                <w:sz w:val="1"/>
                <w:szCs w:val="1"/>
                <w:color w:val="auto"/>
              </w:rPr>
            </w:pPr>
          </w:p>
        </w:tc>
      </w:tr>
      <w:tr>
        <w:trPr>
          <w:trHeight w:val="216"/>
        </w:trPr>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w:t>
            </w: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5"/>
              </w:rPr>
              <w:t>(B)</w:t>
            </w:r>
          </w:p>
        </w:tc>
        <w:tc>
          <w:tcPr>
            <w:tcW w:w="9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2001</w:t>
            </w:r>
          </w:p>
        </w:tc>
        <w:tc>
          <w:tcPr>
            <w:tcW w:w="4320" w:type="dxa"/>
            <w:vAlign w:val="bottom"/>
            <w:gridSpan w:val="3"/>
          </w:tcPr>
          <w:p>
            <w:pPr>
              <w:ind w:left="20"/>
              <w:spacing w:after="0"/>
              <w:rPr>
                <w:sz w:val="20"/>
                <w:szCs w:val="20"/>
                <w:color w:val="auto"/>
              </w:rPr>
            </w:pPr>
            <w:r>
              <w:rPr>
                <w:rFonts w:ascii="Arial" w:cs="Arial" w:eastAsia="Arial" w:hAnsi="Arial"/>
                <w:sz w:val="18"/>
                <w:szCs w:val="18"/>
                <w:color w:val="auto"/>
              </w:rPr>
              <w:t>Stock Option Plan</w:t>
            </w:r>
          </w:p>
        </w:tc>
        <w:tc>
          <w:tcPr>
            <w:tcW w:w="1360" w:type="dxa"/>
            <w:vAlign w:val="bottom"/>
          </w:tcPr>
          <w:p>
            <w:pPr>
              <w:jc w:val="right"/>
              <w:spacing w:after="0"/>
              <w:rPr>
                <w:sz w:val="20"/>
                <w:szCs w:val="20"/>
                <w:color w:val="auto"/>
              </w:rPr>
            </w:pPr>
            <w:r>
              <w:rPr>
                <w:rFonts w:ascii="Arial" w:cs="Arial" w:eastAsia="Arial" w:hAnsi="Arial"/>
                <w:sz w:val="18"/>
                <w:szCs w:val="18"/>
                <w:color w:val="auto"/>
              </w:rPr>
              <w:t>2,075,881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96.70</w:t>
            </w:r>
          </w:p>
        </w:tc>
        <w:tc>
          <w:tcPr>
            <w:tcW w:w="9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2005</w:t>
            </w:r>
          </w:p>
        </w:tc>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Incentive Compensation Plan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4,734,534</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2009</w:t>
            </w:r>
          </w:p>
        </w:tc>
        <w:tc>
          <w:tcPr>
            <w:tcW w:w="4320" w:type="dxa"/>
            <w:vAlign w:val="bottom"/>
            <w:gridSpan w:val="3"/>
          </w:tcPr>
          <w:p>
            <w:pPr>
              <w:ind w:left="20"/>
              <w:spacing w:after="0"/>
              <w:rPr>
                <w:sz w:val="20"/>
                <w:szCs w:val="20"/>
                <w:color w:val="auto"/>
              </w:rPr>
            </w:pPr>
            <w:r>
              <w:rPr>
                <w:rFonts w:ascii="Arial" w:cs="Arial" w:eastAsia="Arial" w:hAnsi="Arial"/>
                <w:sz w:val="18"/>
                <w:szCs w:val="18"/>
                <w:color w:val="auto"/>
              </w:rPr>
              <w:t>Equity Incentive Compensation Plan</w:t>
            </w:r>
          </w:p>
        </w:tc>
        <w:tc>
          <w:tcPr>
            <w:tcW w:w="1360" w:type="dxa"/>
            <w:vAlign w:val="bottom"/>
          </w:tcPr>
          <w:p>
            <w:pPr>
              <w:jc w:val="right"/>
              <w:spacing w:after="0"/>
              <w:rPr>
                <w:sz w:val="20"/>
                <w:szCs w:val="20"/>
                <w:color w:val="auto"/>
              </w:rPr>
            </w:pPr>
            <w:r>
              <w:rPr>
                <w:rFonts w:ascii="Arial" w:cs="Arial" w:eastAsia="Arial" w:hAnsi="Arial"/>
                <w:sz w:val="18"/>
                <w:szCs w:val="18"/>
                <w:color w:val="auto"/>
              </w:rPr>
              <w:t>3,586</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74.27</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2,043,586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2008</w:t>
            </w:r>
          </w:p>
        </w:tc>
        <w:tc>
          <w:tcPr>
            <w:tcW w:w="4320" w:type="dxa"/>
            <w:vAlign w:val="bottom"/>
            <w:gridSpan w:val="3"/>
          </w:tcPr>
          <w:p>
            <w:pPr>
              <w:ind w:left="20"/>
              <w:spacing w:after="0"/>
              <w:rPr>
                <w:sz w:val="20"/>
                <w:szCs w:val="20"/>
                <w:color w:val="auto"/>
              </w:rPr>
            </w:pPr>
            <w:r>
              <w:rPr>
                <w:rFonts w:ascii="Arial" w:cs="Arial" w:eastAsia="Arial" w:hAnsi="Arial"/>
                <w:sz w:val="18"/>
                <w:szCs w:val="18"/>
                <w:color w:val="auto"/>
              </w:rPr>
              <w:t>Directors’ Stock Plan</w:t>
            </w:r>
          </w:p>
        </w:tc>
        <w:tc>
          <w:tcPr>
            <w:tcW w:w="1360" w:type="dxa"/>
            <w:vAlign w:val="bottom"/>
          </w:tcPr>
          <w:p>
            <w:pPr>
              <w:jc w:val="right"/>
              <w:spacing w:after="0"/>
              <w:rPr>
                <w:sz w:val="20"/>
                <w:szCs w:val="20"/>
                <w:color w:val="auto"/>
              </w:rPr>
            </w:pPr>
            <w:r>
              <w:rPr>
                <w:rFonts w:ascii="Arial" w:cs="Arial" w:eastAsia="Arial" w:hAnsi="Arial"/>
                <w:sz w:val="18"/>
                <w:szCs w:val="18"/>
                <w:color w:val="auto"/>
              </w:rPr>
              <w:t>3,820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98.47</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113,684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Deferred Bonus Plan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9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2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6,856,414</w:t>
            </w:r>
          </w:p>
        </w:tc>
        <w:tc>
          <w:tcPr>
            <w:tcW w:w="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101.36</w:t>
            </w:r>
          </w:p>
        </w:tc>
        <w:tc>
          <w:tcPr>
            <w:tcW w:w="9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40" w:hanging="452"/>
        <w:spacing w:after="0" w:line="259"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2012, a total of 238,174 shares of M&amp;T common stock were issuable upon exercise of outstanding options or rights assumed by M&amp;T in connection with merger and acquisition transactions. The weighted-average exercise price of those outstanding options or rights is $148.77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Equity compensation plans adopted without the approval of shareholders are described below:</w:t>
      </w:r>
    </w:p>
    <w:p>
      <w:pPr>
        <w:spacing w:after="0" w:line="15" w:lineRule="exact"/>
        <w:rPr>
          <w:sz w:val="20"/>
          <w:szCs w:val="20"/>
          <w:color w:val="auto"/>
        </w:rPr>
      </w:pPr>
    </w:p>
    <w:p>
      <w:pPr>
        <w:ind w:right="120" w:firstLine="685"/>
        <w:spacing w:after="0" w:line="250" w:lineRule="auto"/>
        <w:rPr>
          <w:sz w:val="20"/>
          <w:szCs w:val="20"/>
          <w:color w:val="auto"/>
        </w:rPr>
      </w:pPr>
      <w:r>
        <w:rPr>
          <w:rFonts w:ascii="Arial" w:cs="Arial" w:eastAsia="Arial" w:hAnsi="Arial"/>
          <w:sz w:val="18"/>
          <w:szCs w:val="18"/>
          <w:b w:val="1"/>
          <w:bCs w:val="1"/>
          <w:u w:val="single" w:color="auto"/>
          <w:color w:val="auto"/>
        </w:rPr>
        <w:t>2008 Directors’ Stock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plan for non-employee members of the Board of Directors of M&amp;T and the members of its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2"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b w:val="1"/>
          <w:bCs w:val="1"/>
          <w:u w:val="single" w:color="auto"/>
          <w:color w:val="auto"/>
        </w:rPr>
        <w:t>Deferred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deferred bonus plan which was frozen effective January 1, 2010 and did not allow any deferrals after that date.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The following graph contains a comparison of the cumulative shareholder return on M&amp;T common stock against the cumulative total returns of the KBW Bank Index, compiled by Keefe, Bruyette &amp; Woods, Inc., and the S&amp;P 500 Index, compiled by Standard &amp; Poor’s Corporation, for the five-year period beginning on December 31, 2007 and ending on December 31, 2012. The KBW Bank Index is a market capitalization index consisting of 24 companies representing leading national money centers and regional banks or thrifts.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122555</wp:posOffset>
            </wp:positionV>
            <wp:extent cx="4185285" cy="2392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8528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 Value at Year End*</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00" w:type="dxa"/>
            <w:vAlign w:val="bottom"/>
            <w:tcBorders>
              <w:top w:val="single" w:sz="8" w:color="auto"/>
              <w:left w:val="single" w:sz="8" w:color="auto"/>
              <w:bottom w:val="single" w:sz="8" w:color="auto"/>
            </w:tcBorders>
          </w:tcPr>
          <w:p>
            <w:pPr>
              <w:spacing w:after="0"/>
              <w:rPr>
                <w:sz w:val="22"/>
                <w:szCs w:val="22"/>
                <w:color w:val="auto"/>
              </w:rPr>
            </w:pPr>
          </w:p>
        </w:tc>
        <w:tc>
          <w:tcPr>
            <w:tcW w:w="5600" w:type="dxa"/>
            <w:vAlign w:val="bottom"/>
            <w:tcBorders>
              <w:top w:val="single" w:sz="8" w:color="auto"/>
              <w:bottom w:val="single" w:sz="8" w:color="auto"/>
              <w:right w:val="single" w:sz="8" w:color="auto"/>
            </w:tcBorders>
          </w:tcPr>
          <w:p>
            <w:pPr>
              <w:spacing w:after="0"/>
              <w:rPr>
                <w:sz w:val="22"/>
                <w:szCs w:val="22"/>
                <w:color w:val="auto"/>
              </w:rPr>
            </w:pPr>
          </w:p>
        </w:tc>
        <w:tc>
          <w:tcPr>
            <w:tcW w:w="580" w:type="dxa"/>
            <w:vAlign w:val="bottom"/>
            <w:tcBorders>
              <w:top w:val="single" w:sz="8" w:color="auto"/>
              <w:bottom w:val="single" w:sz="8" w:color="auto"/>
              <w:right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2007</w:t>
            </w:r>
          </w:p>
        </w:tc>
        <w:tc>
          <w:tcPr>
            <w:tcW w:w="700" w:type="dxa"/>
            <w:vAlign w:val="bottom"/>
            <w:tcBorders>
              <w:top w:val="single" w:sz="8" w:color="auto"/>
              <w:bottom w:val="single" w:sz="8" w:color="auto"/>
              <w:right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89"/>
              </w:rPr>
              <w:t>2008</w:t>
            </w:r>
          </w:p>
        </w:tc>
        <w:tc>
          <w:tcPr>
            <w:tcW w:w="720" w:type="dxa"/>
            <w:vAlign w:val="bottom"/>
            <w:tcBorders>
              <w:top w:val="single" w:sz="8" w:color="auto"/>
              <w:bottom w:val="single" w:sz="8" w:color="auto"/>
              <w:right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83"/>
              </w:rPr>
              <w:t>2009</w:t>
            </w:r>
          </w:p>
        </w:tc>
        <w:tc>
          <w:tcPr>
            <w:tcW w:w="700" w:type="dxa"/>
            <w:vAlign w:val="bottom"/>
            <w:tcBorders>
              <w:top w:val="single" w:sz="8" w:color="auto"/>
              <w:bottom w:val="single" w:sz="8" w:color="auto"/>
              <w:right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89"/>
              </w:rPr>
              <w:t>2010</w:t>
            </w:r>
          </w:p>
        </w:tc>
        <w:tc>
          <w:tcPr>
            <w:tcW w:w="720" w:type="dxa"/>
            <w:vAlign w:val="bottom"/>
            <w:tcBorders>
              <w:top w:val="single" w:sz="8" w:color="auto"/>
              <w:bottom w:val="single" w:sz="8" w:color="auto"/>
              <w:right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83"/>
              </w:rPr>
              <w:t>2011</w:t>
            </w:r>
          </w:p>
        </w:tc>
        <w:tc>
          <w:tcPr>
            <w:tcW w:w="92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r>
      <w:tr>
        <w:trPr>
          <w:trHeight w:val="210"/>
        </w:trPr>
        <w:tc>
          <w:tcPr>
            <w:tcW w:w="7100" w:type="dxa"/>
            <w:vAlign w:val="bottom"/>
            <w:tcBorders>
              <w:left w:val="single" w:sz="8" w:color="auto"/>
              <w:bottom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M&amp;T Bank Corporation</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right w:val="single" w:sz="8" w:color="auto"/>
            </w:tcBorders>
            <w:shd w:val="clear" w:color="auto" w:fill="CCEEFF"/>
          </w:tcPr>
          <w:p>
            <w:pPr>
              <w:jc w:val="center"/>
              <w:ind w:left="117"/>
              <w:spacing w:after="0"/>
              <w:rPr>
                <w:sz w:val="20"/>
                <w:szCs w:val="20"/>
                <w:color w:val="auto"/>
              </w:rPr>
            </w:pPr>
            <w:r>
              <w:rPr>
                <w:rFonts w:ascii="Arial" w:cs="Arial" w:eastAsia="Arial" w:hAnsi="Arial"/>
                <w:sz w:val="18"/>
                <w:szCs w:val="18"/>
                <w:color w:val="auto"/>
                <w:w w:val="89"/>
              </w:rPr>
              <w:t>73</w:t>
            </w:r>
          </w:p>
        </w:tc>
        <w:tc>
          <w:tcPr>
            <w:tcW w:w="720" w:type="dxa"/>
            <w:vAlign w:val="bottom"/>
            <w:tcBorders>
              <w:bottom w:val="single" w:sz="8" w:color="auto"/>
              <w:right w:val="single" w:sz="8" w:color="auto"/>
            </w:tcBorders>
            <w:shd w:val="clear" w:color="auto" w:fill="CCEEFF"/>
          </w:tcPr>
          <w:p>
            <w:pPr>
              <w:jc w:val="center"/>
              <w:ind w:left="97"/>
              <w:spacing w:after="0"/>
              <w:rPr>
                <w:sz w:val="20"/>
                <w:szCs w:val="20"/>
                <w:color w:val="auto"/>
              </w:rPr>
            </w:pPr>
            <w:r>
              <w:rPr>
                <w:rFonts w:ascii="Arial" w:cs="Arial" w:eastAsia="Arial" w:hAnsi="Arial"/>
                <w:sz w:val="18"/>
                <w:szCs w:val="18"/>
                <w:color w:val="auto"/>
                <w:w w:val="89"/>
              </w:rPr>
              <w:t>90</w:t>
            </w:r>
          </w:p>
        </w:tc>
        <w:tc>
          <w:tcPr>
            <w:tcW w:w="700" w:type="dxa"/>
            <w:vAlign w:val="bottom"/>
            <w:tcBorders>
              <w:bottom w:val="single" w:sz="8" w:color="auto"/>
              <w:right w:val="single" w:sz="8" w:color="auto"/>
            </w:tcBorders>
            <w:shd w:val="clear" w:color="auto" w:fill="CCEEFF"/>
          </w:tcPr>
          <w:p>
            <w:pPr>
              <w:jc w:val="center"/>
              <w:ind w:left="77"/>
              <w:spacing w:after="0"/>
              <w:rPr>
                <w:sz w:val="20"/>
                <w:szCs w:val="20"/>
                <w:color w:val="auto"/>
              </w:rPr>
            </w:pPr>
            <w:r>
              <w:rPr>
                <w:rFonts w:ascii="Arial" w:cs="Arial" w:eastAsia="Arial" w:hAnsi="Arial"/>
                <w:sz w:val="18"/>
                <w:szCs w:val="18"/>
                <w:color w:val="auto"/>
                <w:w w:val="86"/>
              </w:rPr>
              <w:t>121</w:t>
            </w:r>
          </w:p>
        </w:tc>
        <w:tc>
          <w:tcPr>
            <w:tcW w:w="720" w:type="dxa"/>
            <w:vAlign w:val="bottom"/>
            <w:tcBorders>
              <w:bottom w:val="single" w:sz="8" w:color="auto"/>
              <w:right w:val="single" w:sz="8" w:color="auto"/>
            </w:tcBorders>
            <w:shd w:val="clear" w:color="auto" w:fill="CCEEFF"/>
          </w:tcPr>
          <w:p>
            <w:pPr>
              <w:jc w:val="center"/>
              <w:ind w:left="97"/>
              <w:spacing w:after="0"/>
              <w:rPr>
                <w:sz w:val="20"/>
                <w:szCs w:val="20"/>
                <w:color w:val="auto"/>
              </w:rPr>
            </w:pPr>
            <w:r>
              <w:rPr>
                <w:rFonts w:ascii="Arial" w:cs="Arial" w:eastAsia="Arial" w:hAnsi="Arial"/>
                <w:sz w:val="18"/>
                <w:szCs w:val="18"/>
                <w:color w:val="auto"/>
                <w:w w:val="86"/>
              </w:rPr>
              <w:t>110</w:t>
            </w:r>
          </w:p>
        </w:tc>
        <w:tc>
          <w:tcPr>
            <w:tcW w:w="920" w:type="dxa"/>
            <w:vAlign w:val="bottom"/>
            <w:tcBorders>
              <w:bottom w:val="single" w:sz="8" w:color="auto"/>
              <w:right w:val="single" w:sz="8" w:color="auto"/>
            </w:tcBorders>
            <w:shd w:val="clear" w:color="auto" w:fill="CCEEFF"/>
          </w:tcPr>
          <w:p>
            <w:pPr>
              <w:jc w:val="center"/>
              <w:ind w:left="97"/>
              <w:spacing w:after="0"/>
              <w:rPr>
                <w:sz w:val="20"/>
                <w:szCs w:val="20"/>
                <w:color w:val="auto"/>
              </w:rPr>
            </w:pPr>
            <w:r>
              <w:rPr>
                <w:rFonts w:ascii="Arial" w:cs="Arial" w:eastAsia="Arial" w:hAnsi="Arial"/>
                <w:sz w:val="18"/>
                <w:szCs w:val="18"/>
                <w:color w:val="auto"/>
                <w:w w:val="86"/>
              </w:rPr>
              <w:t>146</w:t>
            </w:r>
          </w:p>
        </w:tc>
      </w:tr>
      <w:tr>
        <w:trPr>
          <w:trHeight w:val="210"/>
        </w:trPr>
        <w:tc>
          <w:tcPr>
            <w:tcW w:w="710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KBW Bank Index</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8"/>
                <w:szCs w:val="18"/>
                <w:color w:val="auto"/>
                <w:w w:val="89"/>
              </w:rPr>
              <w:t>59</w:t>
            </w:r>
          </w:p>
        </w:tc>
        <w:tc>
          <w:tcPr>
            <w:tcW w:w="7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9"/>
              </w:rPr>
              <w:t>61</w:t>
            </w:r>
          </w:p>
        </w:tc>
        <w:tc>
          <w:tcPr>
            <w:tcW w:w="70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89"/>
              </w:rPr>
              <w:t>68</w:t>
            </w:r>
          </w:p>
        </w:tc>
        <w:tc>
          <w:tcPr>
            <w:tcW w:w="7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9"/>
              </w:rPr>
              <w:t>51</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9"/>
              </w:rPr>
              <w:t>70</w:t>
            </w:r>
          </w:p>
        </w:tc>
      </w:tr>
      <w:tr>
        <w:trPr>
          <w:trHeight w:val="210"/>
        </w:trPr>
        <w:tc>
          <w:tcPr>
            <w:tcW w:w="7100" w:type="dxa"/>
            <w:vAlign w:val="bottom"/>
            <w:tcBorders>
              <w:left w:val="single" w:sz="8" w:color="auto"/>
              <w:bottom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S&amp;P 500 Index</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right w:val="single" w:sz="8" w:color="auto"/>
            </w:tcBorders>
            <w:shd w:val="clear" w:color="auto" w:fill="CCEEFF"/>
          </w:tcPr>
          <w:p>
            <w:pPr>
              <w:jc w:val="center"/>
              <w:ind w:left="117"/>
              <w:spacing w:after="0"/>
              <w:rPr>
                <w:sz w:val="20"/>
                <w:szCs w:val="20"/>
                <w:color w:val="auto"/>
              </w:rPr>
            </w:pPr>
            <w:r>
              <w:rPr>
                <w:rFonts w:ascii="Arial" w:cs="Arial" w:eastAsia="Arial" w:hAnsi="Arial"/>
                <w:sz w:val="18"/>
                <w:szCs w:val="18"/>
                <w:color w:val="auto"/>
                <w:w w:val="89"/>
              </w:rPr>
              <w:t>63</w:t>
            </w:r>
          </w:p>
        </w:tc>
        <w:tc>
          <w:tcPr>
            <w:tcW w:w="720" w:type="dxa"/>
            <w:vAlign w:val="bottom"/>
            <w:tcBorders>
              <w:bottom w:val="single" w:sz="8" w:color="auto"/>
              <w:right w:val="single" w:sz="8" w:color="auto"/>
            </w:tcBorders>
            <w:shd w:val="clear" w:color="auto" w:fill="CCEEFF"/>
          </w:tcPr>
          <w:p>
            <w:pPr>
              <w:jc w:val="center"/>
              <w:ind w:left="97"/>
              <w:spacing w:after="0"/>
              <w:rPr>
                <w:sz w:val="20"/>
                <w:szCs w:val="20"/>
                <w:color w:val="auto"/>
              </w:rPr>
            </w:pPr>
            <w:r>
              <w:rPr>
                <w:rFonts w:ascii="Arial" w:cs="Arial" w:eastAsia="Arial" w:hAnsi="Arial"/>
                <w:sz w:val="18"/>
                <w:szCs w:val="18"/>
                <w:color w:val="auto"/>
                <w:w w:val="89"/>
              </w:rPr>
              <w:t>80</w:t>
            </w:r>
          </w:p>
        </w:tc>
        <w:tc>
          <w:tcPr>
            <w:tcW w:w="700" w:type="dxa"/>
            <w:vAlign w:val="bottom"/>
            <w:tcBorders>
              <w:bottom w:val="single" w:sz="8" w:color="auto"/>
              <w:right w:val="single" w:sz="8" w:color="auto"/>
            </w:tcBorders>
            <w:shd w:val="clear" w:color="auto" w:fill="CCEEFF"/>
          </w:tcPr>
          <w:p>
            <w:pPr>
              <w:jc w:val="center"/>
              <w:ind w:left="77"/>
              <w:spacing w:after="0"/>
              <w:rPr>
                <w:sz w:val="20"/>
                <w:szCs w:val="20"/>
                <w:color w:val="auto"/>
              </w:rPr>
            </w:pPr>
            <w:r>
              <w:rPr>
                <w:rFonts w:ascii="Arial" w:cs="Arial" w:eastAsia="Arial" w:hAnsi="Arial"/>
                <w:sz w:val="18"/>
                <w:szCs w:val="18"/>
                <w:color w:val="auto"/>
                <w:w w:val="89"/>
              </w:rPr>
              <w:t>92</w:t>
            </w:r>
          </w:p>
        </w:tc>
        <w:tc>
          <w:tcPr>
            <w:tcW w:w="720" w:type="dxa"/>
            <w:vAlign w:val="bottom"/>
            <w:tcBorders>
              <w:bottom w:val="single" w:sz="8" w:color="auto"/>
              <w:right w:val="single" w:sz="8" w:color="auto"/>
            </w:tcBorders>
            <w:shd w:val="clear" w:color="auto" w:fill="CCEEFF"/>
          </w:tcPr>
          <w:p>
            <w:pPr>
              <w:jc w:val="center"/>
              <w:ind w:left="97"/>
              <w:spacing w:after="0"/>
              <w:rPr>
                <w:sz w:val="20"/>
                <w:szCs w:val="20"/>
                <w:color w:val="auto"/>
              </w:rPr>
            </w:pPr>
            <w:r>
              <w:rPr>
                <w:rFonts w:ascii="Arial" w:cs="Arial" w:eastAsia="Arial" w:hAnsi="Arial"/>
                <w:sz w:val="18"/>
                <w:szCs w:val="18"/>
                <w:color w:val="auto"/>
                <w:w w:val="89"/>
              </w:rPr>
              <w:t>94</w:t>
            </w:r>
          </w:p>
        </w:tc>
        <w:tc>
          <w:tcPr>
            <w:tcW w:w="920" w:type="dxa"/>
            <w:vAlign w:val="bottom"/>
            <w:tcBorders>
              <w:bottom w:val="single" w:sz="8" w:color="auto"/>
              <w:right w:val="single" w:sz="8" w:color="auto"/>
            </w:tcBorders>
            <w:shd w:val="clear" w:color="auto" w:fill="CCEEFF"/>
          </w:tcPr>
          <w:p>
            <w:pPr>
              <w:jc w:val="center"/>
              <w:ind w:left="97"/>
              <w:spacing w:after="0"/>
              <w:rPr>
                <w:sz w:val="20"/>
                <w:szCs w:val="20"/>
                <w:color w:val="auto"/>
              </w:rPr>
            </w:pPr>
            <w:r>
              <w:rPr>
                <w:rFonts w:ascii="Arial" w:cs="Arial" w:eastAsia="Arial" w:hAnsi="Arial"/>
                <w:sz w:val="18"/>
                <w:szCs w:val="18"/>
                <w:color w:val="auto"/>
                <w:w w:val="86"/>
              </w:rPr>
              <w:t>109</w:t>
            </w:r>
          </w:p>
        </w:tc>
      </w:tr>
      <w:tr>
        <w:trPr>
          <w:trHeight w:val="102"/>
        </w:trPr>
        <w:tc>
          <w:tcPr>
            <w:tcW w:w="1500" w:type="dxa"/>
            <w:vAlign w:val="bottom"/>
            <w:tcBorders>
              <w:bottom w:val="single" w:sz="8" w:color="auto"/>
            </w:tcBorders>
          </w:tcPr>
          <w:p>
            <w:pPr>
              <w:spacing w:after="0"/>
              <w:rPr>
                <w:sz w:val="8"/>
                <w:szCs w:val="8"/>
                <w:color w:val="auto"/>
              </w:rPr>
            </w:pPr>
          </w:p>
        </w:tc>
        <w:tc>
          <w:tcPr>
            <w:tcW w:w="5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Assumes a $100 investment on December 31, 2007 and reinvestment of all dividends.</w:t>
      </w:r>
    </w:p>
    <w:p>
      <w:pPr>
        <w:spacing w:after="0" w:line="90" w:lineRule="exact"/>
        <w:rPr>
          <w:sz w:val="20"/>
          <w:szCs w:val="20"/>
          <w:color w:val="auto"/>
        </w:rPr>
      </w:pPr>
    </w:p>
    <w:p>
      <w:pPr>
        <w:ind w:right="120" w:firstLine="685"/>
        <w:spacing w:after="0" w:line="306" w:lineRule="auto"/>
        <w:rPr>
          <w:sz w:val="20"/>
          <w:szCs w:val="20"/>
          <w:color w:val="auto"/>
        </w:rPr>
      </w:pPr>
      <w:r>
        <w:rPr>
          <w:rFonts w:ascii="Arial" w:cs="Arial" w:eastAsia="Arial" w:hAnsi="Arial"/>
          <w:sz w:val="16"/>
          <w:szCs w:val="16"/>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 February 2007, M&amp;T announced that it had been authorized by its Board of Directors to purchase up to 5,000,000 shares of its common stock. M&amp;T did not repurchase any shares pursuant to such plan during 2012.</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fourth quarter of 2012 M&amp;T purchased shares of its common stock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(d)Maximum</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(c)Total</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Dollar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of Shares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(or Units)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Purchased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(a)Total</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as Part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(b)Average</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Publicly</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7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Announced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7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Share</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Plans or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48"/>
        </w:trPr>
        <w:tc>
          <w:tcPr>
            <w:tcW w:w="6320" w:type="dxa"/>
            <w:vAlign w:val="bottom"/>
            <w:gridSpan w:val="2"/>
            <w:vMerge w:val="continue"/>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Purchased(1)</w:t>
            </w:r>
          </w:p>
        </w:tc>
        <w:tc>
          <w:tcPr>
            <w:tcW w:w="70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(or Unit)</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Programs</w:t>
            </w:r>
          </w:p>
        </w:tc>
        <w:tc>
          <w:tcPr>
            <w:tcW w:w="8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1 - October 31, 2012</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23,772</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$ 102.19</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77"/>
              </w:rPr>
              <w:t>—</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2,181,500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November 1 - November 30, 2012</w:t>
            </w: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104.51</w:t>
            </w:r>
          </w:p>
        </w:tc>
        <w:tc>
          <w:tcPr>
            <w:tcW w:w="72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54,437</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78,784</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$ 100.69</w:t>
            </w:r>
          </w:p>
        </w:tc>
        <w:tc>
          <w:tcPr>
            <w:tcW w:w="720" w:type="dxa"/>
            <w:vAlign w:val="bottom"/>
          </w:tcPr>
          <w:p>
            <w:pPr>
              <w:spacing w:after="0"/>
              <w:rPr>
                <w:sz w:val="19"/>
                <w:szCs w:val="19"/>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4"/>
                <w:szCs w:val="14"/>
                <w:color w:val="auto"/>
              </w:rPr>
              <w:t>38</w:t>
            </w:r>
          </w:p>
        </w:tc>
        <w:tc>
          <w:tcPr>
            <w:tcW w:w="5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80" w:type="dxa"/>
            <w:vAlign w:val="bottom"/>
            <w:vMerge w:val="continue"/>
          </w:tcPr>
          <w:p>
            <w:pPr>
              <w:spacing w:after="0"/>
              <w:rPr>
                <w:sz w:val="24"/>
                <w:szCs w:val="24"/>
                <w:color w:val="auto"/>
              </w:rPr>
            </w:pPr>
          </w:p>
        </w:tc>
        <w:tc>
          <w:tcPr>
            <w:tcW w:w="5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left="460" w:right="500" w:hanging="452"/>
        <w:spacing w:after="0" w:line="303" w:lineRule="auto"/>
        <w:tabs>
          <w:tab w:leader="none" w:pos="460" w:val="left"/>
        </w:tabs>
        <w:numPr>
          <w:ilvl w:val="0"/>
          <w:numId w:val="21"/>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i w:val="1"/>
          <w:iCs w:val="1"/>
          <w:color w:val="auto"/>
        </w:rPr>
      </w:pPr>
    </w:p>
    <w:p>
      <w:pPr>
        <w:ind w:left="460" w:right="620" w:hanging="452"/>
        <w:spacing w:after="0" w:line="261" w:lineRule="auto"/>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cross-reference sheet for disclosures incorporated elsewhere in this Annual Report on Form 10-K.</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Profile and Significant Developments</w:t>
      </w:r>
    </w:p>
    <w:p>
      <w:pPr>
        <w:spacing w:after="0" w:line="21"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with consolidated assets of $83.0 billion at December 31, 2012. The consolidated financial information presented herein reflects M&amp;T and all of its subsidiaries, which are referred to collectively as “the Company.” M&amp;T’s wholly owned bank subsidiaries are M&amp;T Bank and Wilmington Trust, National Association (“Wilmington Trust, N.A.”).</w:t>
      </w:r>
    </w:p>
    <w:p>
      <w:pPr>
        <w:spacing w:after="0" w:line="2"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M&amp;T Bank, with total assets of $82.1 billion at December 31, 2012, is a New York-chartered commercial bank with 725 domestic banking offices in New York State, Pennsylvania, Maryland, Delaware, Virginia, West Virginia, and the District of Columbia, a full-service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New York State, Pennsylvania, Maryland, Virginia, Delaware and Washington, D.C., and on small and medium size businesses based in those areas, although loans are originated through lending offices in other states and in Ontario, Canada. Certain lending activities are also conducted in other states through various subsidiaries. Trust and other fiduciary services are offered by M&amp;T Bank and through its wholly owned subsidiary, Wilmington Trust Company. Other subsidiaries of M&amp;T Bank include: M&amp;T Real Estate Trust, a commercial mortgage lender; M&amp;T Realty Capital Corporation, a multifamily commercial mortgage lender; M&amp;T Securities, Inc., which provides brokerage, investment advisory and insurance services; Wilmington Trust Investment Advisors, Inc., which serves as investment advisor to the Wilmington Funds, a family of proprietary mutual funds, and other funds and institutional clients; and M&amp;T Insurance Agency, Inc., an insurance agency.</w:t>
      </w:r>
    </w:p>
    <w:p>
      <w:pPr>
        <w:spacing w:after="0" w:line="5"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Wilmington Trust, N.A., with total assets of $1.8 billion at December 31, 2012, is a national bank with offices in Wilmington, Delaware and Oakfield, New York. Wilmington Trust, N.A. and its subsidiaries offer various trust and wealth management services. Wilmington Trust, N.A. also offered selected deposit and loan products on a nationwide basis, largely through telephone, Internet and direct mail marketing techniques.</w:t>
      </w:r>
    </w:p>
    <w:p>
      <w:pPr>
        <w:spacing w:after="0" w:line="2"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will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Company’s closing price of $98.47 on December 31, 2012 is $4.2 billion.</w:t>
      </w:r>
    </w:p>
    <w:p>
      <w:pPr>
        <w:spacing w:after="0" w:line="3"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As of December 31, 2012, Hudson City reported $40.6 billion of assets, including $27.2 billion of loans (predominantly residential real estate loans) and $11.5 billion of investment securities, and $35.9 billion of liabilities, including $23.5 billion of deposits. After the merger is completed, M&amp;T expects to repay approximately $12 billion of Hudson City’s long-term borrowings by liquidating its comparably-sized investment securities portfolio. The merger is subject to a number of conditions, including regulatory approvals and approval by common shareholders of M&amp;T and Hudson City, and is expected to be completed by mid-year 2013.</w:t>
      </w:r>
    </w:p>
    <w:p>
      <w:pPr>
        <w:spacing w:after="0" w:line="2" w:lineRule="exact"/>
        <w:rPr>
          <w:sz w:val="20"/>
          <w:szCs w:val="20"/>
          <w:color w:val="auto"/>
        </w:rPr>
      </w:pPr>
    </w:p>
    <w:p>
      <w:pPr>
        <w:ind w:right="160" w:firstLine="685"/>
        <w:spacing w:after="0" w:line="255" w:lineRule="auto"/>
        <w:rPr>
          <w:sz w:val="20"/>
          <w:szCs w:val="20"/>
          <w:color w:val="auto"/>
        </w:rPr>
      </w:pPr>
      <w:r>
        <w:rPr>
          <w:rFonts w:ascii="Arial" w:cs="Arial" w:eastAsia="Arial" w:hAnsi="Arial"/>
          <w:sz w:val="18"/>
          <w:szCs w:val="18"/>
          <w:color w:val="auto"/>
        </w:rPr>
        <w:t>M&amp;T participated in the Troubled Asset Relief Program – Capital Purchase Program (“TARP”) of the U.S. Department of Treasury (“U.S. Treasury”), which was initiated during 2008, both by issuing preferred shares (Series A) in December 2008 and through the 2009 acquisition of Provident Bankshares Corporation (“Provident”) by assuming shares (Series C) that had been issued by that corporation in</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November 2008. In August 2012, the U.S. Treasury sold its holdings of M&amp;T’s Series A (230,000 shares) and Series C (151,500 shares) Preferred Stock to the public which allowed M&amp;T to exit the TARP. M&amp;T modified certain of the terms of the Series A and Series C Preferred Stock, subject to M&amp;T common shareholder approval. The modifications related to the dividend rate on the preferred shares at the reset dates, which was originally set to change to 9% on November 15, 2013 for the Series C preferred shares and on February 15, 2014 for the Series A preferred shares. In each case, the dividend rate will now change to 6.375% on November 15, 2013 rather than to the 9% in the original terms. The other modification related to M&amp;T agreeing to not redeem the Series A and Series C preferred shares until on or after November 15, 2018, except that if an event occurs such that the shares no longer qualify as Tier 1 Capital, M&amp;T may redeem all of the shares within 90 days following that occurrence.</w:t>
      </w:r>
    </w:p>
    <w:p>
      <w:pPr>
        <w:ind w:right="200" w:firstLine="685"/>
        <w:spacing w:after="0" w:line="281"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the acquisition date.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Wilmington Trust transaction was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TARP of the U.S. Treasury. In connection with the acquisition, the Company recorded $112 million of core deposit and other intangible assets. The core deposit and other intangible assets are generally being amortized over periods of 5 to 7 years using accelerated methods. There was no goodwill recorded as a result of the transaction; however, in accordance with generally accepted accounting principles (“GAAP”),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7" w:lineRule="exact"/>
        <w:rPr>
          <w:sz w:val="20"/>
          <w:szCs w:val="20"/>
          <w:color w:val="auto"/>
        </w:rPr>
      </w:pPr>
    </w:p>
    <w:p>
      <w:pPr>
        <w:ind w:right="200" w:firstLine="685"/>
        <w:spacing w:after="0" w:line="281" w:lineRule="auto"/>
        <w:rPr>
          <w:sz w:val="20"/>
          <w:szCs w:val="20"/>
          <w:color w:val="auto"/>
        </w:rPr>
      </w:pPr>
      <w:r>
        <w:rPr>
          <w:rFonts w:ascii="Arial" w:cs="Arial" w:eastAsia="Arial" w:hAnsi="Arial"/>
          <w:sz w:val="16"/>
          <w:szCs w:val="16"/>
          <w:color w:val="auto"/>
        </w:rPr>
        <w:t>On November 5, 2010, M&amp;T Bank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There was no goodwill or other intangible assets recorded in connection with this transaction; however, in accordance with GAAP, M&amp;T Bank recorded an after-tax gain on the transaction of $17 million ($28 million before taxes). The gain reflects the amount of financial support and indemnification against loan losses that M&amp;T Bank obtained from the FDIC. The operations obtained in the K Bank acquisition transaction did not have a material impact on the Company’s consolidated financial position or results of operations.</w:t>
      </w:r>
    </w:p>
    <w:p>
      <w:pPr>
        <w:spacing w:after="0" w:line="7" w:lineRule="exact"/>
        <w:rPr>
          <w:sz w:val="20"/>
          <w:szCs w:val="20"/>
          <w:color w:val="auto"/>
        </w:rPr>
      </w:pPr>
    </w:p>
    <w:p>
      <w:pPr>
        <w:ind w:firstLine="685"/>
        <w:spacing w:after="0" w:line="252" w:lineRule="auto"/>
        <w:rPr>
          <w:sz w:val="20"/>
          <w:szCs w:val="20"/>
          <w:color w:val="auto"/>
        </w:rPr>
      </w:pPr>
      <w:r>
        <w:rPr>
          <w:rFonts w:ascii="Arial" w:cs="Arial" w:eastAsia="Arial" w:hAnsi="Arial"/>
          <w:sz w:val="18"/>
          <w:szCs w:val="18"/>
          <w:color w:val="auto"/>
        </w:rPr>
        <w:t>Net acquisition and integration-related gains and expenses (included herein as merger-related expenses) associated with the Wilmington Trust acquisition incurred during 2012 totaled $6 million after tax-effect, or $.05 of diluted earnings per common share. Net merger-related expenses incurred during 2011 totaled to a net gain of $13 million after tax-effect, or $.10 of diluted earnings per common share. Reflected in that amount are the $65 million non-taxable gain ($.52 of diluted earnings per common share) on the Wilmington Trust acquisition and $84 million of expenses ($52 million after tax-effect, or $.42 of diluted earnings per common share) associated with the acquisition of Wilmington Trust and to a much lesser extent, the K Bank transaction. Net merger-related expenses incurred during 2010 totaled to a net gain of $27 million ($16 million after tax-effect, or $.14 of diluted earnings per common share). Reflected in that amount are the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$28 million gain ($17 million after tax-effect, or $.14 of diluted earnings per common share) on the K Bank transaction and $771 thousand ($469 thousand after tax-effect) of expenses. The expenses in 2012, 2011 and 2010 related to systems conversions and other costs of integrating and conforming acquired operations with and into the Company. These expenses consisted largely of professional services and other temporary help fees associated with the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for former employees; incentive compensation costs; travel costs; and printing, supplies and other costs of completing the transactions and commencing operations in new markets and offices.</w:t>
      </w:r>
    </w:p>
    <w:p>
      <w:pPr>
        <w:spacing w:after="0" w:line="1" w:lineRule="exact"/>
        <w:rPr>
          <w:sz w:val="20"/>
          <w:szCs w:val="20"/>
          <w:color w:val="auto"/>
        </w:rPr>
      </w:pPr>
    </w:p>
    <w:p>
      <w:pPr>
        <w:ind w:right="40" w:firstLine="685"/>
        <w:spacing w:after="0" w:line="287" w:lineRule="auto"/>
        <w:rPr>
          <w:sz w:val="20"/>
          <w:szCs w:val="20"/>
          <w:color w:val="auto"/>
        </w:rPr>
      </w:pPr>
      <w:r>
        <w:rPr>
          <w:rFonts w:ascii="Arial" w:cs="Arial" w:eastAsia="Arial" w:hAnsi="Arial"/>
          <w:sz w:val="16"/>
          <w:szCs w:val="16"/>
          <w:color w:val="auto"/>
        </w:rPr>
        <w:t>The condition of the domestic and global economy over the last several years has significantly impacted the financial services industry as a whole, and specifically, the financial results of the Company. In particular, high unemployment levels and significantly depressed residential real estate valuations have led to increased loan charge-offs experienced by financial institutions throughout that time period. Since the official end of the recession in the United States sometime in the latter half of 2009, the recovery of the economy has been very slow. As a result, many financial institutions, including the Company, experienced loan charge-offs at higher than historical levels and unrealized losses related to investment securities backed by residential and commercial real estate due to a lack of liquidity in the financial markets and anticipated credit losses that led to the recognition of other-than-temporary impairment charges. Also negatively impacting the financial results of financial institutions during 2011 and 2012, including the Company, has been a series of new regulations, resulting in higher assessments by the FDIC and lower fee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Dodd-Frank Wall Street Reform and Consumer Protection Act (“Dodd-Frank Act”) was signed into law on July 21, 2010. That law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The Dodd-Frank Act could have a material adverse impact on the financial services industry as a whole, as well as on M&amp;T’s business, results of operations, financial condition and liquidity.</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Dodd-Frank Act broadened the base for FDIC insurance assessments. Beginning in the second quarter of 2011, assessments are based on average consolidated total assets less average Tier 1 capital and certain allowable deductions of a financial institution. The Dodd-Frank Act also permanently increased the maximum amount of deposit insurance for banks, savings institutions and credit unions to $250,000 per depositor, retroactive to January 1, 2009. Noninterest-bearing transaction accounts had unlimited deposit insurance through December 31, 2012, when that coverage expired.</w:t>
      </w:r>
    </w:p>
    <w:p>
      <w:pPr>
        <w:spacing w:after="0" w:line="3"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 compensation paid to bank holding company executives, regardless of whether the company is publicly traded.</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Dodd-Frank Act established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the Dodd-Frank Act, among other things:</w:t>
      </w:r>
    </w:p>
    <w:p>
      <w:pPr>
        <w:spacing w:after="0" w:line="9" w:lineRule="exact"/>
        <w:rPr>
          <w:sz w:val="20"/>
          <w:szCs w:val="20"/>
          <w:color w:val="auto"/>
        </w:rPr>
      </w:pPr>
    </w:p>
    <w:p>
      <w:pPr>
        <w:ind w:left="700" w:right="5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weakened the federal preemption rules that have been applicable for national banks and gives state attorneys general the ability to enforce federal consumer protection laws;</w:t>
      </w:r>
    </w:p>
    <w:p>
      <w:pPr>
        <w:ind w:left="700" w:right="1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amended the Electronic Fund Transfer Act (“EFTA”) which resulted in, among other things, the Federal Reserve Board issuing rules aimed at limiting debit-card interchange fees;</w:t>
      </w:r>
    </w:p>
    <w:p>
      <w:pPr>
        <w:ind w:left="700" w:right="8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applied the same leverage and risk-based capital requirements that apply to insured depository institutions to most bank holding companies which, among other things, will, after a three-year phase-in period which began January 1, 2013, remove trust preferred securities as a permitted component of a holding company’s Tier 1 capital;</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00" w:right="140" w:hanging="243"/>
        <w:spacing w:after="0" w:line="20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provided for an increase in the FDIC assessment for depository institutions with assets of $10 billion or more and increased the minimum reserve ratio for the deposit insurance fund from 1.15% to 1.35%;</w:t>
      </w:r>
    </w:p>
    <w:p>
      <w:pPr>
        <w:spacing w:after="0" w:line="1" w:lineRule="exact"/>
        <w:rPr>
          <w:sz w:val="20"/>
          <w:szCs w:val="20"/>
          <w:color w:val="auto"/>
        </w:rPr>
      </w:pPr>
    </w:p>
    <w:p>
      <w:pPr>
        <w:ind w:left="700" w:right="22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imposed comprehensive regulation of the over-the-counter derivatives market, which would include certain provisions that would effectively prohibit insured depository institutions from conducting certain derivatives businesses in the institution itself;</w:t>
      </w:r>
    </w:p>
    <w:p>
      <w:pPr>
        <w:ind w:left="700" w:right="2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repealed the federal prohibitions on the payment of interest on demand deposits, thereby permitting depository institutions to pay interest on business transaction and other accounts;</w:t>
      </w:r>
    </w:p>
    <w:p>
      <w:pPr>
        <w:ind w:left="700" w:right="22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provided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2" w:lineRule="exact"/>
        <w:rPr>
          <w:sz w:val="20"/>
          <w:szCs w:val="20"/>
          <w:color w:val="auto"/>
        </w:rPr>
      </w:pPr>
    </w:p>
    <w:p>
      <w:pPr>
        <w:ind w:left="700" w:right="32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created the Financial Stability Oversight Council, which will recommend to the Federal Reserve Board increasingly strict rules for capital, leverage, liquidity, risk management and other requirements as companies grow in size and complexity.</w:t>
      </w:r>
    </w:p>
    <w:p>
      <w:pPr>
        <w:spacing w:after="0" w:line="157" w:lineRule="exact"/>
        <w:rPr>
          <w:sz w:val="20"/>
          <w:szCs w:val="20"/>
          <w:color w:val="auto"/>
        </w:rPr>
      </w:pPr>
    </w:p>
    <w:p>
      <w:pPr>
        <w:ind w:right="140" w:firstLine="685"/>
        <w:spacing w:after="0" w:line="255" w:lineRule="auto"/>
        <w:rPr>
          <w:sz w:val="20"/>
          <w:szCs w:val="20"/>
          <w:color w:val="auto"/>
        </w:rPr>
      </w:pPr>
      <w:r>
        <w:rPr>
          <w:rFonts w:ascii="Arial" w:cs="Arial" w:eastAsia="Arial" w:hAnsi="Arial"/>
          <w:sz w:val="18"/>
          <w:szCs w:val="18"/>
          <w:color w:val="auto"/>
        </w:rPr>
        <w:t>Many aspects of the Dodd-Frank Act still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could require M&amp;T and M&amp;T Bank to further seek other sources of capital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Company’s significant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3" w:lineRule="exact"/>
        <w:rPr>
          <w:sz w:val="20"/>
          <w:szCs w:val="20"/>
          <w:color w:val="auto"/>
        </w:rPr>
      </w:pPr>
    </w:p>
    <w:p>
      <w:pPr>
        <w:ind w:left="700" w:hanging="243"/>
        <w:spacing w:after="0" w:line="255"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Accounting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In accounting for loans acquired at a discount, which are initially recorded at fair value with no carry-over of an acquired entity’s previously established allowance for credit losses, the cash flows expected at acquisition in excess of estimated fair value are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applicable allowance for credit losses and then in the recognition of additional interest income over the remaining lives of the loans. Changes in the circumstances considered when determining management’s estimates and assumptions could result in changes in those estimates and assumptions, which may result in adjustment of the allowance or, in the case of acquired loans, increases in interest income in future periods. A detailed discussion of facts and circumstances considered by management in determining the allowance for credit losses is included herein under the heading “Provision for Credit Losses” and in note 5 of Notes to Financial Statements.</w:t>
      </w:r>
    </w:p>
    <w:p>
      <w:pPr>
        <w:spacing w:after="0" w:line="7" w:lineRule="exact"/>
        <w:rPr>
          <w:sz w:val="20"/>
          <w:szCs w:val="20"/>
          <w:color w:val="auto"/>
        </w:rPr>
      </w:pPr>
    </w:p>
    <w:p>
      <w:pPr>
        <w:ind w:left="700" w:right="100" w:hanging="243"/>
        <w:spacing w:after="0" w:line="225"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00"/>
        <w:spacing w:after="0" w:line="301" w:lineRule="auto"/>
        <w:rPr>
          <w:sz w:val="20"/>
          <w:szCs w:val="20"/>
          <w:color w:val="auto"/>
        </w:rPr>
      </w:pPr>
      <w:r>
        <w:rPr>
          <w:rFonts w:ascii="Arial" w:cs="Arial" w:eastAsia="Arial" w:hAnsi="Arial"/>
          <w:sz w:val="15"/>
          <w:szCs w:val="15"/>
          <w:color w:val="auto"/>
        </w:rPr>
        <w:t>residential real estate loans held for sale and related commitments. However, for those items for which an observable liquid market does not exist, management utilizes significant estimates and assumptions to value such items. Examples of these items include loans, privately issued mortgage-backed securities, deposits, borrowings, goodwill, core deposit and other intangible assets, and other assets and liabilities obtained or assumed in business combinations; capitalized servicing assets; pension and other postretirement benefit obligations; value ascribed to stock-based compensation;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11, 12, 18, 19 and 20 of Notes to Financial Statements.</w:t>
      </w:r>
    </w:p>
    <w:p>
      <w:pPr>
        <w:spacing w:after="0" w:line="3" w:lineRule="exact"/>
        <w:rPr>
          <w:sz w:val="20"/>
          <w:szCs w:val="20"/>
          <w:color w:val="auto"/>
        </w:rPr>
      </w:pPr>
    </w:p>
    <w:p>
      <w:pPr>
        <w:ind w:left="700" w:right="100" w:hanging="243"/>
        <w:spacing w:after="0" w:line="27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relative significance of the Company’s financial interests in those entities and the degree to which the Company can influence the most important activities of the entities. Information relating to the Company’s involvement in such entities and the accounting treatment afforded each such involvement is included in note 19 of Notes to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net income during 2012 of $1.03 billion or $7.54 of diluted earnings per common share, up 20% and 19%, respectively, from</w:t>
      </w:r>
    </w:p>
    <w:p>
      <w:pPr>
        <w:spacing w:after="0" w:line="3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$859 million or $6.35 of diluted earnings per common share in 2011. Basic earnings per common share increased 19% to $7.57 in 2012 from $6.37 in 2011. Net income in 2010 totaled $736 million, while diluted and basic earnings per common share were $5.69 and $5.72, respectively. The after-tax impact of net merger-related gains and expenses associated with the acquisition transactions previously described totaled to expenses of $6 million ($10 million pre-tax) or $.05 of basic and diluted earnings per common share in 2012, compared with net gains of $13 million (net expenses of $19 million pre-tax) or $.10 of basic and diluted earnings per common share in 2011 and $16 million ($27 million pre-tax) or $.14 of basic and diluted earnings per common share in 2010. Expressed as a rate of return on average assets, net income in 2012 was 1.29%, compared with 1.16% in 2011 and 1.08% in 2010. The return on average common shareholders’ equity was 10.96% in 2012, 9.67% in 2011 and 9.30% in 2010.</w:t>
      </w:r>
    </w:p>
    <w:p>
      <w:pPr>
        <w:spacing w:after="0" w:line="5" w:lineRule="exact"/>
        <w:rPr>
          <w:sz w:val="20"/>
          <w:szCs w:val="20"/>
          <w:color w:val="auto"/>
        </w:rPr>
      </w:pPr>
    </w:p>
    <w:p>
      <w:pPr>
        <w:ind w:right="60" w:firstLine="685"/>
        <w:spacing w:after="0" w:line="253" w:lineRule="auto"/>
        <w:rPr>
          <w:sz w:val="20"/>
          <w:szCs w:val="20"/>
          <w:color w:val="auto"/>
        </w:rPr>
      </w:pPr>
      <w:r>
        <w:rPr>
          <w:rFonts w:ascii="Arial" w:cs="Arial" w:eastAsia="Arial" w:hAnsi="Arial"/>
          <w:sz w:val="18"/>
          <w:szCs w:val="18"/>
          <w:color w:val="auto"/>
        </w:rPr>
        <w:t>The Company’s improved financial performance in 2012 as compared with 2011 resulted from an increase in net interest income, lower credit costs and significantly higher mortgage banking revenues and trust income, partially offset by net investment securities losses in 2012, compared with net gains on investment securities in 2011. Results for 2012 reflect the full-year impact of the operations obtained from the acquisition of Wilmington Trust on May 16, 2011. The improved performance in 2011 as compared with 2010 was largely attributable to higher net interest income, lower credit costs and gains from the sale of investment securities available for sale.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685"/>
        <w:spacing w:after="0" w:line="286" w:lineRule="auto"/>
        <w:rPr>
          <w:sz w:val="20"/>
          <w:szCs w:val="20"/>
          <w:color w:val="auto"/>
        </w:rPr>
      </w:pPr>
      <w:r>
        <w:rPr>
          <w:rFonts w:ascii="Arial" w:cs="Arial" w:eastAsia="Arial" w:hAnsi="Arial"/>
          <w:sz w:val="16"/>
          <w:szCs w:val="16"/>
          <w:color w:val="auto"/>
        </w:rPr>
        <w:t>Net interest income on a taxable-equivalent basis rose 9% to $2.62 billion in 2012 from $2.42 billion in 2011. That improvement resulted from growth in average loans and leases of $6.5 billion or 12%. The net interest margin, or taxable-equivalent net interest income divided by average earning assets, was</w:t>
      </w:r>
    </w:p>
    <w:p>
      <w:pPr>
        <w:ind w:right="160"/>
        <w:spacing w:after="0" w:line="250" w:lineRule="auto"/>
        <w:rPr>
          <w:sz w:val="20"/>
          <w:szCs w:val="20"/>
          <w:color w:val="auto"/>
        </w:rPr>
      </w:pPr>
      <w:r>
        <w:rPr>
          <w:rFonts w:ascii="Arial" w:cs="Arial" w:eastAsia="Arial" w:hAnsi="Arial"/>
          <w:sz w:val="18"/>
          <w:szCs w:val="18"/>
          <w:color w:val="auto"/>
        </w:rPr>
        <w:t>3.73% in 2012, unchanged from the year earlier. Taxable-equivalent net interest income increased $124 million or 5% in 2011 as compared with 2010, resulting from a $5.0 billion, or 8%, increase in average earning assets, partially offset by an 11 basis point (hundredths of one percent) narrowing of the net interest margin. The higher average earning assets and the decline in the net interest margin were each largely attributable to the May 2011 acquisition of Wilmington Trust.</w:t>
      </w:r>
    </w:p>
    <w:p>
      <w:pPr>
        <w:spacing w:after="0" w:line="2" w:lineRule="exact"/>
        <w:rPr>
          <w:sz w:val="20"/>
          <w:szCs w:val="20"/>
          <w:color w:val="auto"/>
        </w:rPr>
      </w:pPr>
    </w:p>
    <w:p>
      <w:pPr>
        <w:jc w:val="both"/>
        <w:ind w:right="20" w:firstLine="685"/>
        <w:spacing w:after="0" w:line="300" w:lineRule="auto"/>
        <w:rPr>
          <w:sz w:val="20"/>
          <w:szCs w:val="20"/>
          <w:color w:val="auto"/>
        </w:rPr>
      </w:pPr>
      <w:r>
        <w:rPr>
          <w:rFonts w:ascii="Arial" w:cs="Arial" w:eastAsia="Arial" w:hAnsi="Arial"/>
          <w:sz w:val="15"/>
          <w:szCs w:val="15"/>
          <w:color w:val="auto"/>
        </w:rPr>
        <w:t>The provision for credit losses in 2012 declined 24% to $204 million from $270 million in the prior year. Net charge-offs of $186 million in 2012 were down from $265 million in 2011. Net charge-offs as a percentage of average loans and leases were .30% and .47% in 2012 and 2011, respectively. The Company experienced improvement in credit quality during 2012, although real estate valuations continued to be depressed. The provision for credit losses in 2011 was $98 million or 27% below $368 million in 2010. Net charge-offs in 2011 declined $81 million from $346 million, or .67% of average loans and leases, in 2010.</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Other income aggregated $1.67 billion in 2012, 5% above $1.58 billion in 2011. That improvement was led by mortgage banking revenues, which rose $183 million or 110%, and trust income, which increased $139 million or 42%, from 2011. Gains and losses on bank investment securities totaled to net losses of $48 million in 2012, compared with net gains of $73 million in 2011. Reflected in those gains or losses were other-than-temporary impairment charges of $48 million and $77 million in 2012 and 2011, respectively, on certain privately issued collateralized mortgage obligations (“CMOs”) backed by residential and commercial real estate loans, and gains of $150 million in 2011 from the sale of investment securities available for sale. Those sold securities were predominantly mortgage-backed securities guaranteed by government-sponsored entities that were sold in connection with the Wilmington Trust acquisition in order to manage the Company’s balance sheet composition and resultant capital ratios. Also reflected in other income in 2011 was $55 million of cash received in full settlement of a lawsuit initiated by M&amp;T in 2008 under which M&amp;T sought damages arising from a 2007 investment in collateralized debt obligations (“CDOs”) and alleged that the quality of the investment was not as represented. The $65 million non-taxable gain associated with the acquisition of Wilmington Trust was also included in other income in 2011. Other income rose 43% or $475 million in 2011 from $1.11 billion in 2010. In addition to the gains from the sale of investment securities, the CDO litigation settlement and the merger-related gain from the Wilmington Trust transaction (all recorded in 2011), a $210 million rise in trust income associated with the Wilmington Trust acquisition was the predominant factor in the growth in other income from 2010 to 2011. Also contributing to the higher level of other income in 2011 were increased revenues from letter of credit and credit-related fees and merchant discount and credit card fees. Partially offsetting the favorable factors noted were declines in mortgage banking revenues and service charges on deposit accounts, and the $28 million gain recorded in 2010 associated with the K Bank acquisition transaction.</w:t>
      </w:r>
    </w:p>
    <w:p>
      <w:pPr>
        <w:spacing w:after="0" w:line="10" w:lineRule="exact"/>
        <w:rPr>
          <w:sz w:val="20"/>
          <w:szCs w:val="20"/>
          <w:color w:val="auto"/>
        </w:rPr>
      </w:pPr>
    </w:p>
    <w:p>
      <w:pPr>
        <w:jc w:val="both"/>
        <w:ind w:firstLine="685"/>
        <w:spacing w:after="0" w:line="281" w:lineRule="auto"/>
        <w:rPr>
          <w:sz w:val="20"/>
          <w:szCs w:val="20"/>
          <w:color w:val="auto"/>
        </w:rPr>
      </w:pPr>
      <w:r>
        <w:rPr>
          <w:rFonts w:ascii="Arial" w:cs="Arial" w:eastAsia="Arial" w:hAnsi="Arial"/>
          <w:sz w:val="16"/>
          <w:szCs w:val="16"/>
          <w:color w:val="auto"/>
        </w:rPr>
        <w:t>Other expense increased 1% to $2.51 billion in 2012 from $2.48 billion in 2011. Other expense totaled $1.91 billion in 2010. Included in those amounts are expenses considered by M&amp;T to be “nonoperating” in nature, consisting of amortization of core deposit and other intangible assets of $61 million, $62 million and $58 million in 2012, 2011 and 2010, respectively, and merger-related expenses of $10 million in 2012, $84 million in 2011 and $771 thousand in 2010.</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Exclusive of those nonoperating expenses, noninterest operating expenses aggregated $2.44 billion in 2012, compared with $2.33 billion in 2011 and $1.86 billion in 2010. Reflected in 2011’s noninterest operating expenses were a $79 million other-than-temporary impairment charge related to M&amp;T’s 20% investment in Bayview Lending Group LLC (“BLG”) and a $30 million tax-deductible cash contribution to The M&amp;T Charitable Foundation in the fourth quarter. After considering those items, the increase in noninterest operating expenses from 2011 to 2012 was largely the result of the full-year impact of the operations obtained in the May 2011 acquisition of Wilmington Trust. In addition to the two items noted above that impacted 2011 expenses, contributing to the rise in noninterest operating expenses from 2010 to 2011 were the impact of the operations obtained in the Wilmington Trust acquisition and higher FDIC assessments.</w:t>
      </w:r>
    </w:p>
    <w:p>
      <w:pPr>
        <w:spacing w:after="0" w:line="4"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The efficiency ratio expresses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and gains on merger transactions), was 56.2% in 2012, compared with 60.4% in 2011 and 53.7% in 2010. The calculations of the efficiency ratio are presented in table 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Increase (Decrease)(a)</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rPr>
              <w:t>Growth Rate</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2011 to 2012</w:t>
            </w:r>
          </w:p>
        </w:tc>
        <w:tc>
          <w:tcPr>
            <w:tcW w:w="80" w:type="dxa"/>
            <w:vAlign w:val="bottom"/>
          </w:tcPr>
          <w:p>
            <w:pPr>
              <w:spacing w:after="0"/>
              <w:rPr>
                <w:sz w:val="15"/>
                <w:szCs w:val="15"/>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4"/>
              </w:rPr>
              <w:t>2010 to 2011</w:t>
            </w:r>
          </w:p>
        </w:tc>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5 Years</w:t>
            </w:r>
          </w:p>
        </w:tc>
        <w:tc>
          <w:tcPr>
            <w:tcW w:w="0" w:type="dxa"/>
            <w:vAlign w:val="bottom"/>
          </w:tcPr>
          <w:p>
            <w:pPr>
              <w:spacing w:after="0"/>
              <w:rPr>
                <w:sz w:val="1"/>
                <w:szCs w:val="1"/>
                <w:color w:val="auto"/>
              </w:rPr>
            </w:pPr>
          </w:p>
        </w:tc>
      </w:tr>
      <w:tr>
        <w:trPr>
          <w:trHeight w:val="142"/>
        </w:trPr>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4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4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2007 to 2012</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8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Interest income(b)</w:t>
            </w:r>
          </w:p>
        </w:tc>
        <w:tc>
          <w:tcPr>
            <w:tcW w:w="1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64.1</w:t>
            </w:r>
          </w:p>
        </w:tc>
        <w:tc>
          <w:tcPr>
            <w:tcW w:w="18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vMerge w:val="continue"/>
            <w:shd w:val="clear" w:color="auto" w:fill="CCEEFF"/>
          </w:tcPr>
          <w:p>
            <w:pPr>
              <w:spacing w:after="0"/>
              <w:rPr>
                <w:sz w:val="12"/>
                <w:szCs w:val="12"/>
                <w:color w:val="auto"/>
              </w:rPr>
            </w:pPr>
          </w:p>
        </w:tc>
        <w:tc>
          <w:tcPr>
            <w:tcW w:w="382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$2,968.1</w:t>
            </w:r>
          </w:p>
        </w:tc>
        <w:tc>
          <w:tcPr>
            <w:tcW w:w="20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2,817.9</w:t>
            </w:r>
          </w:p>
        </w:tc>
        <w:tc>
          <w:tcPr>
            <w:tcW w:w="18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2,753.8</w:t>
            </w:r>
          </w:p>
        </w:tc>
        <w:tc>
          <w:tcPr>
            <w:tcW w:w="20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2,747.0</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3,299.5</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(59.2)</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3820" w:type="dxa"/>
            <w:vAlign w:val="bottom"/>
          </w:tcPr>
          <w:p>
            <w:pPr>
              <w:ind w:left="60"/>
              <w:spacing w:after="0" w:line="149" w:lineRule="exact"/>
              <w:rPr>
                <w:sz w:val="20"/>
                <w:szCs w:val="20"/>
                <w:color w:val="auto"/>
              </w:rPr>
            </w:pPr>
            <w:r>
              <w:rPr>
                <w:rFonts w:ascii="Arial" w:cs="Arial" w:eastAsia="Arial" w:hAnsi="Arial"/>
                <w:sz w:val="14"/>
                <w:szCs w:val="14"/>
                <w:color w:val="auto"/>
              </w:rPr>
              <w:t>Interest expense</w:t>
            </w:r>
          </w:p>
        </w:tc>
        <w:tc>
          <w:tcPr>
            <w:tcW w:w="2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343.2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402.3</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462.3</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669.4</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1,337.8</w:t>
            </w:r>
          </w:p>
        </w:tc>
        <w:tc>
          <w:tcPr>
            <w:tcW w:w="1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124.1</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3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Net interest income(b)</w:t>
            </w:r>
          </w:p>
        </w:tc>
        <w:tc>
          <w:tcPr>
            <w:tcW w:w="2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2,624.9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2,415.6</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2,291.5</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2,077.6</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1,961.7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(66.0)</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(98.0)</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3820" w:type="dxa"/>
            <w:vAlign w:val="bottom"/>
          </w:tcPr>
          <w:p>
            <w:pPr>
              <w:ind w:left="60"/>
              <w:spacing w:after="0" w:line="149" w:lineRule="exact"/>
              <w:rPr>
                <w:sz w:val="20"/>
                <w:szCs w:val="20"/>
                <w:color w:val="auto"/>
              </w:rPr>
            </w:pPr>
            <w:r>
              <w:rPr>
                <w:rFonts w:ascii="Arial" w:cs="Arial" w:eastAsia="Arial" w:hAnsi="Arial"/>
                <w:sz w:val="14"/>
                <w:szCs w:val="14"/>
                <w:color w:val="auto"/>
              </w:rPr>
              <w:t>Less: provision for credit losses</w:t>
            </w:r>
          </w:p>
        </w:tc>
        <w:tc>
          <w:tcPr>
            <w:tcW w:w="2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204.0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368.0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604.0</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412.0</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(121.0)</w:t>
            </w: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156.7</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Gain (loss) on bank investment securities(c)</w:t>
            </w:r>
          </w:p>
        </w:tc>
        <w:tc>
          <w:tcPr>
            <w:tcW w:w="2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(83.5)</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(137.1)</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205.3</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318.2</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3820" w:type="dxa"/>
            <w:vAlign w:val="bottom"/>
          </w:tcPr>
          <w:p>
            <w:pPr>
              <w:ind w:left="60"/>
              <w:spacing w:after="0" w:line="149" w:lineRule="exact"/>
              <w:rPr>
                <w:sz w:val="20"/>
                <w:szCs w:val="20"/>
                <w:color w:val="auto"/>
              </w:rPr>
            </w:pPr>
            <w:r>
              <w:rPr>
                <w:rFonts w:ascii="Arial" w:cs="Arial" w:eastAsia="Arial" w:hAnsi="Arial"/>
                <w:sz w:val="14"/>
                <w:szCs w:val="14"/>
                <w:color w:val="auto"/>
              </w:rPr>
              <w:t>Other income</w:t>
            </w:r>
          </w:p>
        </w:tc>
        <w:tc>
          <w:tcPr>
            <w:tcW w:w="2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1,715.1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1,509.8</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1,191.6</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1,185.2</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1,086.7</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Less: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110.6</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204.3</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Salaries and employee benefits</w:t>
            </w:r>
          </w:p>
        </w:tc>
        <w:tc>
          <w:tcPr>
            <w:tcW w:w="2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1,314.6</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1,204.0</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999.7</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1,001.9</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957.1</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(79.4)</w:t>
            </w: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359.0</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w:t>
            </w:r>
          </w:p>
        </w:tc>
        <w:tc>
          <w:tcPr>
            <w:tcW w:w="2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1,194.7</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1,274.1</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915.1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vMerge w:val="restart"/>
          </w:tcPr>
          <w:p>
            <w:pPr>
              <w:ind w:left="60"/>
              <w:spacing w:after="0"/>
              <w:rPr>
                <w:sz w:val="20"/>
                <w:szCs w:val="20"/>
                <w:color w:val="auto"/>
              </w:rPr>
            </w:pPr>
            <w:r>
              <w:rPr>
                <w:rFonts w:ascii="Arial" w:cs="Arial" w:eastAsia="Arial" w:hAnsi="Arial"/>
                <w:sz w:val="14"/>
                <w:szCs w:val="14"/>
                <w:color w:val="auto"/>
              </w:rPr>
              <w:t>Income before income taxes</w:t>
            </w:r>
          </w:p>
        </w:tc>
        <w:tc>
          <w:tcPr>
            <w:tcW w:w="1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328.4</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133.7</w:t>
            </w:r>
          </w:p>
        </w:tc>
        <w:tc>
          <w:tcPr>
            <w:tcW w:w="3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w:t>
            </w:r>
          </w:p>
        </w:tc>
        <w:tc>
          <w:tcPr>
            <w:tcW w:w="3820" w:type="dxa"/>
            <w:vAlign w:val="bottom"/>
            <w:vMerge w:val="continue"/>
          </w:tcPr>
          <w:p>
            <w:pPr>
              <w:spacing w:after="0"/>
              <w:rPr>
                <w:sz w:val="13"/>
                <w:szCs w:val="13"/>
                <w:color w:val="auto"/>
              </w:rPr>
            </w:pPr>
          </w:p>
        </w:tc>
        <w:tc>
          <w:tcPr>
            <w:tcW w:w="202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1,578.9</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9"/>
              </w:rPr>
              <w:t>1,250.5</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1,116.8</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541.1</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761.6</w:t>
            </w: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Less: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Taxable-equivalent adjustment(b)</w:t>
            </w:r>
          </w:p>
        </w:tc>
        <w:tc>
          <w:tcPr>
            <w:tcW w:w="2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157.9</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taxes</w:t>
            </w:r>
          </w:p>
        </w:tc>
        <w:tc>
          <w:tcPr>
            <w:tcW w:w="2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523.0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356.6</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vMerge w:val="restart"/>
          </w:tcPr>
          <w:p>
            <w:pPr>
              <w:ind w:left="60"/>
              <w:spacing w:after="0"/>
              <w:rPr>
                <w:sz w:val="20"/>
                <w:szCs w:val="20"/>
                <w:color w:val="auto"/>
              </w:rPr>
            </w:pPr>
            <w:r>
              <w:rPr>
                <w:rFonts w:ascii="Arial" w:cs="Arial" w:eastAsia="Arial" w:hAnsi="Arial"/>
                <w:sz w:val="14"/>
                <w:szCs w:val="14"/>
                <w:color w:val="auto"/>
              </w:rPr>
              <w:t>Net income</w:t>
            </w:r>
          </w:p>
        </w:tc>
        <w:tc>
          <w:tcPr>
            <w:tcW w:w="1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9%</w:t>
            </w:r>
          </w:p>
        </w:tc>
        <w:tc>
          <w:tcPr>
            <w:tcW w:w="0" w:type="dxa"/>
            <w:vAlign w:val="bottom"/>
          </w:tcPr>
          <w:p>
            <w:pPr>
              <w:spacing w:after="0" w:line="20" w:lineRule="exact"/>
              <w:rPr>
                <w:sz w:val="1"/>
                <w:szCs w:val="1"/>
                <w:color w:val="auto"/>
              </w:rPr>
            </w:pPr>
          </w:p>
        </w:tc>
      </w:tr>
      <w:tr>
        <w:trPr>
          <w:trHeight w:val="156"/>
        </w:trPr>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170.0</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123.3</w:t>
            </w:r>
          </w:p>
        </w:tc>
        <w:tc>
          <w:tcPr>
            <w:tcW w:w="3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17</w:t>
            </w:r>
          </w:p>
        </w:tc>
        <w:tc>
          <w:tcPr>
            <w:tcW w:w="3820" w:type="dxa"/>
            <w:vAlign w:val="bottom"/>
            <w:vMerge w:val="continue"/>
          </w:tcPr>
          <w:p>
            <w:pPr>
              <w:spacing w:after="0"/>
              <w:rPr>
                <w:sz w:val="13"/>
                <w:szCs w:val="13"/>
                <w:color w:val="auto"/>
              </w:rPr>
            </w:pPr>
          </w:p>
        </w:tc>
        <w:tc>
          <w:tcPr>
            <w:tcW w:w="2020" w:type="dxa"/>
            <w:vAlign w:val="bottom"/>
            <w:gridSpan w:val="3"/>
          </w:tcPr>
          <w:p>
            <w:pPr>
              <w:jc w:val="right"/>
              <w:ind w:right="20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1,029.5</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859.5</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736.2</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379.9</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555.9</w:t>
            </w: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Changes were calculated from unrounded amounts.</w:t>
      </w:r>
    </w:p>
    <w:p>
      <w:pPr>
        <w:spacing w:after="0" w:line="63" w:lineRule="exact"/>
        <w:rPr>
          <w:rFonts w:ascii="Arial" w:cs="Arial" w:eastAsia="Arial" w:hAnsi="Arial"/>
          <w:sz w:val="18"/>
          <w:szCs w:val="18"/>
          <w:i w:val="1"/>
          <w:iCs w:val="1"/>
          <w:color w:val="auto"/>
        </w:rPr>
      </w:pPr>
    </w:p>
    <w:p>
      <w:pPr>
        <w:ind w:left="460" w:right="340" w:hanging="452"/>
        <w:spacing w:after="0" w:line="305" w:lineRule="auto"/>
        <w:tabs>
          <w:tab w:leader="none" w:pos="4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other-than-temporary impairment losses, if 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$3.6 billion at December 31, 2012, compared with $3.7 billion at each of December 31, 2011 and 2010. Included in such intangible assets was goodwill of $3.5 billion at each of those dates. Amortization of core deposit and other intangible assets, after tax effect, totaled $37 million, $38 million and $35 million during 2012, 2011 and 2010, respectively.</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3" w:lineRule="exact"/>
        <w:rPr>
          <w:sz w:val="20"/>
          <w:szCs w:val="20"/>
          <w:color w:val="auto"/>
        </w:rPr>
      </w:pPr>
    </w:p>
    <w:p>
      <w:pPr>
        <w:ind w:right="40" w:firstLine="685"/>
        <w:spacing w:after="0" w:line="300" w:lineRule="auto"/>
        <w:rPr>
          <w:sz w:val="20"/>
          <w:szCs w:val="20"/>
          <w:color w:val="auto"/>
        </w:rPr>
      </w:pPr>
      <w:r>
        <w:rPr>
          <w:rFonts w:ascii="Arial" w:cs="Arial" w:eastAsia="Arial" w:hAnsi="Arial"/>
          <w:sz w:val="15"/>
          <w:szCs w:val="15"/>
          <w:color w:val="auto"/>
        </w:rPr>
        <w:t>Net operating income totaled $1.07 billion in 2012, up 21% from $884 million in 2011. Diluted net operating earnings per common share in 2012 rose 20% to $7.88 from $6.55 in 2011. Net operating income and diluted net operating earnings per common share were $755 million and $5.84, respectively, in 2010.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Expressed as a rate of return on average tangible assets, net operating income was 1.40% in 2012, compared with 1.26% in 2011 and 1.17% in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operating return on average tangible common equity was 19.42% in 2012, compared with 17.96% and 18.95% in 2011 and 2010, respectively.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1,029,498</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859,479</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736,161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37,011</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37,550</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gains(a)</w:t>
            </w:r>
          </w:p>
        </w:tc>
        <w:tc>
          <w:tcPr>
            <w:tcW w:w="6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(64,930)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6,001</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52,154</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Net operating income</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1,072,510</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884,253</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755,165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Earnings per common share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7.54</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gains(a)</w:t>
            </w:r>
          </w:p>
        </w:tc>
        <w:tc>
          <w:tcPr>
            <w:tcW w:w="6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Diluted net operating earnings per common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7.88</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6.55</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2,509,260</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2,478,068</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1,914,837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(60,631)</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(61,617)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(58,103)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60" w:type="dxa"/>
            <w:vAlign w:val="bottom"/>
          </w:tcPr>
          <w:p>
            <w:pPr>
              <w:spacing w:after="0"/>
              <w:rPr>
                <w:sz w:val="13"/>
                <w:szCs w:val="13"/>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(9,879)</w:t>
            </w:r>
          </w:p>
        </w:tc>
        <w:tc>
          <w:tcPr>
            <w:tcW w:w="60" w:type="dxa"/>
            <w:vAlign w:val="bottom"/>
          </w:tcPr>
          <w:p>
            <w:pPr>
              <w:spacing w:after="0"/>
              <w:rPr>
                <w:sz w:val="13"/>
                <w:szCs w:val="13"/>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(83,687)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2,438,750</w:t>
            </w:r>
          </w:p>
        </w:tc>
        <w:tc>
          <w:tcPr>
            <w:tcW w:w="8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2,332,764</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1,855,963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4,997</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16,131</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2,663</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Other costs of operations</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4,867</w:t>
            </w: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64,481</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9,879</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83,687</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2,438,750</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2,332,764</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1,855,963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w w:val="83"/>
              </w:rPr>
              <w:t>2,624,907</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w w:val="83"/>
              </w:rPr>
              <w:t>2,415,632</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3"/>
              </w:rPr>
              <w:t>2,291,549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1,667,270</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1,582,912</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1,108,100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Less: Gain on bank investment securities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150,187</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OTTI losses recognized in earnings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(47,822)</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(77,035)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(86,281)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Merger-related gains</w:t>
            </w:r>
          </w:p>
        </w:tc>
        <w:tc>
          <w:tcPr>
            <w:tcW w:w="60" w:type="dxa"/>
            <w:vAlign w:val="bottom"/>
          </w:tcPr>
          <w:p>
            <w:pPr>
              <w:spacing w:after="0"/>
              <w:rPr>
                <w:sz w:val="13"/>
                <w:szCs w:val="13"/>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64,930</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4,339,990</w:t>
            </w:r>
          </w:p>
        </w:tc>
        <w:tc>
          <w:tcPr>
            <w:tcW w:w="8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3,860,462</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3,455,621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Efficiency ratio</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56.19%</w:t>
            </w:r>
          </w:p>
        </w:tc>
        <w:tc>
          <w:tcPr>
            <w:tcW w:w="60" w:type="dxa"/>
            <w:vAlign w:val="bottom"/>
          </w:tcPr>
          <w:p>
            <w:pPr>
              <w:spacing w:after="0"/>
              <w:rPr>
                <w:sz w:val="12"/>
                <w:szCs w:val="12"/>
                <w:color w:val="auto"/>
              </w:rPr>
            </w:pPr>
          </w:p>
        </w:tc>
        <w:tc>
          <w:tcPr>
            <w:tcW w:w="10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60.43%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53.71%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Average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79,983</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73,977</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(144)</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Average tangible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76,356</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70,327</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Average total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9,703</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9,004</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(869)</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(797)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8,834</w:t>
            </w:r>
          </w:p>
        </w:tc>
        <w:tc>
          <w:tcPr>
            <w:tcW w:w="8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8,207</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7,367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(144)</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Average tangible common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5,207</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4,557</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At end of year</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83,009</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77,924</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79,402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74,274</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64,393</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10,203</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9,271</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(873)</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(865)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Undeclared dividends — preferred stock</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color w:val="auto"/>
              </w:rPr>
              <w:t>Common equity, net of undeclared preferred dividends</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9,327</w:t>
            </w:r>
          </w:p>
        </w:tc>
        <w:tc>
          <w:tcPr>
            <w:tcW w:w="8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8,403</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(116)</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Total tangible common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5,720</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4,753</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Income/Lending and Funding Activities</w:t>
      </w:r>
    </w:p>
    <w:p>
      <w:pPr>
        <w:spacing w:after="0" w:line="21" w:lineRule="exact"/>
        <w:rPr>
          <w:sz w:val="20"/>
          <w:szCs w:val="20"/>
          <w:color w:val="auto"/>
        </w:rPr>
      </w:pPr>
    </w:p>
    <w:p>
      <w:pPr>
        <w:jc w:val="both"/>
        <w:ind w:right="200"/>
        <w:spacing w:after="0" w:line="300" w:lineRule="auto"/>
        <w:rPr>
          <w:sz w:val="20"/>
          <w:szCs w:val="20"/>
          <w:color w:val="auto"/>
        </w:rPr>
      </w:pPr>
      <w:r>
        <w:rPr>
          <w:rFonts w:ascii="Arial" w:cs="Arial" w:eastAsia="Arial" w:hAnsi="Arial"/>
          <w:sz w:val="15"/>
          <w:szCs w:val="15"/>
          <w:color w:val="auto"/>
        </w:rPr>
        <w:t>Taxable-equivalent net interest income totaled $2.62 billion in 2012, 9% above $2.42 billion in 2011. That improvement resulted from a 9% increase in average earning assets, to $70.3 billion in 2012 from $64.7 billion in 2011. The rise in average earning assets was the result of higher average loans and leases partially offset by lower interest-bearing deposits held at the Federal Reserve Bank of New York. The net interest margin of 3.73% in 2012 was unchanged from 2011.</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Average balances of loans and leases increased $6.5 billion or 12% to $62.7 billion in 2012 from $56.2 billion in 2011. Commercial loans and leases averaged $16.3 billion in 2012, up $1.7 billion or 11% from 2011. Average commercial real estate loans increased $2.0 billion or 9% to $24.9 billion in 2012 from $22.9 billion in the prior year. The growth in commercial loans and commercial real estate loans reflects higher loan demand by customers. Residential real estate loan balances rose $2.9 billion or 43% to $9.7 billion in 2012 from $6.8 billion in 2011, predominantly the result of the Company’s decision to retain for portfolio a higher proportion of originated loans during most of the year rather than selling them. Consumer loans averaged $11.7 billion in 2012, down $132 million or 1% from $11.9 billion in 2011. Average loans and leases in 2012 reflect the full-year impact of loans obtained in the Wilmington Trust acquisition.</w:t>
      </w:r>
    </w:p>
    <w:p>
      <w:pPr>
        <w:spacing w:after="0" w:line="4"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Net interest income on a taxable-equivalent basis rose 5% to $2.42 billion in 2011 from $2.29 billion in 2010. Growth in average earning assets was the major factor for that increase, partially offset by a narrowing of the net interest margin. Average earning assets were $64.7 billion in 2011, up 8% from</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$59.7 billion in 2010, predominantly the result of earning assets obtained in the acquisition of Wilmington Trust, which at the May 16, 2011 acquisition date totaled approximately $9.6 billion. The Company’s net interest margin declined to 3.73% in 2011 from 3.84% in 2010, partially attributable to the Wilmington Trust acquisition. Also contributing to that narrowing were significantly higher cash balances on deposit with the Federal Reserve Bank of New York.</w:t>
      </w:r>
    </w:p>
    <w:p>
      <w:pPr>
        <w:spacing w:after="0" w:line="2" w:lineRule="exact"/>
        <w:rPr>
          <w:sz w:val="20"/>
          <w:szCs w:val="20"/>
          <w:color w:val="auto"/>
        </w:rPr>
      </w:pPr>
    </w:p>
    <w:p>
      <w:pPr>
        <w:ind w:right="20" w:firstLine="685"/>
        <w:spacing w:after="0" w:line="287" w:lineRule="auto"/>
        <w:rPr>
          <w:sz w:val="20"/>
          <w:szCs w:val="20"/>
          <w:color w:val="auto"/>
        </w:rPr>
      </w:pPr>
      <w:r>
        <w:rPr>
          <w:rFonts w:ascii="Arial" w:cs="Arial" w:eastAsia="Arial" w:hAnsi="Arial"/>
          <w:sz w:val="16"/>
          <w:szCs w:val="16"/>
          <w:color w:val="auto"/>
        </w:rPr>
        <w:t>Average loans and leases rose $4.9 billion or 10% in 2011 from $51.3 billion in 2010, due predominantly to loans obtained in the acquisition of Wilmington Trust. Loans associated with Wilmington Trust totaled $6.4 billion on the acquisition date, consisting of approximately $1.4 billion of commercial loans and leases, $3.2 billion of commercial real estate loans, $1.1 billion of consumer loans and $680 million of residential real estate loans. Including the impact of the acquired loan balances, average commercial loans and leases were $14.7 billion in 2011, up $1.6 billion or 12% from $13.1 billion in 2010. Average balances of commercial real estate loans increased 11% to $22.9 billion in 2011 from $20.7 billion in 2010. Residential real estate loans averaged $6.8 billion in 2011, up 18% from $5.7 billion in 2010. In addition to the impact of Wilmington Trust, higher amounts of loans originated to be held in portfolio contributed to that increase. Consumer loans in 2011 averaged $11.9 billion, up 1% from $11.7 billion in 2010. Largely offsetting the impact of consumer loans obtained in the Wilmington Trust transaction were declines in average automobile and home equity loans.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TAXABLE-EQUIVALENT RATES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580" w:type="dxa"/>
            <w:vAlign w:val="bottom"/>
            <w:tcBorders>
              <w:bottom w:val="single" w:sz="8" w:color="auto"/>
            </w:tcBorders>
          </w:tcPr>
          <w:p>
            <w:pPr>
              <w:spacing w:after="0"/>
              <w:rPr>
                <w:sz w:val="14"/>
                <w:szCs w:val="14"/>
                <w:color w:val="auto"/>
              </w:rPr>
            </w:pPr>
          </w:p>
        </w:tc>
      </w:tr>
      <w:tr>
        <w:trPr>
          <w:trHeight w:val="129"/>
        </w:trPr>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1"/>
                <w:szCs w:val="11"/>
                <w:color w:val="auto"/>
              </w:rPr>
            </w:pPr>
          </w:p>
        </w:tc>
        <w:tc>
          <w:tcPr>
            <w:tcW w:w="580" w:type="dxa"/>
            <w:vAlign w:val="bottom"/>
          </w:tcPr>
          <w:p>
            <w:pPr>
              <w:jc w:val="center"/>
              <w:ind w:left="52"/>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1"/>
                <w:szCs w:val="11"/>
                <w:color w:val="auto"/>
              </w:rPr>
            </w:pPr>
          </w:p>
        </w:tc>
        <w:tc>
          <w:tcPr>
            <w:tcW w:w="580" w:type="dxa"/>
            <w:vAlign w:val="bottom"/>
          </w:tcPr>
          <w:p>
            <w:pPr>
              <w:jc w:val="center"/>
              <w:ind w:left="52"/>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7"/>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r>
      <w:tr>
        <w:trPr>
          <w:trHeight w:val="174"/>
        </w:trPr>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Rate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Pr>
          <w:p>
            <w:pPr>
              <w:spacing w:after="0"/>
              <w:rPr>
                <w:sz w:val="20"/>
                <w:szCs w:val="20"/>
                <w:color w:val="auto"/>
              </w:rPr>
            </w:pPr>
            <w:r>
              <w:rPr>
                <w:rFonts w:ascii="Arial" w:cs="Arial" w:eastAsia="Arial" w:hAnsi="Arial"/>
                <w:sz w:val="14"/>
                <w:szCs w:val="14"/>
                <w:b w:val="1"/>
                <w:bCs w:val="1"/>
                <w:color w:val="auto"/>
              </w:rPr>
              <w:t>Balance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Rate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Pr>
          <w:p>
            <w:pPr>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580" w:type="dxa"/>
            <w:vAlign w:val="bottom"/>
          </w:tcPr>
          <w:p>
            <w:pPr>
              <w:jc w:val="center"/>
              <w:ind w:left="32"/>
              <w:spacing w:after="0"/>
              <w:rPr>
                <w:sz w:val="20"/>
                <w:szCs w:val="20"/>
                <w:color w:val="auto"/>
              </w:rPr>
            </w:pPr>
            <w:r>
              <w:rPr>
                <w:rFonts w:ascii="Arial" w:cs="Arial" w:eastAsia="Arial" w:hAnsi="Arial"/>
                <w:sz w:val="14"/>
                <w:szCs w:val="14"/>
                <w:b w:val="1"/>
                <w:bCs w:val="1"/>
                <w:color w:val="auto"/>
                <w:w w:val="92"/>
              </w:rPr>
              <w: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6277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ind w:left="4860"/>
        <w:spacing w:after="0" w:line="222" w:lineRule="auto"/>
        <w:rPr>
          <w:sz w:val="20"/>
          <w:szCs w:val="20"/>
          <w:color w:val="auto"/>
        </w:rPr>
      </w:pPr>
      <w:r>
        <w:rPr>
          <w:rFonts w:ascii="Arial" w:cs="Arial" w:eastAsia="Arial" w:hAnsi="Arial"/>
          <w:sz w:val="14"/>
          <w:szCs w:val="14"/>
          <w:b w:val="1"/>
          <w:bCs w:val="1"/>
          <w:color w:val="auto"/>
        </w:rPr>
        <w:t>(Average balance in millions; interest in thousands)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Loans and leases, net of</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unearned</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discount(a)</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financial, etc.</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16,336</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606,495</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3.71%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14,655</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564,787</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3.85%</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13,092</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521,747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3.99%</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13,855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524,609</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3.79%</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13,802</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723,851</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Real estate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24,907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1,138,723</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4.50</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22,901</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9"/>
              </w:rPr>
              <w:t>1,051,772</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4.59</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20,714</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974,047</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4.70</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20,085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894,691</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4.45</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18,428</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3"/>
              </w:rPr>
              <w:t>1,072,178</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Real estate —</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9,727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421,516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4.33</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6,778</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334,421</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4.93</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5,746</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303,262</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5.28</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5,297</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288,474</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5.45</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5,465</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329,574</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11,732</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559,253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11,865</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592,386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4.99</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613,479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11,722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636,074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5.43</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11,150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716,678</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color w:val="auto"/>
                <w:w w:val="96"/>
              </w:rPr>
              <w:t>Total loans and</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color w:val="auto"/>
              </w:rPr>
              <w:t>leases, net</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62,702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2,725,987</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4.35</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56,199</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9"/>
              </w:rPr>
              <w:t>2,543,366</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4.53</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51,297</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2,412,535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4.70</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50,959</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2,343,848</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4.60</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48,845</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2,842,281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 at banks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1,195</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2,934</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.09</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109</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w w:val="94"/>
              </w:rPr>
              <w:t>Federal funds sold and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w w:val="89"/>
              </w:rPr>
              <w:t>agreements to resell</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180</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189</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.11</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221</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446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129</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109</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2,071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1,411</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1,546</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securities(b)</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U.S. Treasury and</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federal</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agencies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4,538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150,500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3.32</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4,165</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155,339</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3.73</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4,483</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191,677</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4.28</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3,805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182,163</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4.79</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3,740</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181,098</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Obligations 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states and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political</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subdivisions</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220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11,638</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5.29</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244</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13,704</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5.61</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15,107</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5.67</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221</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13,143</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5.94</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136</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9,243</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2,211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77,315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2,655</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101,020</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133,176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4,377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207,069</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4.73</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5,097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263,104</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6,969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239,453</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7,064</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270,063</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3.82</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8,018</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339,960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8,403</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402,375</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4.79</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8,973</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453,445</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i w:val="1"/>
                <w:iCs w:val="1"/>
                <w:color w:val="auto"/>
              </w:rPr>
              <w:t>Total earning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i w:val="1"/>
                <w:iCs w:val="1"/>
                <w:color w:val="auto"/>
              </w:rPr>
              <w:t>assets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70,299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2,968,076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4.22</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64,732</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9"/>
              </w:rPr>
              <w:t>2,817,963</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4.35</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59,732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2,753,818</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4.61</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59,551</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2,747,026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4.61</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58,016</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3"/>
              </w:rPr>
              <w:t>3,299,452</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5"/>
        </w:trPr>
        <w:tc>
          <w:tcPr>
            <w:tcW w:w="1380" w:type="dxa"/>
            <w:vAlign w:val="bottom"/>
            <w:gridSpan w:val="2"/>
          </w:tcPr>
          <w:p>
            <w:pPr>
              <w:spacing w:after="0" w:line="145" w:lineRule="exact"/>
              <w:rPr>
                <w:sz w:val="20"/>
                <w:szCs w:val="20"/>
                <w:color w:val="auto"/>
              </w:rPr>
            </w:pPr>
            <w:r>
              <w:rPr>
                <w:rFonts w:ascii="Arial" w:cs="Arial" w:eastAsia="Arial" w:hAnsi="Arial"/>
                <w:sz w:val="14"/>
                <w:szCs w:val="14"/>
                <w:color w:val="auto"/>
              </w:rPr>
              <w:t>Allowance for credit</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(922)</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(916)</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(864)</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(791)</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 and due from</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banks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1,207</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1,099</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1,121</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1,224</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9,222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8,954</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8,455</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7,664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6,683</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79,983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73,977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67,472</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65,132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NOW accounts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753</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1,145</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2,894</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Savings deposits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33,398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68,011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30,403</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84,314</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26,190</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85,226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22,832</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112,550</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18,170</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248,083</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Time deposits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46,102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71,014</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206,220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2.35</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9,583</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330,389</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Deposits at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Cayman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Islands office</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605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1,130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779</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962</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.12</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953</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1,368</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1,665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2,391</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.14</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3,986</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84,483</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interest-</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bearing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40,206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116,586</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38,415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157,435</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34,327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187,685</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33,822</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322,283</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.95</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32,241</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665,849</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w w:val="98"/>
              </w:rPr>
              <w:t>Short-term borrowings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839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1,286</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827</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1,854</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3,006</w:t>
            </w:r>
          </w:p>
        </w:tc>
        <w:tc>
          <w:tcPr>
            <w:tcW w:w="1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2,911</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7,129</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.24</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6,086</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142,627</w:t>
            </w: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Long-term borrowings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225,297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6,959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243,866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271,578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11,092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340,037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3.07</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11,605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529,319</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i w:val="1"/>
                <w:iCs w:val="1"/>
                <w:color w:val="auto"/>
              </w:rPr>
              <w:t>Total interest-</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i w:val="1"/>
                <w:iCs w:val="1"/>
                <w:color w:val="auto"/>
              </w:rPr>
              <w:t>bearing</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i w:val="1"/>
                <w:iCs w:val="1"/>
                <w:color w:val="auto"/>
              </w:rPr>
              <w:t>liabilities</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46,572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343,169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46,201</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402,331</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.87</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45,350</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462,269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1.02</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47,825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669,449</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1.40</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49,932</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1,337,795</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Noninterest-bearing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21,761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17,273</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13,709</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11,054</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7,674</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1,947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1,499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1,218</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70,280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64,973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60,277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60,190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58,695</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9,703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9,004</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8,103</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7,282</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6,437</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Total liabilities and</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shareholders’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equity</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79,983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73,977</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68,380</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67,472</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65,132</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3.48</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3.48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3.59</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3.21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3.01</w:t>
            </w:r>
          </w:p>
        </w:tc>
        <w:tc>
          <w:tcPr>
            <w:tcW w:w="0" w:type="dxa"/>
            <w:vAlign w:val="bottom"/>
          </w:tcPr>
          <w:p>
            <w:pPr>
              <w:spacing w:after="0" w:line="20" w:lineRule="exact"/>
              <w:rPr>
                <w:sz w:val="1"/>
                <w:szCs w:val="1"/>
                <w:color w:val="auto"/>
              </w:rPr>
            </w:pPr>
          </w:p>
        </w:tc>
      </w:tr>
      <w:tr>
        <w:trPr>
          <w:trHeight w:val="143"/>
        </w:trPr>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Contribution of</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interest-free funds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.28</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5"/>
        </w:trPr>
        <w:tc>
          <w:tcPr>
            <w:tcW w:w="1380" w:type="dxa"/>
            <w:vAlign w:val="bottom"/>
            <w:gridSpan w:val="2"/>
          </w:tcPr>
          <w:p>
            <w:pPr>
              <w:spacing w:after="0" w:line="145" w:lineRule="exact"/>
              <w:rPr>
                <w:sz w:val="20"/>
                <w:szCs w:val="20"/>
                <w:color w:val="auto"/>
              </w:rPr>
            </w:pPr>
            <w:r>
              <w:rPr>
                <w:rFonts w:ascii="Arial" w:cs="Arial" w:eastAsia="Arial" w:hAnsi="Arial"/>
                <w:sz w:val="14"/>
                <w:szCs w:val="14"/>
                <w:color w:val="auto"/>
              </w:rPr>
              <w:t>Net interest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income/margin on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earning assets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2,624,907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3.73%</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9"/>
              </w:rPr>
              <w:t>2,415,632</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3.73%</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2,291,549</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3.84%</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2,077,577</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1,961,657</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nonaccrual loans.</w:t>
      </w:r>
    </w:p>
    <w:p>
      <w:pPr>
        <w:spacing w:after="0" w:line="41" w:lineRule="exact"/>
        <w:rPr>
          <w:rFonts w:ascii="Arial" w:cs="Arial" w:eastAsia="Arial" w:hAnsi="Arial"/>
          <w:sz w:val="14"/>
          <w:szCs w:val="14"/>
          <w:i w:val="1"/>
          <w:iCs w:val="1"/>
          <w:color w:val="auto"/>
        </w:rPr>
      </w:pPr>
    </w:p>
    <w:p>
      <w:pPr>
        <w:ind w:left="220" w:hanging="212"/>
        <w:spacing w:after="0"/>
        <w:tabs>
          <w:tab w:leader="none" w:pos="2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available-for-sale investment securities at amortized cost.</w:t>
      </w:r>
    </w:p>
    <w:p>
      <w:pPr>
        <w:sectPr>
          <w:pgSz w:w="11900" w:h="16838" w:orient="portrait"/>
          <w:cols w:equalWidth="0" w:num="1">
            <w:col w:w="11420"/>
          </w:cols>
          <w:pgMar w:left="240" w:top="459" w:right="239" w:bottom="1124"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20"/>
          </w:cols>
          <w:pgMar w:left="240" w:top="459" w:right="239" w:bottom="1124"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Table 4 summarizes average loans and leases outstanding in 2012 and percentage changes in the major components of the portfolio over the past two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LOANS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of unearned discount)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(Decrease)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gridSpan w:val="2"/>
          </w:tcPr>
          <w:p>
            <w:pPr>
              <w:jc w:val="right"/>
              <w:ind w:right="872"/>
              <w:spacing w:after="0" w:line="142" w:lineRule="exact"/>
              <w:rPr>
                <w:sz w:val="20"/>
                <w:szCs w:val="20"/>
                <w:color w:val="auto"/>
              </w:rPr>
            </w:pPr>
            <w:r>
              <w:rPr>
                <w:rFonts w:ascii="Arial" w:cs="Arial" w:eastAsia="Arial" w:hAnsi="Arial"/>
                <w:sz w:val="14"/>
                <w:szCs w:val="14"/>
                <w:b w:val="1"/>
                <w:bCs w:val="1"/>
                <w:color w:val="auto"/>
                <w:w w:val="84"/>
              </w:rPr>
              <w:t>2011 to 2012</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2010 to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940" w:type="dxa"/>
            <w:vAlign w:val="bottom"/>
            <w:gridSpan w:val="2"/>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16,336</w:t>
            </w: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24,907</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9,727</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2,572</w:t>
            </w: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5,930</w:t>
            </w:r>
          </w:p>
        </w:tc>
        <w:tc>
          <w:tcPr>
            <w:tcW w:w="920" w:type="dxa"/>
            <w:vAlign w:val="bottom"/>
          </w:tcPr>
          <w:p>
            <w:pPr>
              <w:spacing w:after="0"/>
              <w:rPr>
                <w:sz w:val="18"/>
                <w:szCs w:val="18"/>
                <w:color w:val="auto"/>
              </w:rPr>
            </w:pPr>
          </w:p>
        </w:tc>
        <w:tc>
          <w:tcPr>
            <w:tcW w:w="166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20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consumer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11,732</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62,702</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2"/>
          </w:tcPr>
          <w:p>
            <w:pPr>
              <w:jc w:val="right"/>
              <w:ind w:right="732"/>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685"/>
        <w:spacing w:after="0" w:line="312" w:lineRule="auto"/>
        <w:rPr>
          <w:sz w:val="20"/>
          <w:szCs w:val="20"/>
          <w:color w:val="auto"/>
        </w:rPr>
      </w:pPr>
      <w:r>
        <w:rPr>
          <w:rFonts w:ascii="Arial" w:cs="Arial" w:eastAsia="Arial" w:hAnsi="Arial"/>
          <w:sz w:val="15"/>
          <w:szCs w:val="15"/>
          <w:color w:val="auto"/>
        </w:rPr>
        <w:t>Commercial loans and leases, excluding loans secured by real estate, totaled $17.8 billion at December 31, 2012, representing 27% of total loans and leases. Table 5 presents information on commercial loans and leases as of December 31, 2012 relating to geographic area, size, borrower industry and whether the loans are secured by collateral or unsecured. Of the $17.8 billion of commercial loans and leases outstanding at the end of 2012, approximately $15.2 billion, or 85%, were secured, while 44%, 25% and 19% were granted to businesses in New York State, Pennsylvania and the Mid-Atlantic area (which includes Maryland, Delaware, Virginia, West Virginia and the District of Columbia), respectively. The Company provides financing for leases to commercial customers, primarily for equipment. Commercial leases included in total commercial loans and leases at December 31, 2012 aggregated $1.3 billion, of which 50% were secured by collateral located in New York State, 14% were secured by collateral in Pennsylvania and another 13% were secured by collateral in the Mid-Atlantic area.</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LOANS AND LEASES, NET OF UNEARNED DISCOUNT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(Excludes Loans Secured by Real Estate)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Mid-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New York</w:t>
            </w: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2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Atlantic</w:t>
            </w:r>
          </w:p>
        </w:tc>
        <w:tc>
          <w:tcPr>
            <w:tcW w:w="24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 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1,566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3,376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1,124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2,883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Automobile dealerships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2,825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1,619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and insurance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Real estate investors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1,064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Transportation, communications, utilities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Health services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907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Public administration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543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Agriculture, forestry, fishing, mining, etc.</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128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4"/>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7,927</w:t>
            </w:r>
          </w:p>
        </w:tc>
        <w:tc>
          <w:tcPr>
            <w:tcW w:w="4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4,461</w:t>
            </w:r>
          </w:p>
        </w:tc>
        <w:tc>
          <w:tcPr>
            <w:tcW w:w="4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3,303</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2,086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3"/>
              </w:rPr>
              <w:t>17,777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Percent of dollars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Percent of dollars outstanding by size of loan</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Less than $1 million</w:t>
            </w: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23%</w:t>
            </w: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million to $5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$5 million to $10 million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 million to $20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$20 million to $30 million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Greater than $50 million</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50</w:t>
            </w: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International loans included in commercial loans and leases totaled $138 million and $122 million at December 31, 2012 and 2011, respectively. Included in such loans were $128 million and $108 million, respectively, of loans at M&amp;T Bank’s commercial branch in Ontario, Canada, which opened in the second quarter of 2010. The Company participates in the insurance and guarantee programs of the Export-Import Bank of the United States. These programs provide U.S. government repayment coverage of 90% to 100% on loans supporting foreign borrowers’ purchases of U.S. goods and services and coverage of 90% on loans to U.S. exporters of goods and services to foreign buyers. The loans generally range up to $10 million. The outstanding balances of loans under those programs at December 31, 2012 and 2011 were $5 million and $9 million, respectively.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Loans secured by real estate, including outstanding balances of home equity loans and lines of credit which the Company classifies as consumer loans,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represented approximately 66% of the loan and lease portfolio during 2012, compared with 65% in each of 2011 and 2010. At December 31, 2012,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approximately $26.0 billion of commercial real estate loans, $11.2 billion of consumer real estate loans secured by one-to-four family residential properties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$1.2 billion of loans held for sale) and $6.3 billion of outstanding balances of home equity loans and lines of credit, compared with $24.4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 billion and $6.7 billion, respectively, at December 31, 2011. Included in total loans and leases were amounts due from builders and developers of residential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aggregating $1.2 billion and $1.6 billion at December 31, 2012 and 2011, respectively, substantially all of which were classified as commercial real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estate loans.</w:t>
      </w:r>
    </w:p>
    <w:p>
      <w:pPr>
        <w:spacing w:after="0" w:line="9" w:lineRule="exact"/>
        <w:rPr>
          <w:sz w:val="20"/>
          <w:szCs w:val="20"/>
          <w:color w:val="auto"/>
        </w:rPr>
      </w:pPr>
    </w:p>
    <w:p>
      <w:pPr>
        <w:ind w:right="20" w:firstLine="685"/>
        <w:spacing w:after="0" w:line="306" w:lineRule="auto"/>
        <w:rPr>
          <w:sz w:val="20"/>
          <w:szCs w:val="20"/>
          <w:color w:val="auto"/>
        </w:rPr>
      </w:pPr>
      <w:r>
        <w:rPr>
          <w:rFonts w:ascii="Arial" w:cs="Arial" w:eastAsia="Arial" w:hAnsi="Arial"/>
          <w:sz w:val="15"/>
          <w:szCs w:val="15"/>
          <w:color w:val="auto"/>
        </w:rPr>
        <w:t>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 current market rate of interest. The Company also originates fixed-rate commercial real estate loans with maturities of greater than five years, generally having original maturity terms of approximately seven to ten years, and adjustable-rate commercial real estate loans. Excluding construction and development loans made to investors, adjustable-rate commercial real estate loans represented approximately 60% of the commercial real estate loan portfolio at the 2012 year-end. Table 6 presents commercial real estate loans by geographic area, type of collateral and size of the loans outstanding at December 31, 2012. New York City metropolitan area commercial real estate loans totaled $8.7 billion at December 31, 2012. The $7.0 billion of investor-owned commercial real estate loans in the New York City metropolitan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48% of the aggregate dollar amount of New York City-area loans were for loans with outstanding balances of $10 million or less, while loans of more than $50 million made up approximately 11% of the total.</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REAL ESTATE LOANS,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Metropolitan</w:t>
            </w: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New York</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New York</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State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1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Atlantic</w:t>
            </w:r>
          </w:p>
        </w:tc>
        <w:tc>
          <w:tcPr>
            <w:tcW w:w="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Investor-owned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Permanent finance by property type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4,694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Apartments/Multifamily</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3,227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Hotel</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1,857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Industrial/Warehouse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Health facilities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Total permanent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1,479</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14,662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Construction/Development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Land/Land development</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460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485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Land/Land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Total construction/development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470</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3,452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investor-owned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1,949</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18,114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Owner-occupied by industry(a)</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Health services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 services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1,353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Manufacturing</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investors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Automobile dealerships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599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Wholesale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1,055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owner-occupied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1,635</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 commercial real estate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8,653</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4,478</w:t>
            </w:r>
          </w:p>
        </w:tc>
        <w:tc>
          <w:tcPr>
            <w:tcW w:w="4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3,584</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6,631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2,648</w:t>
            </w:r>
          </w:p>
        </w:tc>
        <w:tc>
          <w:tcPr>
            <w:tcW w:w="2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25,994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Percent of dollars outstanding by size of loan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than $1 million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$1 million to $5 million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$5 million to $10 million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$10 million to $30 million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$50 million to $100 million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$100 million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$269 million of construction loans.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83" w:lineRule="auto"/>
        <w:rPr>
          <w:sz w:val="20"/>
          <w:szCs w:val="20"/>
          <w:color w:val="auto"/>
        </w:rPr>
      </w:pPr>
      <w:r>
        <w:rPr>
          <w:rFonts w:ascii="Arial" w:cs="Arial" w:eastAsia="Arial" w:hAnsi="Arial"/>
          <w:sz w:val="16"/>
          <w:szCs w:val="16"/>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80% of the aggregate dollar amount of commercial real estate loans in New York State secured by properties located outside of the metropolitan New York City area were for loans with outstanding balances of $10 million or less. Of the outstanding balances of commercial real estate loans in Pennsylvania and the Mid-Atlantic area, approximately 75% and 68%, respectively, were for loans with outstanding balances of $10 million or less.</w:t>
      </w:r>
    </w:p>
    <w:p>
      <w:pPr>
        <w:spacing w:after="0" w:line="2" w:lineRule="exact"/>
        <w:rPr>
          <w:sz w:val="20"/>
          <w:szCs w:val="20"/>
          <w:color w:val="auto"/>
        </w:rPr>
      </w:pPr>
    </w:p>
    <w:p>
      <w:pPr>
        <w:ind w:right="280" w:firstLine="685"/>
        <w:spacing w:after="0" w:line="250" w:lineRule="auto"/>
        <w:rPr>
          <w:sz w:val="20"/>
          <w:szCs w:val="20"/>
          <w:color w:val="auto"/>
        </w:rPr>
      </w:pPr>
      <w:r>
        <w:rPr>
          <w:rFonts w:ascii="Arial" w:cs="Arial" w:eastAsia="Arial" w:hAnsi="Arial"/>
          <w:sz w:val="18"/>
          <w:szCs w:val="18"/>
          <w:color w:val="auto"/>
        </w:rPr>
        <w:t>Commercial real estate loans secured by properties located outside of Pennsylvania, the Mid-Atlantic area, New York State and areas of states neighboring New York considered to be part of the New York City metropolitan area, comprised 10% of total commercial real estate loans as of December 31, 2012.</w:t>
      </w:r>
    </w:p>
    <w:p>
      <w:pPr>
        <w:spacing w:after="0" w:line="1"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Commercial real estate construction and development loans made to investors presented in table 6 totaled $3.5 billion at December 31, 2012, or 5% of total loans and leases. Approximately 95% of those construction loans had adjustable interest rates. Included in such loans at the 2012 year-end were $1.2 billion of loans to developers of residential real estate properties. Information about the credit performance of the Company’s loans to builders and developers of residential real estate properties is included herein under the heading “Provision For Credit Losses.”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3"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M&amp;T Realty Capital Corporation, a commercial real estate lending subsidiary of M&amp;T Bank, participates in the Delegated Underwriting and Servicing (“DUS”) program of the Federal National Mortgage Association (“Fannie Mae”),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The Company’s maximum credit risk for recourse associated with sold commercial real estate loans was approximately $2.0 billion and $1.8 billion at December 31, 2012 and 2011, respectively. There have been no material losses incurred as a result of those recourse arrangements. Commercial real estate loans held for sale at December 31, 2012 and 2011 aggregated $200 million and $161 million, respectively. At December 31, 2012 and 2011, commercial real estate loans serviced for other investors by the Company were $10.6 billion and $9.0 billion, respectively. Those serviced loans are not included in the Company’s consolidated balance sheet.</w:t>
      </w:r>
    </w:p>
    <w:p>
      <w:pPr>
        <w:spacing w:after="0" w:line="6"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Real estate loans secured by one-to-four family residential properties were $11.2 billion at December 31, 2012, including approximately 38% secured by properties located in New York State, 13% secured by properties located in Pennsylvania and 23% secured by properties located in the Mid-Atlantic area. At December 31, 2012, $1.2 billion of residential real estate loans were held for sale, compared with $210 million at December 31, 2011. The significant increase in residential real estate loans held for sale at December 31, 2012 as compared with December 31, 2011 reflected the Company’s decision to originate for sale the majority of such loans originated after August 31, 2012 due to the significant growth in the residential real estate loan portfolio and the pending Hudson City acquisition. Prior thereto, the Company had been retaining more loans for its portfolio. The Company’s portfolio of alternative (“Alt-A”) residential real estate loans held for investment at December 31, 2012 declined to $462 million from $542 million at December 31, 2011. Alt-A loans represent loans that at origination typically included some form of limited borrower documentation requirements as compared with more traditional residential real estate loans. Loans in the Company’s Alt-A portfolio were originated by the Company prior to 2008. Loans to individuals to finance the construction of one-to-four family residential properties totaled $39 million at December 31, 2012 and $43 million at December 31, 2011, or approximately .1% of total loans and leases at each of those dates. Information about the credit performance of the Company’s Alt-A loans and other residential real estate loans is included herein under the heading “Provision For Credit Losses.”</w:t>
      </w:r>
    </w:p>
    <w:p>
      <w:pPr>
        <w:spacing w:after="0" w:line="8"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Consumer loans comprised approximately 19% and 21% of the average loan portfolio during 2012 and 2011, respectively. The two largest components of the consumer loan portfolio are outstanding balances of home equity lines of credit and automobile loans. Average balances of home equity lines of credit outstanding represented approximately 9% and 11% of average loans outstanding in 2012 and 2011,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respectively. Automobile loans represented approximately 4% of the Company’s average loan portfolio during 2012, compared with 5% in 2011. No other consumer loan product represented more than 3% of average loans outstanding in 2012. Approximately 40% of home equity lines of credit outstanding at December 31, 2012 were secured by properties in New York State, and 21% and 37% were secured by properties in Pennsylvania and the Mid-Atlantic area, respectively. Average outstanding balances of home equity lines of credit were approximately $5.9 billion in each of 2012 and 2011. At December 31, 2012, 35% and 25% of the automobile loan portfolio were to customers residing in New York State and Pennsylvania, respectively. Although automobile loans have generally been originated through dealers, all applications submitted through dealers are subject to the Company’s normal underwriting and loan approval procedures. Outstanding automobile loan balances were $2.5 billion and $2.7 billion at December 31, 2012 and 2011, respectively.</w:t>
      </w:r>
    </w:p>
    <w:p>
      <w:pPr>
        <w:ind w:right="160" w:firstLine="685"/>
        <w:spacing w:after="0" w:line="302" w:lineRule="auto"/>
        <w:rPr>
          <w:sz w:val="20"/>
          <w:szCs w:val="20"/>
          <w:color w:val="auto"/>
        </w:rPr>
      </w:pPr>
      <w:r>
        <w:rPr>
          <w:rFonts w:ascii="Arial" w:cs="Arial" w:eastAsia="Arial" w:hAnsi="Arial"/>
          <w:sz w:val="16"/>
          <w:szCs w:val="16"/>
          <w:color w:val="auto"/>
        </w:rPr>
        <w:t>Table 7 presents the composition of the Company’s loan and lease portfolio at the end of 2012, including outstanding balances to businesses and consumers in New York State, Pennsylvania, the Mid-Atlantic area and other states. Approximately 44% of total loans and leases at December 31, 2012 were to New York State customers, while 18% and 24% were to Pennsylvania and the Mid-Atlantic area customers,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AND LEASES,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Percent of Dollars Outstanding</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New York</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Mid-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Outstandings</w:t>
            </w:r>
          </w:p>
        </w:tc>
        <w:tc>
          <w:tcPr>
            <w:tcW w:w="8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State</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Pennsylvania</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Atlantic</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8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11,241</w:t>
            </w:r>
          </w:p>
        </w:tc>
        <w:tc>
          <w:tcPr>
            <w:tcW w:w="2260" w:type="dxa"/>
            <w:vAlign w:val="bottom"/>
            <w:gridSpan w:val="3"/>
          </w:tcPr>
          <w:p>
            <w:pPr>
              <w:ind w:left="1220"/>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25,994</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50(a)</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420"/>
              <w:spacing w:after="0"/>
              <w:rPr>
                <w:sz w:val="20"/>
                <w:szCs w:val="20"/>
                <w:color w:val="auto"/>
              </w:rPr>
            </w:pPr>
            <w:r>
              <w:rPr>
                <w:rFonts w:ascii="Arial" w:cs="Arial" w:eastAsia="Arial" w:hAnsi="Arial"/>
                <w:sz w:val="18"/>
                <w:szCs w:val="18"/>
                <w:color w:val="auto"/>
              </w:rPr>
              <w:t>Total real estate</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37,235</w:t>
            </w:r>
          </w:p>
        </w:tc>
        <w:tc>
          <w:tcPr>
            <w:tcW w:w="8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44%</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 equity lines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22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40%</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Home equity loans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w w:val="79"/>
              </w:rPr>
              <w:t>13</w:t>
            </w:r>
          </w:p>
        </w:tc>
        <w:tc>
          <w:tcPr>
            <w:tcW w:w="86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50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35</w:t>
            </w:r>
          </w:p>
        </w:tc>
        <w:tc>
          <w:tcPr>
            <w:tcW w:w="8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secured or guaranteed</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2,059</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w w:val="79"/>
              </w:rPr>
              <w:t>27</w:t>
            </w:r>
          </w:p>
        </w:tc>
        <w:tc>
          <w:tcPr>
            <w:tcW w:w="86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unsecured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39</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23</w:t>
            </w:r>
          </w:p>
        </w:tc>
        <w:tc>
          <w:tcPr>
            <w:tcW w:w="8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420"/>
              <w:spacing w:after="0"/>
              <w:rPr>
                <w:sz w:val="20"/>
                <w:szCs w:val="20"/>
                <w:color w:val="auto"/>
              </w:rPr>
            </w:pPr>
            <w:r>
              <w:rPr>
                <w:rFonts w:ascii="Arial" w:cs="Arial" w:eastAsia="Arial" w:hAnsi="Arial"/>
                <w:sz w:val="18"/>
                <w:szCs w:val="18"/>
                <w:color w:val="auto"/>
              </w:rPr>
              <w:t>Total consumer</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11,559</w:t>
            </w:r>
          </w:p>
        </w:tc>
        <w:tc>
          <w:tcPr>
            <w:tcW w:w="8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36%</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65,283</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44%</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Commercial leases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w:t>
            </w:r>
          </w:p>
        </w:tc>
        <w:tc>
          <w:tcPr>
            <w:tcW w:w="8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loans and leases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66,571</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44%</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loans secured by properties located in neighboring states generally considered to be within commuting distance of New York City.</w:t>
      </w:r>
    </w:p>
    <w:p>
      <w:pPr>
        <w:spacing w:after="0" w:line="113" w:lineRule="exact"/>
        <w:rPr>
          <w:sz w:val="20"/>
          <w:szCs w:val="20"/>
          <w:color w:val="auto"/>
        </w:rPr>
      </w:pPr>
    </w:p>
    <w:p>
      <w:pPr>
        <w:ind w:right="160" w:firstLine="685"/>
        <w:spacing w:after="0" w:line="298" w:lineRule="auto"/>
        <w:rPr>
          <w:sz w:val="20"/>
          <w:szCs w:val="20"/>
          <w:color w:val="auto"/>
        </w:rPr>
      </w:pPr>
      <w:r>
        <w:rPr>
          <w:rFonts w:ascii="Arial" w:cs="Arial" w:eastAsia="Arial" w:hAnsi="Arial"/>
          <w:sz w:val="16"/>
          <w:szCs w:val="16"/>
          <w:color w:val="auto"/>
        </w:rPr>
        <w:t>Balances of investment securities averaged $7.0 billion in 2012, compared with $7.1 billion and $8.0 billion in 2011 and 2010, respectively. The slight decline in such balances in 2012 as compared with 2011 reflects the impact of maturities and paydowns of mortgage-backed securities, partially offset by purchases of $250 million of residential mortgage-backed securities guaranteed by the Federal Home Loan Mortgage Corporation (“Freddie Mac”) during the second quarter of 2012 and the full-year impact of purchases of residential mortgage-backed securities guaranteed by Fannie Mae, Freddie Mac and the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Government National Mortgage Association (“Ginnie Mae”) during 2011. The 12% decline in average investment securities balances from 2010 to 2011 reflects the impact of sales of investment securities in 2011, as well as maturities and paydowns of mortgage-backed securities. During 2011, the Company realized gains of $150 million from the sale of investment securities available for sale, predominantly residential mortgage-backed securities guaranteed by Fannie Mae and Freddie Mac, collateralized debt obligations and trust preferred securities, having an amortized cost of $1.7 billion. The Company sold the securities in connection with the acquisition of Wilmington Trust in order to manage its balance sheet size and composition and resultant capital ratios. Partially offsetting those factors were purchases of residential mortgage-backed securities guaranteed by Fannie Mae, Freddie Mac and Ginnie Mae aggregating approximately $3.3 billion. The Wilmington Trust acquisition added approximately $510 million to the investment securities portfolio on the May 16, 2011 acquisition date.</w:t>
      </w:r>
    </w:p>
    <w:p>
      <w:pPr>
        <w:ind w:right="60" w:firstLine="685"/>
        <w:spacing w:after="0" w:line="250" w:lineRule="auto"/>
        <w:rPr>
          <w:sz w:val="20"/>
          <w:szCs w:val="20"/>
          <w:color w:val="auto"/>
        </w:rPr>
      </w:pPr>
      <w:r>
        <w:rPr>
          <w:rFonts w:ascii="Arial" w:cs="Arial" w:eastAsia="Arial" w:hAnsi="Arial"/>
          <w:sz w:val="18"/>
          <w:szCs w:val="18"/>
          <w:color w:val="auto"/>
        </w:rPr>
        <w:t>The investment securities portfolio is largely comprised of residential mortgage-backed securities and CMOs,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Other-than-temporary impairment charges of $48 million (pre-tax) and $77 million (pre-tax) were recognized during 2012 and 2011, respectively, related to certain privately issued CMOs backed by residential and commercial real estate loans. Other-than-temporary impairment charges of $86 million (pre-tax) were recognized during 2010. Approximately $68 million of those charges related to privately issued CMOs backed by residential and commercial real estate loans, $6 million related to CDOs backed by trust preferred securities issued by financial institutions and $12 million related to American Depositary Shares (“ADSs”) of Allied Irish Banks, p.l.c. (“AIB”). The AIB ADSs were obtained in the 2003 acquisition of a subsidiary of AIB and were held to satisfy options to purchase such shares granted by that subsidiary to certain employees. Factors contributing to the impairment charge included mounting credit and other losses incurred by AIB and ongoing Irish government support that diluted AIB common shareholders. Persistently high unemployment, depressed real estate values that have been slow to recover and the resulting increased loan delinquencies and foreclosures that have led to a backlog of homes held for sale by financial institutions and others were significant factors contributing to the recognition of the other-than-temporary impairment charges related to CMOs and CDOs. Based on management’s assessment of future cash flows associated with individual investment securities, as of December 31, 2012,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20 of Notes to Financial Statements.</w:t>
      </w:r>
    </w:p>
    <w:p>
      <w:pPr>
        <w:spacing w:after="0" w:line="9"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Other earning assets include interest-earning deposits at the Federal Reserve Bank of New York and other banks, trading account assets, federal funds sold and agreements to resell securities. Those other earning assets in the aggregate averaged $628 million in 2012, $1.5 billion in 2011 and $417 million in 2010. Interest-bearing deposits at banks averaged $528 million in 2012, compared with $1.2 billion and $102 million in 2011 and 2010, respectively. The significantly higher balances in 2012 and 2011 as compared with 2010 were due to increased deposits at the Federal Reserve Bank of New York resulting largely from the businesses obtained in the Wilmington Trust acquisition. Also reflected in other earning assets were purchases of investment securities under agreements to resell, which averaged $168 million and $214 million during 2011 and 2010, respectively. There were no agreements to resell securities outstanding during 2012. Agreements to resell securities, of which there were none outstanding at the 2012, 2011 and 2010 year-ends, are accounted for similar to collateralized loans, with changes in market value of the collateral monitored by the Company to ensure sufficient coverage.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most significant source of funding for the Company is core deposits. A provision of the Dodd-Frank Act that was signed into law in 2010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permanently increased the maximum amount of FDIC deposit insurance for financial institutions to $250,000 per depositor from the previous limit of $100,000.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Thus, beginning in 2011, the Company defines core deposits as noninterest-bearing deposits, interest-bearing transaction accounts, savings deposits and time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deposits of $250,000 or less as core deposits. Prior to December 31, 2010 time deposits of $100,000 or less were considered to be core deposits. The Company’s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branch network is its principal source of core deposits, which generally carry lower interest rates than wholesale funds of comparable maturities. Certificates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of $250,000 or less generated on a nationwide basis by Wilmington Trust, N.A. were also included in core deposits. Average core deposits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$59.1 billion in 2012, up from $52.0 billion in 2011 and $43.6 billion in 2010. The change in the Company’s definition of core deposits to include time deposits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$100,000 to $250,000 increased average core deposits by approximately $964 million in 2011. The Wilmington Trust acquisition added approximately $6.6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of core deposits on May 16, 2011. The K Bank acquisition transaction added $491 million of core deposits on November 5, 2010. Average core deposits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 were $1.2 billion in 2012, $630 million in 2011 and $217 million in 2010. Excluding the impact of the December 31, 2010 change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definition of core deposits and deposits obtained in acquisition transactions, the growth in core deposits from 2010 to 2012 was due, in part,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lack of attractive alternative investments available to the Company’s customers resulting from lower interest rates and from the economic environment in the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higher balances held on behalf of trust customers. The low interest rate environment has resulted in a shift in customer savings trends, as average time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deposits have continued to decline, while average noninterest-bearing deposits and savings deposits have generally increased. Funding provided by core deposits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represented 84% of average earning assets in 2012, compared with 80% and 73% in 2011 and 2010, respectively. Table 8 summarizes average core deposits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and percentage changes in the components of such deposits over the past two years. Core deposits aggregated $62.7 billion and $56.4 billion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CORE DEPOSITS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80" w:type="dxa"/>
            <w:vAlign w:val="bottom"/>
            <w:gridSpan w:val="4"/>
          </w:tcPr>
          <w:p>
            <w:pPr>
              <w:ind w:left="620"/>
              <w:spacing w:after="0"/>
              <w:rPr>
                <w:sz w:val="20"/>
                <w:szCs w:val="20"/>
                <w:color w:val="auto"/>
              </w:rPr>
            </w:pPr>
            <w:r>
              <w:rPr>
                <w:rFonts w:ascii="Arial" w:cs="Arial" w:eastAsia="Arial" w:hAnsi="Arial"/>
                <w:sz w:val="14"/>
                <w:szCs w:val="14"/>
                <w:b w:val="1"/>
                <w:bCs w:val="1"/>
                <w:color w:val="auto"/>
              </w:rPr>
              <w:t>Percentage Increase</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(Decrease)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872"/>
              <w:spacing w:after="0" w:line="142" w:lineRule="exact"/>
              <w:rPr>
                <w:sz w:val="20"/>
                <w:szCs w:val="20"/>
                <w:color w:val="auto"/>
              </w:rPr>
            </w:pPr>
            <w:r>
              <w:rPr>
                <w:rFonts w:ascii="Arial" w:cs="Arial" w:eastAsia="Arial" w:hAnsi="Arial"/>
                <w:sz w:val="14"/>
                <w:szCs w:val="14"/>
                <w:b w:val="1"/>
                <w:bCs w:val="1"/>
                <w:color w:val="auto"/>
                <w:w w:val="84"/>
              </w:rPr>
              <w:t>2011 to 2012</w:t>
            </w:r>
          </w:p>
        </w:tc>
        <w:tc>
          <w:tcPr>
            <w:tcW w:w="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2010 to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60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32,354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600" w:type="dxa"/>
            <w:vAlign w:val="bottom"/>
            <w:gridSpan w:val="3"/>
            <w:shd w:val="clear" w:color="auto" w:fill="CCEEFF"/>
          </w:tcPr>
          <w:p>
            <w:pPr>
              <w:jc w:val="right"/>
              <w:ind w:right="812"/>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21,761</w:t>
            </w:r>
          </w:p>
        </w:tc>
        <w:tc>
          <w:tcPr>
            <w:tcW w:w="9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40" w:type="dxa"/>
            <w:vAlign w:val="bottom"/>
          </w:tcPr>
          <w:p>
            <w:pPr>
              <w:spacing w:after="0"/>
              <w:rPr>
                <w:sz w:val="19"/>
                <w:szCs w:val="19"/>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59,143</w:t>
            </w:r>
          </w:p>
        </w:tc>
        <w:tc>
          <w:tcPr>
            <w:tcW w:w="260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hanging="452"/>
        <w:spacing w:after="0" w:line="268" w:lineRule="auto"/>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Average time deposits considered core deposits in 2012 and 2011 represented time deposits of $250,000 or less. In 2010, average time deposits considered core deposits were those with balances less than $100,000.</w:t>
      </w:r>
    </w:p>
    <w:p>
      <w:pPr>
        <w:spacing w:after="0" w:line="51" w:lineRule="exact"/>
        <w:rPr>
          <w:sz w:val="20"/>
          <w:szCs w:val="20"/>
          <w:color w:val="auto"/>
        </w:rPr>
      </w:pPr>
    </w:p>
    <w:p>
      <w:pPr>
        <w:ind w:right="40" w:firstLine="685"/>
        <w:spacing w:after="0" w:line="283"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$410 million in 2012 and $491 million in 2011. Similar time deposits over $100,000 averaged $1.7 billion 2010. Cayman Islands office deposits averaged $605 million in 2012, $779 million in 2011 and $1.0 billion in 2010. Average brokered time deposits totaled $741 million in 2012, compared with $1.1 billion in 2011 and $642 million in 2010, and at December 31, 2012 and 2011 totaled $462 million and $1.0 billion, respectively. Brokered time deposits obtained in the acquisition of Wilmington Trust totaled $1.4 billion as of May 16, 2011. The Company also had brokered NOW and brokered money-market deposit accounts, which in the aggregate averaged</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$1.1 billion, $1.3 billion and $1.2 billion in 2012, 2011 and 2010, respectively. The levels of brokered NOW and brokered money-market deposit accounts reflect the demand for such deposits, largely resulting from continued uncertain economic markets and the desire of brokerage firms to earn reasonable yields while ensuring that customer deposits are fully insured. The level of Cayman Islands office deposits and brokered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deposits are also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ind w:right="120" w:firstLine="685"/>
        <w:spacing w:after="0" w:line="250"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and others as sources of funding. Short-term borrowings averaged $839 million in 2012, $827 million in 2011 and $1.9 billion in 2010. Included in short-term borrowings were unsecured federal funds borrowings, which generally mature on the next business day, that averaged $669 million, $593 million and $1.7 billion in 2012, 2011 and 2010, respectively. Overnight federal funds borrowings represented the largest component of average short-term borrowings and totaled $939 million at December 31, 2012 and $590 million at December 31, 2011.</w:t>
      </w:r>
    </w:p>
    <w:p>
      <w:pPr>
        <w:spacing w:after="0" w:line="2"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Long-term borrowings averaged $5.5 billion in 2012, $7.0 billion in 2011 and $9.2 billion in 2010. Included in average long-term borrowings were amounts borrowed from FHLBs of $768 million in 2012, $1.9 billion in 2011 and $4.2 billion in 2010, and subordinated capital notes of $2.0 billion in each of 2012 and 2011 and $1.8 billion in 2010. On July 2, 2012, M&amp;T Bank redeemed $400 million of subordinated capital notes that were due to mature in 2013, as such notes ceased to qualify as regulatory capital during the one-year period before their contractual maturity date. Subordinated capital notes assumed in connection with the Wilmington Trust acquisition totaled $450 million at May 16, 2011. The Company has utilized interest rate swap agreements to modify the repricing characteristics of certain components of long-term debt. As of December 31, 2012, interest rate swap agreements were used to hedge approximately $900 million of fixed rate subordinated notes. Further information on interest rate swap agreements is provided in note 18 of Notes to Financial Statements. Junior subordinated debentures associated with trust preferred securities that were included in average long-term borrowings were $1.2 billion in each of 2012, 2011 and 2010. Additional information regarding junior subordinated debentures, as well as information regarding contractual maturities of long-term borrowings, is provided in note 9 of Notes to Financial Statements. Also included in long-term borrowings were agreements to repurchase securities, which averaged $1.4 billion during 2012, $1.5 billion during 2011 and $1.6 billion during 2010. The agreements have various repurchase dates through 2017, however, the contractual maturities of the underlying securities extend beyond such repurchase dates.</w:t>
      </w:r>
    </w:p>
    <w:p>
      <w:pPr>
        <w:spacing w:after="0" w:line="8" w:lineRule="exact"/>
        <w:rPr>
          <w:sz w:val="20"/>
          <w:szCs w:val="20"/>
          <w:color w:val="auto"/>
        </w:rPr>
      </w:pPr>
    </w:p>
    <w:p>
      <w:pPr>
        <w:ind w:right="80" w:firstLine="685"/>
        <w:spacing w:after="0" w:line="300" w:lineRule="auto"/>
        <w:rPr>
          <w:sz w:val="20"/>
          <w:szCs w:val="20"/>
          <w:color w:val="auto"/>
        </w:rPr>
      </w:pPr>
      <w:r>
        <w:rPr>
          <w:rFonts w:ascii="Arial" w:cs="Arial" w:eastAsia="Arial" w:hAnsi="Arial"/>
          <w:sz w:val="15"/>
          <w:szCs w:val="15"/>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3.48% in each of 2012 and 2011, compared with 3.59% in 2010. The yield on the Company’s earning assets decreased 13 basis points to 4.22% in 2012 from 4.35% in 2011, while the rate paid on interest-bearing liabilities also declined 13 basis points to .74% in 2012 from .87% in 2011. The yield on earning assets during 2011 declined 26 basis points from 4.61% in 2010, while the rate paid on interest-bearing liabilities decreased 15 basis points from</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1.02% in 2010. The Federal Open Market Committee (“FOMC”) noted in January 2013 that a highly accommodative stance on monetary policy will remain appropriate for a considerable time after its asset purchase program ends and the economic recovery strengthens. In particular, the FOMC decided to keep the target range for the federal funds rate at 0% to .25% and currently anticipates that this exceptionally low range for the federal funds rate will be appropriate as long as the unemployment rate remains above 6.5%, inflation between one and two years ahead is projected to be no more than a half percentage point above the FOMC’s two percent longer-run goal, and longer-term inflation expectations continue to be well anchored.</w:t>
      </w:r>
    </w:p>
    <w:p>
      <w:pPr>
        <w:spacing w:after="0" w:line="3" w:lineRule="exact"/>
        <w:rPr>
          <w:sz w:val="20"/>
          <w:szCs w:val="20"/>
          <w:color w:val="auto"/>
        </w:rPr>
      </w:pPr>
    </w:p>
    <w:p>
      <w:pPr>
        <w:ind w:right="160" w:firstLine="685"/>
        <w:spacing w:after="0" w:line="287"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$23.7 billion in 2012, compared with $18.5 billion in 2011 and $14.4 billion in 2010. The significant increases in average net interest-free funds in 2012 and 2011 were largely the result of higher balances of noninterest-bearing deposits, which averaged $21.8 billion in 2012, $17.3 billion in 2011 and $13.7 billion in 2010. In connection with the Wilmington Trust acquisition, the Company added noninterest-bearing deposits totaling $2.0 billion at the acquisition date. Goodwill and core deposit and other intangible assets averaged $3.7 billion in each of 2012, 2011 and 2010. Core deposit and other intangible assets added from the Wilmington Trust acquisition were $112 million on May 16, 2011. The cash surrender value of bank owned life insurance averaged $1.6 billion in 2012 and $1.5 billion in each of 2011 and 2010. Increases in the cash surrender value of bank owned life insurance are not included in interest income, but rather are recorded in “other revenues from operations.” The contribution of net interest-free funds to net interest margin was .25% in each of 2012, 2011 and 2010.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685"/>
        <w:spacing w:after="0" w:line="252" w:lineRule="auto"/>
        <w:rPr>
          <w:sz w:val="20"/>
          <w:szCs w:val="20"/>
          <w:color w:val="auto"/>
        </w:rPr>
      </w:pPr>
      <w:r>
        <w:rPr>
          <w:rFonts w:ascii="Arial" w:cs="Arial" w:eastAsia="Arial" w:hAnsi="Arial"/>
          <w:sz w:val="18"/>
          <w:szCs w:val="18"/>
          <w:color w:val="auto"/>
        </w:rPr>
        <w:t>Reflecting the changes to the net interest spread and the contribution of net interest-free funds as described herein, the Company’s net interest margin was 3.73% in each of 2012 and 2011, compared with 3.84% in 2010.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ind w:right="160" w:firstLine="685"/>
        <w:spacing w:after="0" w:line="300" w:lineRule="auto"/>
        <w:rPr>
          <w:sz w:val="20"/>
          <w:szCs w:val="20"/>
          <w:color w:val="auto"/>
        </w:rPr>
      </w:pPr>
      <w:r>
        <w:rPr>
          <w:rFonts w:ascii="Arial" w:cs="Arial" w:eastAsia="Arial" w:hAnsi="Arial"/>
          <w:sz w:val="15"/>
          <w:szCs w:val="15"/>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December 31, 2012 and 2011. Under the terms of those swap agreements, the Company received payments based on the outstanding notional amount of the agreements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3"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in 2012, 2011 and 2010 were not material to the Company’s results of operations. The estimated aggregate fair value of interest rate swap agreements designated as fair value hedges represented gains of approximately $143 million at December 31, 2012 and $147 million at December 31, 2011.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December 31, 2012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$69 million of collateral with the Company. Additional information about swap agreements and the items being hedged is included in note 18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SWAP AGREEMENTS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Rate(a)</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Rate(a)</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(36,368)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(37,709)</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(41,885)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Net interest income/margin</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36,368</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37,709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41,885</w:t>
            </w:r>
          </w:p>
        </w:tc>
        <w:tc>
          <w:tcPr>
            <w:tcW w:w="5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900,000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900,000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1,012,786</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Rate received(b)</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 percentage of average earning assets or interest-bearing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2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$204 million in 2012, compared with $270 million in 2011 and $368 million in 2010. Net loan charge-offs aggregated $186 million in 2012, $265 million in 2011 and</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$346 million in 2010. Net loan charge-offs as a percentage of average loans outstanding were .30% in 2012, compared with .47% in 2011 and .67% in 2010. While the Company has experienced improvement in its credit quality metrics during the past few years, sluggish economic activity, relatively high unemployment rates, generally depressed real estate valuations and higher than normal levels of delinquencies and charge-offs have significantly affected the credit performance of the Company’s loan portfolios. In particular, the Company’s Alt-A residential real estate loan portfolio and its residential real estate builder and developer loan portfolio experienced the majority of the credit problems related to the turmoil in the residential real estate market place. The Company also experienced higher levels of commercial loan and consumer loan charge-offs over the past five years as compared with years preceding the economic downturn in 2008. A summary of the Company’s loan charge-offs, provision and allowance for credit losses is presented in table 10 and in note 5 of Notes to Financial Statements.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CHARGE-OFFS, PROVISION AND ALLOWANCE FOR CREDIT LOSSES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beginning balance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$908,290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$902,941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$878,022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$787,904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$759,439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Charge-offs during year</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41,148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55,021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91,650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180,119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102,092</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27,687</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63,529</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86,603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127,728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105,940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58,572</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81,691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108,500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95,109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73,485</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103,348</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109,246</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125,593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153,506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139,138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charge-offs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230,755</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309,487</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412,346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556,462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420,655</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Recoveries during year</w:t>
            </w: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11,375</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10,224</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26,621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7,999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3,693</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5,930</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4,975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2,623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8,847</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10,444</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10,954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6,917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20,410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18,238</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23,963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25,041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24,620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recoveries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44,325</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44,836</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66,513</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42,580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charge-offs</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186,430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264,651</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345,833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513,882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383,010</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204,000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270,000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368,000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604,000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Allowance related to loans sold or securitized</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2,752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Allowance for credit losses ending balance</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925,860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908,290</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902,941</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878,022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787,904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as a percent of:</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91.39%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98.02%</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93.98%</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85.08%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loans and leases, net of unearned discount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.67%</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8"/>
        </w:trPr>
        <w:tc>
          <w:tcPr>
            <w:tcW w:w="4920" w:type="dxa"/>
            <w:vAlign w:val="bottom"/>
          </w:tcPr>
          <w:p>
            <w:pPr>
              <w:spacing w:after="0"/>
              <w:rPr>
                <w:sz w:val="20"/>
                <w:szCs w:val="20"/>
                <w:color w:val="auto"/>
              </w:rPr>
            </w:pPr>
            <w:r>
              <w:rPr>
                <w:rFonts w:ascii="Arial" w:cs="Arial" w:eastAsia="Arial" w:hAnsi="Arial"/>
                <w:sz w:val="18"/>
                <w:szCs w:val="18"/>
                <w:color w:val="auto"/>
                <w:w w:val="92"/>
              </w:rPr>
              <w:t>Allowance for credit losses as a percent of loans and leases, net of</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220"/>
              <w:spacing w:after="0"/>
              <w:rPr>
                <w:sz w:val="20"/>
                <w:szCs w:val="20"/>
                <w:color w:val="auto"/>
              </w:rPr>
            </w:pPr>
            <w:r>
              <w:rPr>
                <w:rFonts w:ascii="Arial" w:cs="Arial" w:eastAsia="Arial" w:hAnsi="Arial"/>
                <w:sz w:val="18"/>
                <w:szCs w:val="18"/>
                <w:color w:val="auto"/>
              </w:rPr>
              <w:t>unearned discount, at year-end</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1.39%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1.74%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1.69%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80" w:firstLine="685"/>
        <w:spacing w:after="0" w:line="286"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cash flows expected at acquisition over the estimated fair value is being recognized as interest income over the lives of the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$5.8 billion and $8.2 billion at December 31, 2012 and 2011, respectively. The portion of the nonaccretable balance related to remaining principal losses as well as life-to-date principal losses charged against the nonaccretable balance as of December 31, 2012 and 2011 are presented in table 11.</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NONACCRETABLE BALANCE — PRINCIPAL</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Remaining Balance</w:t>
            </w:r>
          </w:p>
        </w:tc>
        <w:tc>
          <w:tcPr>
            <w:tcW w:w="160" w:type="dxa"/>
            <w:vAlign w:val="bottom"/>
          </w:tcPr>
          <w:p>
            <w:pPr>
              <w:spacing w:after="0"/>
              <w:rPr>
                <w:sz w:val="14"/>
                <w:szCs w:val="14"/>
                <w:color w:val="auto"/>
              </w:rPr>
            </w:pPr>
          </w:p>
        </w:tc>
        <w:tc>
          <w:tcPr>
            <w:tcW w:w="2180" w:type="dxa"/>
            <w:vAlign w:val="bottom"/>
            <w:gridSpan w:val="6"/>
          </w:tcPr>
          <w:p>
            <w:pPr>
              <w:ind w:left="360"/>
              <w:spacing w:after="0"/>
              <w:rPr>
                <w:sz w:val="20"/>
                <w:szCs w:val="20"/>
                <w:color w:val="auto"/>
              </w:rPr>
            </w:pPr>
            <w:r>
              <w:rPr>
                <w:rFonts w:ascii="Arial" w:cs="Arial" w:eastAsia="Arial" w:hAnsi="Arial"/>
                <w:sz w:val="14"/>
                <w:szCs w:val="14"/>
                <w:b w:val="1"/>
                <w:bCs w:val="1"/>
                <w:color w:val="auto"/>
              </w:rPr>
              <w:t>Life-to-date Charges</w:t>
            </w:r>
          </w:p>
        </w:tc>
      </w:tr>
      <w:tr>
        <w:trPr>
          <w:trHeight w:val="129"/>
        </w:trPr>
        <w:tc>
          <w:tcPr>
            <w:tcW w:w="4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63,190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55,086</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285,681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470,788</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262,062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208,770</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66,424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29,983</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Consumer</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50,856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93,734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63,132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42,424</w:t>
            </w:r>
          </w:p>
        </w:tc>
        <w:tc>
          <w:tcPr>
            <w:tcW w:w="100" w:type="dxa"/>
            <w:vAlign w:val="bottom"/>
          </w:tcPr>
          <w:p>
            <w:pPr>
              <w:spacing w:after="0"/>
              <w:rPr>
                <w:sz w:val="18"/>
                <w:szCs w:val="18"/>
                <w:color w:val="auto"/>
              </w:rPr>
            </w:pPr>
          </w:p>
        </w:tc>
      </w:tr>
      <w:tr>
        <w:trPr>
          <w:trHeight w:val="27"/>
        </w:trPr>
        <w:tc>
          <w:tcPr>
            <w:tcW w:w="4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413,206</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687,005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435,226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336,263</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685"/>
        <w:spacing w:after="0" w:line="283" w:lineRule="auto"/>
        <w:rPr>
          <w:sz w:val="20"/>
          <w:szCs w:val="20"/>
          <w:color w:val="auto"/>
        </w:rPr>
      </w:pPr>
      <w:r>
        <w:rPr>
          <w:rFonts w:ascii="Arial" w:cs="Arial" w:eastAsia="Arial" w:hAnsi="Arial"/>
          <w:sz w:val="16"/>
          <w:szCs w:val="16"/>
          <w:color w:val="auto"/>
        </w:rPr>
        <w:t>The Company regularly reviews its cash flow projections for acquired loans, including its estimates of lifetime principal losses. In general, based on stabilizing economic conditions and the Company’s success at restructuring several large acquired loans, the estimates of cash flows expected to be generated by acquired loans increased by approximately 2%, or $178 million, in 2012. That improvement reflected a lowering of estimated principal losses by approximately $175 million, largely driven by a $132 million decrease in expected principal losses in the acquired commercial real estate portfolios. The increases in projected cash flows, including both the $175 million of principal referred to above and interest payments related thereto, resulted in a $200 million transfer from the nonaccretable balance to the accretable yield. Approximately $45 million of that transfer was recognized as interest income in 2012. The remainder will be recognized as interest income in subsequent years.</w:t>
      </w:r>
    </w:p>
    <w:p>
      <w:pPr>
        <w:ind w:right="140" w:firstLine="685"/>
        <w:spacing w:after="0" w:line="281" w:lineRule="auto"/>
        <w:rPr>
          <w:sz w:val="20"/>
          <w:szCs w:val="20"/>
          <w:color w:val="auto"/>
        </w:rPr>
      </w:pPr>
      <w:r>
        <w:rPr>
          <w:rFonts w:ascii="Arial" w:cs="Arial" w:eastAsia="Arial" w:hAnsi="Arial"/>
          <w:sz w:val="16"/>
          <w:szCs w:val="16"/>
          <w:color w:val="auto"/>
        </w:rPr>
        <w:t>Nonaccrual loans totaled $1.01 billion or 1.52% of outstanding loans and leases at December 31, 2012, compared with $1.10 billion or 1.83% at December 31, 2011 and $1.14 billion or 2.19% at December 31, 2010. Additions to nonaccrual loans during 2012 were more than offset by the impact on such loans from payments received and charge-offs. During the fourth quarter of 2012, a relationship with a long-time customer with loans of $64 million was placed on nonaccrual status. The loans were secured by residential real estate and deemed well-collateralized by the Company as of December 31, 2012. The largest relationship that was added to nonaccrual loans in 2011 was a $20 million loan to a builder and developer of residential real estate properties in the Mid-Atlantic area. Softness in the residential real estate marketplace has resulted in depressed real estate values and high levels of delinquencies, both for loans to consumers and loans to builders and developers of residential real estate. Conditions in the U.S. economy have resulted in generally higher levels of nonaccrual loans than historically experienced by the Company.</w:t>
      </w:r>
    </w:p>
    <w:p>
      <w:pPr>
        <w:spacing w:after="0" w:line="5" w:lineRule="exact"/>
        <w:rPr>
          <w:sz w:val="20"/>
          <w:szCs w:val="20"/>
          <w:color w:val="auto"/>
        </w:rPr>
      </w:pPr>
    </w:p>
    <w:p>
      <w:pPr>
        <w:ind w:right="160" w:firstLine="685"/>
        <w:spacing w:after="0" w:line="287" w:lineRule="auto"/>
        <w:rPr>
          <w:sz w:val="20"/>
          <w:szCs w:val="20"/>
          <w:color w:val="auto"/>
        </w:rPr>
      </w:pPr>
      <w:r>
        <w:rPr>
          <w:rFonts w:ascii="Arial" w:cs="Arial" w:eastAsia="Arial" w:hAnsi="Arial"/>
          <w:sz w:val="16"/>
          <w:szCs w:val="16"/>
          <w:color w:val="auto"/>
        </w:rPr>
        <w:t>Accruing loans past due 90 days or more (excluding acquired loans) were $358 million or .54% of total loans and leases at December 31, 2012, compared with $288 million or .48% at December 31, 2011 and $251 million or .48% at December 31, 2010. Those loans included loans guaranteed by government-related entities of $316 million, $253 million and $207 million at December 31, 2012, 2011 and 2010, respectively.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$294 million at December 31, 2012, $241 million at December 31, 2011 and $191 million at December 31, 2010. A summary of nonperforming assets and certain past due, renegotiated and impaired loan data and credit quality ratios is presented in table 12.</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ind w:left="120"/>
              <w:spacing w:after="0" w:line="149" w:lineRule="exact"/>
              <w:rPr>
                <w:sz w:val="20"/>
                <w:szCs w:val="20"/>
                <w:color w:val="auto"/>
              </w:rPr>
            </w:pPr>
            <w:r>
              <w:rPr>
                <w:rFonts w:ascii="Arial" w:cs="Arial" w:eastAsia="Arial" w:hAnsi="Arial"/>
                <w:sz w:val="14"/>
                <w:szCs w:val="14"/>
                <w:b w:val="1"/>
                <w:bCs w:val="1"/>
                <w:color w:val="auto"/>
                <w:w w:val="98"/>
              </w:rPr>
              <w:t>(Dollars in thousands)</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1,013,176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1,097,581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1,139,740</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1,255,552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755,397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Real estate and other foreclosed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156,592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220,049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1,117,455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1,254,173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1,359,789</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1,350,156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855,014</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358,397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287,876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250,705</w:t>
            </w: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205,172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158,991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Nonaccrual loans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57,420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40,529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39,883</w:t>
            </w: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252,503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114,183</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Renegotiated loans</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271,971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214,379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233,342</w:t>
            </w: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212,548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91,022</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Purchased impaired loans(c):</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customer balance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828,571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1,267,762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219,477</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Carrying amount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447,114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653,362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88,170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4"/>
              </w:rPr>
              <w:t>Nonaccrual loans to total loans and leases, net of unearned discount</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1.52%</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1.83%</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2.19%</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w w:val="97"/>
              </w:rPr>
              <w:t>Nonperforming assets to total net loans and leases and real estate</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8"/>
                <w:szCs w:val="18"/>
                <w:color w:val="auto"/>
              </w:rPr>
              <w:t>and other foreclosed assets</w:t>
            </w: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1.68%</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2.08%</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2.60%</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2.59%</w:t>
            </w: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Accruing loans past due 90 days or more(a) to total loans and</w:t>
            </w: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4"/>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 net of unearned discount</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.54%</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.48%</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.48%</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90" w:lineRule="exact"/>
        <w:rPr>
          <w:sz w:val="20"/>
          <w:szCs w:val="20"/>
          <w:color w:val="auto"/>
        </w:rPr>
      </w:pPr>
    </w:p>
    <w:p>
      <w:pPr>
        <w:ind w:firstLine="685"/>
        <w:spacing w:after="0" w:line="251"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$447 million at December 31, 2012, or less than 1% of total loans. Of that amount, $416 million related to the Wilmington Trust acquisition. Purchased impaired loans totaled $653 million at December 31, 2011. The decline in such loans during 2012 was predominantly the result of payments recovered from customers.</w:t>
      </w:r>
    </w:p>
    <w:p>
      <w:pPr>
        <w:spacing w:after="0" w:line="4" w:lineRule="exact"/>
        <w:rPr>
          <w:sz w:val="20"/>
          <w:szCs w:val="20"/>
          <w:color w:val="auto"/>
        </w:rPr>
      </w:pPr>
    </w:p>
    <w:p>
      <w:pPr>
        <w:ind w:right="300" w:firstLine="685"/>
        <w:spacing w:after="0" w:line="300" w:lineRule="auto"/>
        <w:rPr>
          <w:sz w:val="20"/>
          <w:szCs w:val="20"/>
          <w:color w:val="auto"/>
        </w:rPr>
      </w:pPr>
      <w:r>
        <w:rPr>
          <w:rFonts w:ascii="Arial" w:cs="Arial" w:eastAsia="Arial" w:hAnsi="Arial"/>
          <w:sz w:val="15"/>
          <w:szCs w:val="15"/>
          <w:color w:val="auto"/>
        </w:rPr>
        <w:t>Acquired accruing loans past due 90 days or more are loans that could not be specifically identified as impaired as of the acquisition date, but were recorded at estimated fair value as of such date. Such loans totaled to $167 million at December 31, 2012, compared with $164 million at December 31, 2011.</w:t>
      </w:r>
    </w:p>
    <w:p>
      <w:pPr>
        <w:spacing w:after="0" w:line="1" w:lineRule="exact"/>
        <w:rPr>
          <w:sz w:val="20"/>
          <w:szCs w:val="20"/>
          <w:color w:val="auto"/>
        </w:rPr>
      </w:pPr>
    </w:p>
    <w:p>
      <w:pPr>
        <w:ind w:right="120" w:firstLine="685"/>
        <w:spacing w:after="0" w:line="252"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685"/>
        <w:spacing w:after="0" w:line="303" w:lineRule="auto"/>
        <w:rPr>
          <w:sz w:val="20"/>
          <w:szCs w:val="20"/>
          <w:color w:val="auto"/>
        </w:rPr>
      </w:pPr>
      <w:r>
        <w:rPr>
          <w:rFonts w:ascii="Arial" w:cs="Arial" w:eastAsia="Arial" w:hAnsi="Arial"/>
          <w:sz w:val="15"/>
          <w:szCs w:val="15"/>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$167 million and $143 million at December 31, 2012 and December 31, 2011, respectively.</w:t>
      </w:r>
    </w:p>
    <w:p>
      <w:pPr>
        <w:spacing w:after="0" w:line="1" w:lineRule="exact"/>
        <w:rPr>
          <w:sz w:val="20"/>
          <w:szCs w:val="20"/>
          <w:color w:val="auto"/>
        </w:rPr>
      </w:pPr>
    </w:p>
    <w:p>
      <w:pPr>
        <w:ind w:right="380" w:firstLine="685"/>
        <w:spacing w:after="0" w:line="281" w:lineRule="auto"/>
        <w:rPr>
          <w:sz w:val="20"/>
          <w:szCs w:val="20"/>
          <w:color w:val="auto"/>
        </w:rPr>
      </w:pPr>
      <w:r>
        <w:rPr>
          <w:rFonts w:ascii="Arial" w:cs="Arial" w:eastAsia="Arial" w:hAnsi="Arial"/>
          <w:sz w:val="16"/>
          <w:szCs w:val="16"/>
          <w:color w:val="auto"/>
        </w:rPr>
        <w:t>Charge-offs of commercial loans and leases, net of recoveries, were $30 million in 2012, $45 million in 2011 and $65 million in 2010. Commercial loans and leases in nonaccrual status were $152 million at December 31, 2012, $164 million at December 31, 2011 and $173 million at December 31, 2010.</w:t>
      </w:r>
    </w:p>
    <w:p>
      <w:pPr>
        <w:spacing w:after="0" w:line="1"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Net charge-offs of commercial real estate loans during 2012, 2011 and 2010 aggregated $36 million, $77 million and $118 million, respectively. Reflected in 2012’s charge-offs were $23 million of loans to residential real estate builders and developers, compared with $55 million and $71 million in 2011 and 2010, respectively. Commercial real estate loans classified as nonaccrual totaled $412 million at December 31, 2012, compared with $559 million at December 31, 2011 and $617 million at December 31, 2010. The decline in such loans from the 2011 year end to December 31, 2012 was largely attributable to the impact of a payoff in 2012’s second quarter of a $58 million construction loan to an owner/operator of retirement and assisted living facilities, other payments received, and, to a lesser extent, charge-offs of commercial real estate loans. The decline in commercial real estate loans in nonaccrual status from the 2010 year-end to December 31, 2011 resulted largely from a $35 million decrease in such loans to homebuilders and developers, charge-offs of other commercial real estate loans classified as nonaccrual and payments received. At December 31, 2012 and 2011, commercial real estate loans to residential homebuilders and developers classified as nonaccrual aggregated $182 million and $281 million, respectively, compared with $317 million at December 31, 2010. Information about the location of nonaccrual and charged-off loans to residential real estate builders and developers as of and for the year ended December 31, 2012 is presented in table 13.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RESIDENTIAL BUILDER AND DEVELOPER LOANS, NET OF UNEARNED DISCOUNT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00" w:type="dxa"/>
            <w:vAlign w:val="bottom"/>
            <w:gridSpan w:val="6"/>
          </w:tcPr>
          <w:p>
            <w:pPr>
              <w:jc w:val="right"/>
              <w:ind w:right="200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Pr>
          <w:p>
            <w:pPr>
              <w:spacing w:after="0"/>
              <w:rPr>
                <w:sz w:val="14"/>
                <w:szCs w:val="1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627"/>
              <w:spacing w:after="0" w:line="142" w:lineRule="exact"/>
              <w:rPr>
                <w:sz w:val="20"/>
                <w:szCs w:val="20"/>
                <w:color w:val="auto"/>
              </w:rPr>
            </w:pPr>
            <w:r>
              <w:rPr>
                <w:rFonts w:ascii="Arial" w:cs="Arial" w:eastAsia="Arial" w:hAnsi="Arial"/>
                <w:sz w:val="14"/>
                <w:szCs w:val="14"/>
                <w:b w:val="1"/>
                <w:bCs w:val="1"/>
                <w:color w:val="auto"/>
                <w:w w:val="86"/>
              </w:rPr>
              <w:t>Nonaccrual</w:t>
            </w:r>
          </w:p>
        </w:tc>
        <w:tc>
          <w:tcPr>
            <w:tcW w:w="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86"/>
              </w:rPr>
              <w:t>Net Charge-offs (Recoveries)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Percent of</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Outstanding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Balances(a)</w:t>
            </w:r>
          </w:p>
        </w:tc>
        <w:tc>
          <w:tcPr>
            <w:tcW w:w="660" w:type="dxa"/>
            <w:vAlign w:val="bottom"/>
          </w:tcPr>
          <w:p>
            <w:pPr>
              <w:spacing w:after="0"/>
              <w:rPr>
                <w:sz w:val="14"/>
                <w:szCs w:val="14"/>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Balances</w:t>
            </w:r>
          </w:p>
        </w:tc>
        <w:tc>
          <w:tcPr>
            <w:tcW w:w="66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4"/>
              </w:rPr>
              <w:t>Balances</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Balances</w:t>
            </w:r>
          </w:p>
        </w:tc>
        <w:tc>
          <w:tcPr>
            <w:tcW w:w="6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2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Pennsylvania</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205,992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73,615</w:t>
            </w:r>
          </w:p>
        </w:tc>
        <w:tc>
          <w:tcPr>
            <w:tcW w:w="2160" w:type="dxa"/>
            <w:vAlign w:val="bottom"/>
            <w:gridSpan w:val="3"/>
          </w:tcPr>
          <w:p>
            <w:pPr>
              <w:jc w:val="right"/>
              <w:ind w:right="780"/>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1,322</w:t>
            </w:r>
          </w:p>
        </w:tc>
        <w:tc>
          <w:tcPr>
            <w:tcW w:w="6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91,798</w:t>
            </w:r>
          </w:p>
        </w:tc>
        <w:tc>
          <w:tcPr>
            <w:tcW w:w="21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21,365</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190,146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9,448</w:t>
            </w:r>
          </w:p>
        </w:tc>
        <w:tc>
          <w:tcPr>
            <w:tcW w:w="66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1,232,181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184,866</w:t>
            </w:r>
          </w:p>
        </w:tc>
        <w:tc>
          <w:tcPr>
            <w:tcW w:w="2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23,487</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$42 million of loans not secured by real estate, of which approximately $3 million are in nonaccrual status.</w:t>
      </w:r>
    </w:p>
    <w:p>
      <w:pPr>
        <w:spacing w:after="0" w:line="90" w:lineRule="exact"/>
        <w:rPr>
          <w:sz w:val="20"/>
          <w:szCs w:val="20"/>
          <w:color w:val="auto"/>
        </w:rPr>
      </w:pPr>
    </w:p>
    <w:p>
      <w:pPr>
        <w:ind w:right="40" w:firstLine="685"/>
        <w:spacing w:after="0" w:line="288" w:lineRule="auto"/>
        <w:rPr>
          <w:sz w:val="20"/>
          <w:szCs w:val="20"/>
          <w:color w:val="auto"/>
        </w:rPr>
      </w:pPr>
      <w:r>
        <w:rPr>
          <w:rFonts w:ascii="Arial" w:cs="Arial" w:eastAsia="Arial" w:hAnsi="Arial"/>
          <w:sz w:val="16"/>
          <w:szCs w:val="16"/>
          <w:color w:val="auto"/>
        </w:rPr>
        <w:t>Net charge-offs of residential real estate loans were $38 million in 2012, $52 million in 2011 and $61 million in 2010. Nonaccrual residential real estate loans at the end of 2012 totaled $345 million, compared with $278 million and $268 million at December 31, 2011 and 2010, respectively. The increase in residential real estate loans classified as nonaccrual from December 31, 2011 to December 31, 2012 was predominantly related to the addition of $64 million of loans to one customer that are secured by residential real estate. Depressed real estate values and high levels of delinquencies have contributed to the higher than historical levels of residential real estate loans classified as nonaccrual at the three most recent year-ends and to the elevated levels of charge-offs. Net charge-offs of Alt-A loans were $20 million in 2012, $32 million in 2011 and $34 million in 2010. Nonaccrual Alt-A loans aggregated $96 million at December 31, 2012, compared with $105 million and $106 million at December 31, 2011 and 2010, respectively. Residential real estate loans past due 90 days or more and accruing interest (excluding acquired loans) totaled $313 million, $250 million and $192 million at December 31, 2012, 2011 and 2010, respectively. A substantial portion of such amounts related to guaranteed loans repurchased from government-related entities. Information about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location of nonaccrual and charged-off residential real estate loans as of and for the year ended December 31, 2012 is presented in table 14.</w:t>
      </w:r>
    </w:p>
    <w:p>
      <w:pPr>
        <w:spacing w:after="0" w:line="38"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Consumer loan net charge-offs during 2012 totaled $83 million, compared with $91 million in 2011 and $102 million in 2010. Net charge-offs of consumer loans included: automobile loans of $14 million during 2012, $22 million during 2011 and $32 million during 2010; recreational vehicle loans of $18 million, $21 million and $23 million during 2012, 2011 and 2010, respectively; and home equity loans and lines of credit secured by one-to-four family residential properties of $31 million during 2012 and 2010, compared with $33 million during 2011. Nonaccrual consumer loans were $104 million at December 31, 2012, compared with $97 million and $80 million at December 31, 2011 and 2010, respectively. Included in nonaccrual consumer loans and leases at the 2012, 2011 and 2010 year-ends were: automobile loans of $25 million, $27 million and $32 million, respectively; recreational vehicle loans of $10 million, $13 million and $12 million; and outstanding balances of home equity loans and lines of credit, including junior lien Alt-A loans, of $58 million, $47 million and $33 million, respectively. Information about the location of nonaccrual and charged-off home equity loans and lines of credit as of and for the year ended December 31, 2012 is presented in table 14.</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RESIDENTIAL REAL ESTATE-RELATED LOAN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7"/>
            <w:vMerge w:val="restart"/>
          </w:tcPr>
          <w:p>
            <w:pPr>
              <w:jc w:val="right"/>
              <w:ind w:right="1460"/>
              <w:spacing w:after="0"/>
              <w:rPr>
                <w:sz w:val="20"/>
                <w:szCs w:val="20"/>
                <w:color w:val="auto"/>
              </w:rPr>
            </w:pPr>
            <w:r>
              <w:rPr>
                <w:rFonts w:ascii="Arial" w:cs="Arial" w:eastAsia="Arial" w:hAnsi="Arial"/>
                <w:sz w:val="14"/>
                <w:szCs w:val="14"/>
                <w:b w:val="1"/>
                <w:bCs w:val="1"/>
                <w:color w:val="auto"/>
                <w:w w:val="95"/>
              </w:rPr>
              <w:t>December 31,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December 31, 2012</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center"/>
              <w:ind w:right="52"/>
              <w:spacing w:after="0" w:line="142" w:lineRule="exact"/>
              <w:rPr>
                <w:sz w:val="20"/>
                <w:szCs w:val="20"/>
                <w:color w:val="auto"/>
              </w:rPr>
            </w:pPr>
            <w:r>
              <w:rPr>
                <w:rFonts w:ascii="Arial" w:cs="Arial" w:eastAsia="Arial" w:hAnsi="Arial"/>
                <w:sz w:val="14"/>
                <w:szCs w:val="14"/>
                <w:b w:val="1"/>
                <w:bCs w:val="1"/>
                <w:color w:val="auto"/>
                <w:w w:val="87"/>
              </w:rPr>
              <w:t>Net Charge-offs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492"/>
              <w:spacing w:after="0" w:line="142" w:lineRule="exact"/>
              <w:rPr>
                <w:sz w:val="20"/>
                <w:szCs w:val="20"/>
                <w:color w:val="auto"/>
              </w:rPr>
            </w:pPr>
            <w:r>
              <w:rPr>
                <w:rFonts w:ascii="Arial" w:cs="Arial" w:eastAsia="Arial" w:hAnsi="Arial"/>
                <w:sz w:val="14"/>
                <w:szCs w:val="14"/>
                <w:b w:val="1"/>
                <w:bCs w:val="1"/>
                <w:color w:val="auto"/>
                <w:w w:val="89"/>
              </w:rPr>
              <w:t>Nonaccrual</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Percent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4"/>
              </w:rPr>
              <w:t>Percent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Balances</w:t>
            </w:r>
          </w:p>
        </w:tc>
        <w:tc>
          <w:tcPr>
            <w:tcW w:w="420" w:type="dxa"/>
            <w:vAlign w:val="bottom"/>
          </w:tcPr>
          <w:p>
            <w:pPr>
              <w:spacing w:after="0"/>
              <w:rPr>
                <w:sz w:val="12"/>
                <w:szCs w:val="12"/>
                <w:color w:val="auto"/>
              </w:rPr>
            </w:pP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4"/>
              </w:rPr>
              <w:t>Balances</w:t>
            </w:r>
          </w:p>
        </w:tc>
        <w:tc>
          <w:tcPr>
            <w:tcW w:w="540" w:type="dxa"/>
            <w:vAlign w:val="bottom"/>
          </w:tcPr>
          <w:p>
            <w:pPr>
              <w:spacing w:after="0"/>
              <w:rPr>
                <w:sz w:val="12"/>
                <w:szCs w:val="12"/>
                <w:color w:val="auto"/>
              </w:rPr>
            </w:pPr>
          </w:p>
        </w:tc>
        <w:tc>
          <w:tcPr>
            <w:tcW w:w="11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Balances</w:t>
            </w:r>
          </w:p>
        </w:tc>
        <w:tc>
          <w:tcPr>
            <w:tcW w:w="160" w:type="dxa"/>
            <w:vAlign w:val="bottom"/>
          </w:tcPr>
          <w:p>
            <w:pPr>
              <w:spacing w:after="0"/>
              <w:rPr>
                <w:sz w:val="12"/>
                <w:szCs w:val="12"/>
                <w:color w:val="auto"/>
              </w:rPr>
            </w:pP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4"/>
              </w:rPr>
              <w:t>Balances</w:t>
            </w:r>
          </w:p>
        </w:tc>
        <w:tc>
          <w:tcPr>
            <w:tcW w:w="520" w:type="dxa"/>
            <w:vAlign w:val="bottom"/>
          </w:tcPr>
          <w:p>
            <w:pPr>
              <w:spacing w:after="0"/>
              <w:rPr>
                <w:sz w:val="12"/>
                <w:szCs w:val="12"/>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4"/>
              </w:rPr>
              <w:t>Balances</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Residential mortgages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4,175,829</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63,871</w:t>
            </w:r>
          </w:p>
        </w:tc>
        <w:tc>
          <w:tcPr>
            <w:tcW w:w="20" w:type="dxa"/>
            <w:vAlign w:val="bottom"/>
          </w:tcPr>
          <w:p>
            <w:pPr>
              <w:spacing w:after="0"/>
              <w:rPr>
                <w:sz w:val="12"/>
                <w:szCs w:val="12"/>
                <w:color w:val="auto"/>
              </w:rPr>
            </w:pP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1.53%</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3,006</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1,463,595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17,826</w:t>
            </w:r>
          </w:p>
        </w:tc>
        <w:tc>
          <w:tcPr>
            <w:tcW w:w="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3,211</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2,446,519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36,963</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4,077</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2,669,467</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128,448</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6,971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80" w:type="dxa"/>
            <w:vAlign w:val="bottom"/>
            <w:gridSpan w:val="2"/>
          </w:tcPr>
          <w:p>
            <w:pPr>
              <w:ind w:left="200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1"/>
              </w:rPr>
              <w:t>10,755,410</w:t>
            </w:r>
          </w:p>
        </w:tc>
        <w:tc>
          <w:tcPr>
            <w:tcW w:w="500" w:type="dxa"/>
            <w:vAlign w:val="bottom"/>
            <w:gridSpan w:val="2"/>
          </w:tcPr>
          <w:p>
            <w:pPr>
              <w:ind w:left="420"/>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247,108</w:t>
            </w:r>
          </w:p>
        </w:tc>
        <w:tc>
          <w:tcPr>
            <w:tcW w:w="20" w:type="dxa"/>
            <w:vAlign w:val="bottom"/>
          </w:tcPr>
          <w:p>
            <w:pPr>
              <w:spacing w:after="0"/>
              <w:rPr>
                <w:sz w:val="13"/>
                <w:szCs w:val="13"/>
                <w:color w:val="auto"/>
              </w:rPr>
            </w:pPr>
          </w:p>
        </w:tc>
        <w:tc>
          <w:tcPr>
            <w:tcW w:w="17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2.30%</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17,265</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Residential construction loans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5,203</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20" w:type="dxa"/>
            <w:vAlign w:val="bottom"/>
          </w:tcPr>
          <w:p>
            <w:pPr>
              <w:spacing w:after="0"/>
              <w:rPr>
                <w:sz w:val="12"/>
                <w:szCs w:val="12"/>
                <w:color w:val="auto"/>
              </w:rPr>
            </w:pP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11.99%</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10.57</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9,138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22,106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1,174</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80" w:type="dxa"/>
            <w:vAlign w:val="bottom"/>
            <w:gridSpan w:val="2"/>
          </w:tcPr>
          <w:p>
            <w:pPr>
              <w:ind w:left="200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38,906</w:t>
            </w:r>
          </w:p>
        </w:tc>
        <w:tc>
          <w:tcPr>
            <w:tcW w:w="500" w:type="dxa"/>
            <w:vAlign w:val="bottom"/>
            <w:gridSpan w:val="2"/>
          </w:tcPr>
          <w:p>
            <w:pPr>
              <w:ind w:left="42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3"/>
                <w:szCs w:val="13"/>
                <w:color w:val="auto"/>
              </w:rPr>
            </w:pPr>
          </w:p>
        </w:tc>
        <w:tc>
          <w:tcPr>
            <w:tcW w:w="17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5.67%</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998</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first mortgages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72,020</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19,566</w:t>
            </w:r>
          </w:p>
        </w:tc>
        <w:tc>
          <w:tcPr>
            <w:tcW w:w="20" w:type="dxa"/>
            <w:vAlign w:val="bottom"/>
          </w:tcPr>
          <w:p>
            <w:pPr>
              <w:spacing w:after="0"/>
              <w:rPr>
                <w:sz w:val="12"/>
                <w:szCs w:val="12"/>
                <w:color w:val="auto"/>
              </w:rPr>
            </w:pP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27.17%</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2,639</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14,474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w:t>
            </w:r>
          </w:p>
        </w:tc>
        <w:tc>
          <w:tcPr>
            <w:tcW w:w="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16.36</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85,620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15,224</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17.78</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274,407</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58,650</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21.37</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14,519</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80" w:type="dxa"/>
            <w:vAlign w:val="bottom"/>
            <w:gridSpan w:val="2"/>
          </w:tcPr>
          <w:p>
            <w:pPr>
              <w:ind w:left="200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446,521</w:t>
            </w:r>
          </w:p>
        </w:tc>
        <w:tc>
          <w:tcPr>
            <w:tcW w:w="500" w:type="dxa"/>
            <w:vAlign w:val="bottom"/>
            <w:gridSpan w:val="2"/>
          </w:tcPr>
          <w:p>
            <w:pPr>
              <w:ind w:left="42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95,808</w:t>
            </w:r>
          </w:p>
        </w:tc>
        <w:tc>
          <w:tcPr>
            <w:tcW w:w="20" w:type="dxa"/>
            <w:vAlign w:val="bottom"/>
          </w:tcPr>
          <w:p>
            <w:pPr>
              <w:spacing w:after="0"/>
              <w:rPr>
                <w:sz w:val="13"/>
                <w:szCs w:val="13"/>
                <w:color w:val="auto"/>
              </w:rPr>
            </w:pPr>
          </w:p>
        </w:tc>
        <w:tc>
          <w:tcPr>
            <w:tcW w:w="17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21.46%</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19,709</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junior lien</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1,906</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20" w:type="dxa"/>
            <w:vAlign w:val="bottom"/>
          </w:tcPr>
          <w:p>
            <w:pPr>
              <w:spacing w:after="0"/>
              <w:rPr>
                <w:sz w:val="12"/>
                <w:szCs w:val="12"/>
                <w:color w:val="auto"/>
              </w:rPr>
            </w:pP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10.34%</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9,839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5.97</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2,084</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80" w:type="dxa"/>
            <w:vAlign w:val="bottom"/>
            <w:gridSpan w:val="2"/>
          </w:tcPr>
          <w:p>
            <w:pPr>
              <w:ind w:left="200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15,764</w:t>
            </w:r>
          </w:p>
        </w:tc>
        <w:tc>
          <w:tcPr>
            <w:tcW w:w="500" w:type="dxa"/>
            <w:vAlign w:val="bottom"/>
            <w:gridSpan w:val="2"/>
          </w:tcPr>
          <w:p>
            <w:pPr>
              <w:ind w:left="420"/>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911</w:t>
            </w:r>
          </w:p>
        </w:tc>
        <w:tc>
          <w:tcPr>
            <w:tcW w:w="17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5.78%</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2,596</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loans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19,423</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811</w:t>
            </w: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4.18%</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99,932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3,355</w:t>
            </w:r>
          </w:p>
        </w:tc>
        <w:tc>
          <w:tcPr>
            <w:tcW w:w="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91,491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723</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80" w:type="dxa"/>
            <w:vAlign w:val="bottom"/>
            <w:gridSpan w:val="2"/>
          </w:tcPr>
          <w:p>
            <w:pPr>
              <w:ind w:left="200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211,722</w:t>
            </w:r>
          </w:p>
        </w:tc>
        <w:tc>
          <w:tcPr>
            <w:tcW w:w="500" w:type="dxa"/>
            <w:vAlign w:val="bottom"/>
            <w:gridSpan w:val="2"/>
          </w:tcPr>
          <w:p>
            <w:pPr>
              <w:ind w:left="42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4,955</w:t>
            </w:r>
          </w:p>
        </w:tc>
        <w:tc>
          <w:tcPr>
            <w:tcW w:w="20" w:type="dxa"/>
            <w:vAlign w:val="bottom"/>
          </w:tcPr>
          <w:p>
            <w:pPr>
              <w:spacing w:after="0"/>
              <w:rPr>
                <w:sz w:val="13"/>
                <w:szCs w:val="13"/>
                <w:color w:val="auto"/>
              </w:rPr>
            </w:pPr>
          </w:p>
        </w:tc>
        <w:tc>
          <w:tcPr>
            <w:tcW w:w="17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2.34%</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1,412</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lines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942,795</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3,914</w:t>
            </w:r>
          </w:p>
        </w:tc>
        <w:tc>
          <w:tcPr>
            <w:tcW w:w="20" w:type="dxa"/>
            <w:vAlign w:val="bottom"/>
          </w:tcPr>
          <w:p>
            <w:pPr>
              <w:spacing w:after="0"/>
              <w:rPr>
                <w:sz w:val="12"/>
                <w:szCs w:val="12"/>
                <w:color w:val="auto"/>
              </w:rPr>
            </w:pP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.42%</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650,373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w:t>
            </w:r>
          </w:p>
        </w:tc>
        <w:tc>
          <w:tcPr>
            <w:tcW w:w="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563,878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1,769</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703</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19,146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1,163</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80" w:type="dxa"/>
            <w:vAlign w:val="bottom"/>
            <w:gridSpan w:val="2"/>
          </w:tcPr>
          <w:p>
            <w:pPr>
              <w:ind w:left="200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2,176,192</w:t>
            </w:r>
          </w:p>
        </w:tc>
        <w:tc>
          <w:tcPr>
            <w:tcW w:w="500" w:type="dxa"/>
            <w:vAlign w:val="bottom"/>
            <w:gridSpan w:val="2"/>
          </w:tcPr>
          <w:p>
            <w:pPr>
              <w:ind w:left="42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10,338</w:t>
            </w:r>
          </w:p>
        </w:tc>
        <w:tc>
          <w:tcPr>
            <w:tcW w:w="20" w:type="dxa"/>
            <w:vAlign w:val="bottom"/>
          </w:tcPr>
          <w:p>
            <w:pPr>
              <w:spacing w:after="0"/>
              <w:rPr>
                <w:sz w:val="13"/>
                <w:szCs w:val="13"/>
                <w:color w:val="auto"/>
              </w:rPr>
            </w:pPr>
          </w:p>
        </w:tc>
        <w:tc>
          <w:tcPr>
            <w:tcW w:w="17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.48%</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2,140</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loans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42,029</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3,366</w:t>
            </w:r>
          </w:p>
        </w:tc>
        <w:tc>
          <w:tcPr>
            <w:tcW w:w="20" w:type="dxa"/>
            <w:vAlign w:val="bottom"/>
          </w:tcPr>
          <w:p>
            <w:pPr>
              <w:spacing w:after="0"/>
              <w:rPr>
                <w:sz w:val="12"/>
                <w:szCs w:val="12"/>
                <w:color w:val="auto"/>
              </w:rPr>
            </w:pP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8.01%</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829</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49,224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143,972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1,589</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699</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13,863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80" w:type="dxa"/>
            <w:vAlign w:val="bottom"/>
            <w:gridSpan w:val="2"/>
          </w:tcPr>
          <w:p>
            <w:pPr>
              <w:ind w:left="200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249,088</w:t>
            </w:r>
          </w:p>
        </w:tc>
        <w:tc>
          <w:tcPr>
            <w:tcW w:w="500" w:type="dxa"/>
            <w:vAlign w:val="bottom"/>
            <w:gridSpan w:val="2"/>
          </w:tcPr>
          <w:p>
            <w:pPr>
              <w:ind w:left="42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6,170</w:t>
            </w:r>
          </w:p>
        </w:tc>
        <w:tc>
          <w:tcPr>
            <w:tcW w:w="20" w:type="dxa"/>
            <w:vAlign w:val="bottom"/>
          </w:tcPr>
          <w:p>
            <w:pPr>
              <w:spacing w:after="0"/>
              <w:rPr>
                <w:sz w:val="13"/>
                <w:szCs w:val="13"/>
                <w:color w:val="auto"/>
              </w:rPr>
            </w:pPr>
          </w:p>
        </w:tc>
        <w:tc>
          <w:tcPr>
            <w:tcW w:w="17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2.48%</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2,272</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lines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1,431,453</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25,934</w:t>
            </w:r>
          </w:p>
        </w:tc>
        <w:tc>
          <w:tcPr>
            <w:tcW w:w="20" w:type="dxa"/>
            <w:vAlign w:val="bottom"/>
          </w:tcPr>
          <w:p>
            <w:pPr>
              <w:spacing w:after="0"/>
              <w:rPr>
                <w:sz w:val="12"/>
                <w:szCs w:val="12"/>
                <w:color w:val="auto"/>
              </w:rPr>
            </w:pPr>
          </w:p>
        </w:tc>
        <w:tc>
          <w:tcPr>
            <w:tcW w:w="1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1.81%</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14,234</w:t>
            </w:r>
          </w:p>
        </w:tc>
        <w:tc>
          <w:tcPr>
            <w:tcW w:w="20" w:type="dxa"/>
            <w:vAlign w:val="bottom"/>
          </w:tcPr>
          <w:p>
            <w:pPr>
              <w:spacing w:after="0"/>
              <w:rPr>
                <w:sz w:val="12"/>
                <w:szCs w:val="12"/>
                <w:color w:val="auto"/>
              </w:rPr>
            </w:pPr>
          </w:p>
        </w:tc>
        <w:tc>
          <w:tcPr>
            <w:tcW w:w="1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559,059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2,725</w:t>
            </w:r>
          </w:p>
        </w:tc>
        <w:tc>
          <w:tcPr>
            <w:tcW w:w="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2,363</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1,586,129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4,583</w:t>
            </w:r>
          </w:p>
        </w:tc>
        <w:tc>
          <w:tcPr>
            <w:tcW w:w="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5,129</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92,543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2,455</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3,669,184</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35,697</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.97%</w:t>
            </w:r>
          </w:p>
        </w:tc>
        <w:tc>
          <w:tcPr>
            <w:tcW w:w="2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22,647</w:t>
            </w:r>
          </w:p>
        </w:tc>
        <w:tc>
          <w:tcPr>
            <w:tcW w:w="20" w:type="dxa"/>
            <w:vAlign w:val="bottom"/>
          </w:tcPr>
          <w:p>
            <w:pPr>
              <w:spacing w:after="0"/>
              <w:rPr>
                <w:sz w:val="13"/>
                <w:szCs w:val="13"/>
                <w:color w:val="auto"/>
              </w:rPr>
            </w:pP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about past due and nonaccrual loans as of December 31, 2012 is also included in note 4 of Notes to Financial Statements.</w:t>
      </w:r>
    </w:p>
    <w:p>
      <w:pPr>
        <w:spacing w:after="0" w:line="15" w:lineRule="exact"/>
        <w:rPr>
          <w:sz w:val="20"/>
          <w:szCs w:val="20"/>
          <w:color w:val="auto"/>
        </w:rPr>
      </w:pPr>
    </w:p>
    <w:p>
      <w:pPr>
        <w:ind w:firstLine="685"/>
        <w:spacing w:after="0" w:line="300" w:lineRule="auto"/>
        <w:rPr>
          <w:sz w:val="20"/>
          <w:szCs w:val="20"/>
          <w:color w:val="auto"/>
        </w:rPr>
      </w:pPr>
      <w:r>
        <w:rPr>
          <w:rFonts w:ascii="Arial" w:cs="Arial" w:eastAsia="Arial" w:hAnsi="Arial"/>
          <w:sz w:val="15"/>
          <w:szCs w:val="15"/>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w:t>
      </w:r>
    </w:p>
    <w:p>
      <w:pPr>
        <w:spacing w:after="0" w:line="5" w:lineRule="exact"/>
        <w:rPr>
          <w:sz w:val="20"/>
          <w:szCs w:val="20"/>
          <w:color w:val="auto"/>
        </w:rPr>
      </w:pPr>
    </w:p>
    <w:p>
      <w:pPr>
        <w:ind w:right="400" w:firstLine="8"/>
        <w:spacing w:after="0" w:line="281"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 w:lineRule="exact"/>
        <w:rPr>
          <w:rFonts w:ascii="Arial" w:cs="Arial" w:eastAsia="Arial" w:hAnsi="Arial"/>
          <w:sz w:val="16"/>
          <w:szCs w:val="16"/>
          <w:color w:val="auto"/>
        </w:rPr>
      </w:pPr>
    </w:p>
    <w:p>
      <w:pPr>
        <w:ind w:right="440" w:firstLine="685"/>
        <w:spacing w:after="0" w:line="300" w:lineRule="auto"/>
        <w:rPr>
          <w:rFonts w:ascii="Arial" w:cs="Arial" w:eastAsia="Arial" w:hAnsi="Arial"/>
          <w:sz w:val="16"/>
          <w:szCs w:val="16"/>
          <w:color w:val="auto"/>
        </w:rPr>
      </w:pPr>
      <w:r>
        <w:rPr>
          <w:rFonts w:ascii="Arial" w:cs="Arial" w:eastAsia="Arial" w:hAnsi="Arial"/>
          <w:sz w:val="15"/>
          <w:szCs w:val="15"/>
          <w:color w:val="auto"/>
        </w:rPr>
        <w:t>Management cautiously and conservatively evaluated the allowance for credit losses as of December 31, 2012 in light of: (i) residential real estate values and the level of delinquencies of loans secured by residential real estate loans; (ii) economic conditions in the markets served by the Company;</w:t>
      </w:r>
    </w:p>
    <w:p>
      <w:pPr>
        <w:ind w:right="40" w:firstLine="8"/>
        <w:spacing w:after="0" w:line="281" w:lineRule="auto"/>
        <w:tabs>
          <w:tab w:leader="none" w:pos="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While there has been general improvement in economic conditions, concerns continue to exist about the strength of such improvement in both national and international markets; the level and volatility of energy prices; the slowly strengthening but still depressed housing market; the troubled state of financial and credit markets; Federal Reserve positioning of monetary policy; high levels of unemployment;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regions of upstate New York and central Pennsylvania. Approximately 60% of the Company’s loans are to customers in New York State and Pennsylvania. Home prices in upstate New York and central Pennsylvania were relatively stable in recent years, in contrast to declines in values in many other regions of the country. Therefore, despite the conditions, as previously described, the most severe credit issues experienced by the Company during the recent financial downturn were centered around residential real estate, including loans to builders and developers of residential real estate, in areas other than New York State and Pennsylvania.</w:t>
      </w:r>
    </w:p>
    <w:p>
      <w:pPr>
        <w:spacing w:after="0" w:line="8" w:lineRule="exact"/>
        <w:rPr>
          <w:rFonts w:ascii="Arial" w:cs="Arial" w:eastAsia="Arial" w:hAnsi="Arial"/>
          <w:sz w:val="16"/>
          <w:szCs w:val="16"/>
          <w:color w:val="auto"/>
        </w:rPr>
      </w:pPr>
    </w:p>
    <w:p>
      <w:pPr>
        <w:ind w:right="20" w:firstLine="685"/>
        <w:spacing w:after="0" w:line="286" w:lineRule="auto"/>
        <w:rPr>
          <w:rFonts w:ascii="Arial" w:cs="Arial" w:eastAsia="Arial" w:hAnsi="Arial"/>
          <w:sz w:val="16"/>
          <w:szCs w:val="16"/>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Reflecting more stable economic conditions in the regions served by the Company and continued workouts of problem credits, criticized commercial loans and commercial real estate loans were $2.4 billion at December 31, 2012, compared with $2.8 billion at December 31, 2011.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expected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December 31, 2012 approximately 38% of the Company’s home equity portfolio consisted of first lien loans. Of the remaining junior lien loans in the portfolio, approximately 83% (or approximately 53% of the aggregate home equity portfolio) consisted of junior lien loans that were behind a first lien mortgage loan that was not owned or serviced by the Company. For the junior lien loans where an entity other than the Company held a first lien mortgage, the Company cannot precisely determine whether there is a delinquency on such first lien mortgage. As a result, the Company typically only has knowledge of the exact stage of delinquency for that portion of the portfolio where the first lien is owned or serviced by the Company. The Company’s nonaccrual policy for junior lien home equity loans and lines of credit does consider the payment status of the senior lien loan in cases where the Company has knowledge about the payment status of such loan. To the extent known by the Company, if the senior lien loan, for payment delinquency or other reasons, would be on nonaccrual status, the Company similarly places the junior lien loan or line on nonaccrual status. At December 31, 2012, the balance of junior lien loans and lines that were in nonaccrual status solely as a result of first lien loan performance was $7 million and contributed to the increase in nonaccrual home equity loans and lines of credit, including junior lien Alt-A loans, from $47 million or .71% of such loans at December 31, 2011 to $58 million or .92% at 2012’s year end. The Company expects further increases in nonaccrual junior lien loans and lines as a result of ongoing efforts to obtain better information on first lien performance on its junior lien loans that were behind a first mortgage loan that was not owned or serviced by the Company. In monitoring the credit quality of its home equity portfolio for purposes of determining the allowance for credit losses, the Company reviews delinquency and nonaccrual information and considers recent charge-off experience as presented in tables 10 and 14.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precise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December 31,</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2012, approximately 96% of all outstanding balances of home equity lines of credit related to lines that were still in the draw period, the weighted-average remaining draw periods were approximately five years, and approximately 22% were making contractually allowed payments that do not include any repayment of principal.</w:t>
      </w:r>
    </w:p>
    <w:p>
      <w:pPr>
        <w:ind w:firstLine="685"/>
        <w:spacing w:after="0" w:line="281"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the Company has experienced historically high levels of nonaccrual loans and net charge-offs of residential real estate-related loans, including first and junior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5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loans secured by residential real estate and other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62%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w:t>
      </w:r>
    </w:p>
    <w:p>
      <w:pPr>
        <w:spacing w:after="0" w:line="17" w:lineRule="exact"/>
        <w:rPr>
          <w:sz w:val="20"/>
          <w:szCs w:val="20"/>
          <w:color w:val="auto"/>
        </w:rPr>
      </w:pPr>
    </w:p>
    <w:p>
      <w:pPr>
        <w:ind w:right="40" w:firstLine="685"/>
        <w:spacing w:after="0" w:line="361" w:lineRule="auto"/>
        <w:rPr>
          <w:sz w:val="20"/>
          <w:szCs w:val="20"/>
          <w:color w:val="auto"/>
        </w:rPr>
      </w:pPr>
      <w:r>
        <w:rPr>
          <w:rFonts w:ascii="Arial" w:cs="Arial" w:eastAsia="Arial" w:hAnsi="Arial"/>
          <w:sz w:val="15"/>
          <w:szCs w:val="15"/>
          <w:color w:val="auto"/>
        </w:rPr>
        <w:t>The inherent base level loss components of the Company’s allowance for credit losses are generally determined by applying loss factors to specific loan balances based on loan type and management’s classification of such loans under the Company’s loan grading system. The Company utilizes a loan grading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system which is applied to all commercial and commercial real estate credits. As previously described,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specifically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and (iii) additional risk associated with the Company’s portfolio of consumer loans, in particular automobile loans and leases, which generally have higher rates of loss than other types of collateralized loans.</w:t>
      </w:r>
    </w:p>
    <w:p>
      <w:pPr>
        <w:spacing w:after="0" w:line="5" w:lineRule="exact"/>
        <w:rPr>
          <w:sz w:val="20"/>
          <w:szCs w:val="20"/>
          <w:color w:val="auto"/>
        </w:rPr>
      </w:pPr>
    </w:p>
    <w:p>
      <w:pPr>
        <w:ind w:right="120" w:firstLine="685"/>
        <w:spacing w:after="0" w:line="250" w:lineRule="auto"/>
        <w:rPr>
          <w:sz w:val="20"/>
          <w:szCs w:val="20"/>
          <w:color w:val="auto"/>
        </w:rPr>
      </w:pPr>
      <w:r>
        <w:rPr>
          <w:rFonts w:ascii="Arial" w:cs="Arial" w:eastAsia="Arial" w:hAnsi="Arial"/>
          <w:sz w:val="18"/>
          <w:szCs w:val="18"/>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 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as previously described.</w:t>
      </w:r>
    </w:p>
    <w:p>
      <w:pPr>
        <w:spacing w:after="0" w:line="2" w:lineRule="exact"/>
        <w:rPr>
          <w:sz w:val="20"/>
          <w:szCs w:val="20"/>
          <w:color w:val="auto"/>
        </w:rPr>
      </w:pPr>
    </w:p>
    <w:p>
      <w:pPr>
        <w:ind w:right="40" w:firstLine="685"/>
        <w:spacing w:after="0" w:line="300" w:lineRule="auto"/>
        <w:rPr>
          <w:sz w:val="20"/>
          <w:szCs w:val="20"/>
          <w:color w:val="auto"/>
        </w:rPr>
      </w:pPr>
      <w:r>
        <w:rPr>
          <w:rFonts w:ascii="Arial" w:cs="Arial" w:eastAsia="Arial" w:hAnsi="Arial"/>
          <w:sz w:val="15"/>
          <w:szCs w:val="15"/>
          <w:color w:val="auto"/>
        </w:rPr>
        <w:t>In evaluating collateral, the Company relies extensively on internally and externally prepared valuations. In recent years, valuations of residential real estate, which are usually based on sales of comparable properties, declined significantly in many regions across the United States.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Economic indicators in the most significant market regions served by the Company continued to improve modestly in 2012 but remained generally below pre-recession levels. For example, during 2012, private sector employment in most market areas served by the Company rose by 1.5%, trailing the 1.8% U.S. average. Private sector employment in 2012 increased 1.0% in upstate New York, 1.5% in areas of Pennsylvania served by the Company, 1.5% in Maryland, 1.4% in Greater Washington D.C. and 0.5% in the State of Delaware. In New York City, private sector employment increased by 2.4% in 2012, however, unemployment rates there remain elevated and are expected to continue at above historical levels during 2013. At the end of 2012 there remained significant concerns about the pace of national economic recovery from the recession, high unemployment, real estate valuations, high levels of consumer indebtedness, volatile energy prices, state and local government budget deficits, federal fiscal policy and sovereign debt issues in Europe that weigh on the global economic outlook. Those factors are expected to act as significant headwinds for the national economy in 2013.</w:t>
      </w:r>
    </w:p>
    <w:p>
      <w:pPr>
        <w:spacing w:after="0" w:line="7" w:lineRule="exact"/>
        <w:rPr>
          <w:sz w:val="20"/>
          <w:szCs w:val="20"/>
          <w:color w:val="auto"/>
        </w:rPr>
      </w:pPr>
    </w:p>
    <w:p>
      <w:pPr>
        <w:ind w:right="120" w:firstLine="685"/>
        <w:spacing w:after="0" w:line="295" w:lineRule="auto"/>
        <w:rPr>
          <w:sz w:val="20"/>
          <w:szCs w:val="20"/>
          <w:color w:val="auto"/>
        </w:rPr>
      </w:pPr>
      <w:r>
        <w:rPr>
          <w:rFonts w:ascii="Arial" w:cs="Arial" w:eastAsia="Arial" w:hAnsi="Arial"/>
          <w:sz w:val="16"/>
          <w:szCs w:val="16"/>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subjective determination of amounts necessary for such things as the possible use of imprecise estimates in determining the allocated portion of the allowance and other risks associated with the Company’s loan portfolio which may not be specifically allocable.</w:t>
      </w:r>
    </w:p>
    <w:p>
      <w:pPr>
        <w:ind w:right="20" w:firstLine="685"/>
        <w:spacing w:after="0" w:line="285" w:lineRule="auto"/>
        <w:rPr>
          <w:sz w:val="20"/>
          <w:szCs w:val="20"/>
          <w:color w:val="auto"/>
        </w:rPr>
      </w:pPr>
      <w:r>
        <w:rPr>
          <w:rFonts w:ascii="Arial" w:cs="Arial" w:eastAsia="Arial" w:hAnsi="Arial"/>
          <w:sz w:val="16"/>
          <w:szCs w:val="16"/>
          <w:color w:val="auto"/>
        </w:rPr>
        <w:t>A comparative allocation of the allowance for credit losses for each of the past five year-ends is presented in table 15.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As described in note 5 of Notes to Financial Statements, loans considered impaired were $1.1 billion at each of December 31, 2012 and December 31, 2011. The allocated portion of the allowance for credit losses related to impaired loans totaled $133 million at December 31, 2012 and $168 million at December 31, 2011. The unallocated portion of the allowance for credit losses was equal to .11% and .12% of gross loans outstanding at December 31, 2012 and 2011, respectively. Given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5 of Notes to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 OF THE ALLOWANCE FOR CREDIT LOSSES TO LOAN CATEGORIES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$246,759</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$234,022</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$212,579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$219,170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425,908</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459,552</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486,913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451,352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179,418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143,121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133,067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137,124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Unallocated</w:t>
            </w:r>
          </w:p>
        </w:tc>
        <w:tc>
          <w:tcPr>
            <w:tcW w:w="13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73,775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71,595</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70,382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70,376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74,752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925,860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908,290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902,941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878,022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787,904</w:t>
            </w:r>
          </w:p>
        </w:tc>
        <w:tc>
          <w:tcPr>
            <w:tcW w:w="0" w:type="dxa"/>
            <w:vAlign w:val="bottom"/>
          </w:tcPr>
          <w:p>
            <w:pPr>
              <w:spacing w:after="0"/>
              <w:rPr>
                <w:sz w:val="1"/>
                <w:szCs w:val="1"/>
                <w:color w:val="auto"/>
              </w:rPr>
            </w:pPr>
          </w:p>
        </w:tc>
      </w:tr>
      <w:tr>
        <w:trPr>
          <w:trHeight w:val="20"/>
        </w:trPr>
        <w:tc>
          <w:tcPr>
            <w:tcW w:w="3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 a Percentage of Gross Loans</w:t>
            </w: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40" w:type="dxa"/>
            <w:vAlign w:val="bottom"/>
            <w:gridSpan w:val="4"/>
            <w:vMerge w:val="continue"/>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and Leases Outstanding</w:t>
            </w: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1.56%</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1.14</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1.42</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1.79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1.70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1.55</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0" w:firstLine="685"/>
        <w:spacing w:after="0" w:line="286" w:lineRule="auto"/>
        <w:rPr>
          <w:sz w:val="20"/>
          <w:szCs w:val="20"/>
          <w:color w:val="auto"/>
        </w:rPr>
      </w:pPr>
      <w:r>
        <w:rPr>
          <w:rFonts w:ascii="Arial" w:cs="Arial" w:eastAsia="Arial" w:hAnsi="Arial"/>
          <w:sz w:val="16"/>
          <w:szCs w:val="16"/>
          <w:color w:val="auto"/>
        </w:rPr>
        <w:t>Management believes that the allowance for credit losses at December 31, 2012 appropriately reflected credit losses inherent in the portfolio as of that date. The allowance for credit losses was $926 million or 1.39% of total loans and leases at December 31, 2012, compared with $908 million or 1.51% at December 31, 2011 and $903 million or 1.74% at December 31, 2010. The ratio of the allowance to total loans and leases at each respective year-end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decline in the ratio of the allowance to total loans and leases from December 31, 2011 to the 2012 year end reflects the impact of newly originated loans for which significant losses have not been incurred as well as improvement in the levels of criticized and nonaccrual loans. The decline in that ratio from December 31, 2010 to December 31, 2011 reflects the impact of $5.5 billion of loans obtained in the acquisition of Wilmington Trust.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periods. The ratio of the allowance to nonaccrual loans at the end of 2012, 2011 and 2010 was 91%, 83% and 79%, respectively. Given the Company’s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3" w:lineRule="exact"/>
        <w:rPr>
          <w:sz w:val="20"/>
          <w:szCs w:val="20"/>
          <w:color w:val="auto"/>
        </w:rPr>
      </w:pPr>
    </w:p>
    <w:p>
      <w:pPr>
        <w:ind w:right="300" w:firstLine="685"/>
        <w:spacing w:after="0" w:line="281" w:lineRule="auto"/>
        <w:rPr>
          <w:sz w:val="20"/>
          <w:szCs w:val="20"/>
          <w:color w:val="auto"/>
        </w:rPr>
      </w:pPr>
      <w:r>
        <w:rPr>
          <w:rFonts w:ascii="Arial" w:cs="Arial" w:eastAsia="Arial" w:hAnsi="Arial"/>
          <w:sz w:val="16"/>
          <w:szCs w:val="16"/>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ind w:left="460"/>
        <w:spacing w:after="0" w:line="18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consumer loans and leases considered smaller balance homogenous loans and evaluated collectively, a 40 basis point increase in loss factors;</w:t>
      </w:r>
    </w:p>
    <w:p>
      <w:pPr>
        <w:ind w:left="700" w:right="2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residential real estate loans and home equity loans and lines of credit, also considered smaller balance homogenous loans and evaluated collectively, a 15% increase in estimated inherent losses; and</w:t>
      </w:r>
    </w:p>
    <w:p>
      <w:pPr>
        <w:spacing w:after="0" w:line="1" w:lineRule="exact"/>
        <w:rPr>
          <w:sz w:val="20"/>
          <w:szCs w:val="20"/>
          <w:color w:val="auto"/>
        </w:rPr>
      </w:pPr>
    </w:p>
    <w:p>
      <w:pPr>
        <w:ind w:left="700" w:right="2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lower-ranked risk grades resulting in a 20% increase in the balance of classified credits in each risk grade.</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possible improvement in credit quality factors, the scenarios assumed were:</w:t>
      </w:r>
    </w:p>
    <w:p>
      <w:pPr>
        <w:spacing w:after="0" w:line="15" w:lineRule="exact"/>
        <w:rPr>
          <w:sz w:val="20"/>
          <w:szCs w:val="20"/>
          <w:color w:val="auto"/>
        </w:rPr>
      </w:pP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consumer loans and leases, a 20 basis point decrease in loss factors;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residential real estate loans and home equity loans and lines of credit, a 5% decrease in estimated inherent losses; and</w:t>
      </w:r>
    </w:p>
    <w:p>
      <w:pPr>
        <w:ind w:left="700" w:right="24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higher-ranked risk grades resulting in a 5% decrease in the balance of classified credits in each risk grade.</w:t>
      </w:r>
    </w:p>
    <w:p>
      <w:pPr>
        <w:spacing w:after="0" w:line="77" w:lineRule="exact"/>
        <w:rPr>
          <w:sz w:val="20"/>
          <w:szCs w:val="20"/>
          <w:color w:val="auto"/>
        </w:rPr>
      </w:pPr>
    </w:p>
    <w:p>
      <w:pPr>
        <w:ind w:right="80" w:firstLine="685"/>
        <w:spacing w:after="0" w:line="284" w:lineRule="auto"/>
        <w:rPr>
          <w:sz w:val="20"/>
          <w:szCs w:val="20"/>
          <w:color w:val="auto"/>
        </w:rPr>
      </w:pPr>
      <w:r>
        <w:rPr>
          <w:rFonts w:ascii="Arial" w:cs="Arial" w:eastAsia="Arial" w:hAnsi="Arial"/>
          <w:sz w:val="16"/>
          <w:szCs w:val="16"/>
          <w:color w:val="auto"/>
        </w:rPr>
        <w:t>The scenario analyses resulted in an additional $72 million that could be identifiable under the assumptions for credit deterioration, whereas under the assumptions for credit improvement a $24 million reduction could occur. These examples are only a few of numerous reasonably possible scenarios that could be utilized in assessing the sensitivity of the allowance for credit losses based on changes in assumptions and other factors.</w:t>
      </w:r>
    </w:p>
    <w:p>
      <w:pPr>
        <w:spacing w:after="0" w:line="1"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Investor-owned commercial real estate loans secured by retail properties in the New York City metropolitan area represented 3% of loans outstanding at December 31, 2012. The Company had no concentrations of credit extended to any specific industry that exceeded 10% of total loans at December 31, 2012. Outstanding loans to foreign borrowers were $149 million at December 31, 2012, or .2% of total loans and leases.</w:t>
      </w:r>
    </w:p>
    <w:p>
      <w:pPr>
        <w:spacing w:after="0" w:line="2" w:lineRule="exact"/>
        <w:rPr>
          <w:sz w:val="20"/>
          <w:szCs w:val="20"/>
          <w:color w:val="auto"/>
        </w:rPr>
      </w:pPr>
    </w:p>
    <w:p>
      <w:pPr>
        <w:ind w:right="60" w:firstLine="685"/>
        <w:spacing w:after="0" w:line="253" w:lineRule="auto"/>
        <w:rPr>
          <w:sz w:val="20"/>
          <w:szCs w:val="20"/>
          <w:color w:val="auto"/>
        </w:rPr>
      </w:pPr>
      <w:r>
        <w:rPr>
          <w:rFonts w:ascii="Arial" w:cs="Arial" w:eastAsia="Arial" w:hAnsi="Arial"/>
          <w:sz w:val="18"/>
          <w:szCs w:val="18"/>
          <w:color w:val="auto"/>
        </w:rPr>
        <w:t>Real estate and other foreclosed assets totaled $104 million at December 31, 2012, compared with $157 million at December 31, 2011 and $220 million at December 31, 2010. The decrease from December 31, 2011 to December 31, 2012 reflects sales of such assets. The decline in real estate and other foreclosed assets at December 31, 2011 as compared with the 2010 year-end reflects the sale during the second quarter of 2011 of a commercial real estate property located in New York City with a carrying value of $98 million. At December 31, 2012, the Company’s holding of residential real estate-related properties comprised approximately 60% of foreclosed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Other income aggregated $1.67 billion in 2012, up 5% from $1.58 billion in 2011. Reflected in such income were net gains and losses on investment securities (including other-than-temporary impairment losses), which totaled to a net loss of $48 million in 2012 and to a net gain of $73 million in 2011. Also reflected in noninterest income in 2011 were the $55 million CDO litigation settlement and the $65 million gain recognized on the Wilmington Trust acquisition. Excluding the specific items mentioned above, noninterest income was $1.72 billion in 2012, up $325 million from $1.39 billion in 2011. The predominant contributors to that rise in noninterest income were higher levels of mortgage banking revenues and trust income, the latter reflecting the full-year impact of the acquisition of Wilmington Trust.</w:t>
      </w:r>
    </w:p>
    <w:p>
      <w:pPr>
        <w:spacing w:after="0" w:line="3" w:lineRule="exact"/>
        <w:rPr>
          <w:sz w:val="20"/>
          <w:szCs w:val="20"/>
          <w:color w:val="auto"/>
        </w:rPr>
      </w:pPr>
    </w:p>
    <w:p>
      <w:pPr>
        <w:ind w:right="160" w:firstLine="685"/>
        <w:spacing w:after="0" w:line="255" w:lineRule="auto"/>
        <w:rPr>
          <w:sz w:val="20"/>
          <w:szCs w:val="20"/>
          <w:color w:val="auto"/>
        </w:rPr>
      </w:pPr>
      <w:r>
        <w:rPr>
          <w:rFonts w:ascii="Arial" w:cs="Arial" w:eastAsia="Arial" w:hAnsi="Arial"/>
          <w:sz w:val="18"/>
          <w:szCs w:val="18"/>
          <w:color w:val="auto"/>
        </w:rPr>
        <w:t>Other income in 2011 was 43% higher than the $1.11 billion earned in 2010. As noted above, reflected in other income in 2011 were net gains from bank investment securities of $73 million, compared with net losses of $84 million in 2010. Excluding the impact of securities gains and losses from both years, the CDO litigation settlement and the $65 million gain on the acquisition of Wilmington Trust in 2011, and</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$28 million gain associated with the K Bank acquisition transaction in 2010, other income of $1.39 billion in 2011 was up $226 million from $1.16 billion in 2010. The predominant contributor to that rise in noninterest income was higher trust income resulting from the Wilmington Trust acquisition. Higher revenues in 2011 from credit-related fees and merchant discount and credit card fees were offset by lower income from residential mortgage banking and service charges on deposit accounts.</w:t>
      </w:r>
    </w:p>
    <w:p>
      <w:pPr>
        <w:spacing w:after="0" w:line="1" w:lineRule="exact"/>
        <w:rPr>
          <w:sz w:val="20"/>
          <w:szCs w:val="20"/>
          <w:color w:val="auto"/>
        </w:rPr>
      </w:pPr>
    </w:p>
    <w:p>
      <w:pPr>
        <w:ind w:right="120" w:firstLine="685"/>
        <w:spacing w:after="0" w:line="250" w:lineRule="auto"/>
        <w:rPr>
          <w:sz w:val="20"/>
          <w:szCs w:val="20"/>
          <w:color w:val="auto"/>
        </w:rPr>
      </w:pPr>
      <w:r>
        <w:rPr>
          <w:rFonts w:ascii="Arial" w:cs="Arial" w:eastAsia="Arial" w:hAnsi="Arial"/>
          <w:sz w:val="18"/>
          <w:szCs w:val="18"/>
          <w:color w:val="auto"/>
        </w:rPr>
        <w:t>Mortgage banking revenues aggregated $349 million in 2012, $166 million in 2011 and $185 million in 2010.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$264 million in 2012, $103 million in 2011 and $127 million in 2010. The significantly higher level of residential mortgage banking revenues in 2012 as compared with 2011 was due to increased volumes of loans originated for sale and wider margins related to such loans. Those higher volumes reflect increased refinancing activities by consumers in light of the low interest rate environment and include the impact of the Company’s involvement in the U.S. government’s Home Affordable Refinance Program (“HARP 2.0”), which allows homeowners to refinance their Fannie Mae or Freddie Mac mortgages when the value of their home has fallen such that they have little or no equity. The HARP 2.0 program will remain available to borrowers through December 31, 2013. The lower revenue in 2011 as compared with 2010 was largely attributable to lower volumes of loans originated for sale, which reflects the Company retaining for portfolio during most of 2011 a large portion of residential real estate loans originated.</w:t>
      </w:r>
    </w:p>
    <w:p>
      <w:pPr>
        <w:spacing w:after="0" w:line="6"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New commitments to originate residential mortgage loans to be sold were approximately $5.1 billion in 2012, compared with $1.9 billion in 2011 and $4.1 billion in 2010. Included in those commitments to originate residential mortgage loans to be sold were HARP 2.0 commitments of $1.8 billion in 2012. The HARP 2.0 program began in December 2011. Realized gains from sales of residential mortgage loans and loan servicing rights (net of the impact of costs associated with obligations to repurchase mortgage loans originated for sale) and recognized net unrealized gains or losses attributable to residential mortgage loans held for sale, commitments to originate loans for sale and commitments to sell loans totaled to a gain of $157 million in 2012, compared with gains of $17 million in 2011 and $43 million in 2010.</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2012, 2011 and 2010 were reduced by approximately $28 million, $23 million and $30 million, respectively, related to the actual or anticipated settlement of repurchase obligations.</w:t>
      </w:r>
    </w:p>
    <w:p>
      <w:pPr>
        <w:spacing w:after="0" w:line="4"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Late in the third quarter of 2010, the Company began to originate certain residential real estate loans to be held in its loan portfolio, rather than continuing to sell such loans. The retained loans conform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From March through June 2011, the Company resumed originating for sale the majority of new residential real estate loans. However, beginning in July 2011, the Company resumed originating the majority of residential real estate loans to be held in its loan portfolio. The decision to retain for portfolio the majority of such loans originated rather than selling them resulted in a reduction of residential mortgage banking revenues of approximately $53 million, $27 million and $11 million in 2012, 2011 and 2010, respectively. Due to the significant growth in the Company’s residential real estate loan portfolio and the pending Hudson City acquisition, beginning in September 2012 the majority of the Company’s commitments are to originate residential real estate loans for sale to third parties.</w:t>
      </w:r>
    </w:p>
    <w:p>
      <w:pPr>
        <w:spacing w:after="0" w:line="6" w:lineRule="exact"/>
        <w:rPr>
          <w:sz w:val="20"/>
          <w:szCs w:val="20"/>
          <w:color w:val="auto"/>
        </w:rPr>
      </w:pPr>
    </w:p>
    <w:p>
      <w:pPr>
        <w:ind w:right="220" w:firstLine="685"/>
        <w:spacing w:after="0" w:line="361" w:lineRule="auto"/>
        <w:rPr>
          <w:sz w:val="20"/>
          <w:szCs w:val="20"/>
          <w:color w:val="auto"/>
        </w:rPr>
      </w:pPr>
      <w:r>
        <w:rPr>
          <w:rFonts w:ascii="Arial" w:cs="Arial" w:eastAsia="Arial" w:hAnsi="Arial"/>
          <w:sz w:val="15"/>
          <w:szCs w:val="15"/>
          <w:color w:val="auto"/>
        </w:rPr>
        <w:t>Loans held for sale that are secured by residential real estate totaled $1.2 billion and $210 million at December 31, 2012 and 2011, respectively. Commitments to sell residential mortgage loans and commitments to originate residential mortgage loans for sale at pre-determined rates were $2.3 billion and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$1.6 billion, respectively, at December 31, 2012, $296 million and $182 million, respectively, at December 31, 2011 and $458 million and $162 million, respectively, at December 31, 2010. Net unrealized gains on residential mortgage loans held for sale, commitments to sell loans, and commitments to originate loans for sale were $83 million and $6 million at December 31, 2012 and 2011, respectively, and $11 million at December 31, 2010. Changes in such net unrealized gains and losses are recorded in mortgage banking revenues and resulted in a net increase in revenue of $77 million in 2012 and net decreases in revenue of $4 million and $5 million in 2011 and 2010, respectively.</w:t>
      </w:r>
    </w:p>
    <w:p>
      <w:pPr>
        <w:ind w:left="700"/>
        <w:spacing w:after="0"/>
        <w:rPr>
          <w:sz w:val="20"/>
          <w:szCs w:val="20"/>
          <w:color w:val="auto"/>
        </w:rPr>
      </w:pPr>
      <w:r>
        <w:rPr>
          <w:rFonts w:ascii="Arial" w:cs="Arial" w:eastAsia="Arial" w:hAnsi="Arial"/>
          <w:sz w:val="16"/>
          <w:szCs w:val="16"/>
          <w:color w:val="auto"/>
        </w:rPr>
        <w:t>Revenues from servicing residential mortgage loans for others were $100 million in 2012, up from $83 million in 2011 and $80 million in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such servicing revenues were amounts related to purchased servicing rights associated with small balance commercial mortgage loans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in 2012, $23 million in 2011 and $27 million in 2010. Residential mortgage loans serviced for others totaled $35.9 billion at December 31,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$40.7 billion a year earlier and $21.1 billion at December 31, 2010, including the small balance commercial mortgage loans noted above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billion, $4.4 billion and $5.2 billion at December 31, 2012, 2011 and 2010, respectively. Reflected in residential mortgage loans serviced for others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sub-serviced for others of $12.5 billion and $14.3 billion at December 31, 2012 and 2011, respectively. On September 30, 2011, the Company 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servicing rights associated with residential mortgage loans having an outstanding principal balance of approximately $6.7 billion. The outstanding balances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loans as of December 31, 2012 and 2011 were $5.2 billion and $6.4 billion, respectively. Approximately $19 million and $5 million of servicing fees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that portfolio of loans were included in mortgage banking revenues during 2012 and 2011, respectively. Capitalized residential mortgage loan servicing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of any applicable valuation allowance for possible impairment, totaled $108 million at December 31, 2012, compared with $145 million and $118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and 2010, respectively. The valuation allowance for possible impairment of capitalized residential mortgage servicing assets totaled $5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$2 million at the 2012 and 2011 year-ends, respectively. There was no similar valuation allowance at December 31, 2010. Included in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 servicing assets were purchased servicing rights associated with the small balance commercial mortgage loans noted above of $8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and $26 million at December 31, 2012, 2011 and 2010, respectively. Servicing rights for the small balance commercial mortgage loans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purchased from BLG or its affiliates. In addition, at December 31, 2012 and 2011 capitalized servicing rights included $2 million and $5 million, respectively,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servicing rights for $2.7 billion and $3.1 billion, respectively, of residential real estate loans that were purchased from affiliates of BLG.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about the Company’s relationship with BLG and its affiliates is provided in note 24 of Notes to Financial Statements. Additional information about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capitalized residential mortgage loan servicing assets, including information about the calculation of estimated fair value, is presented in note 7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Commercial mortgage banking revenues totaled $85 million in 2012, $63 million in 2011 and $58 million in 2010. Included in such amounts were revenues from loan origination and sales activities of $59 million in 2012, $41 million in 2011 and $40 million in 2010. Commercial mortgage loans originated for sale to other investors totaled approximately $2.5 billion in 2012, compared with $1.5 billion in 2011 and $1.6 billion in 2010. Loan servicing revenues totaled $26 million in 2012, $22 million in 2011 and $18 million in 2010. Capitalized commercial mortgage loan servicing assets aggregated $60 million at December 31, 2012, $51 million at December 31, 2011 and $43 million at December 31, 2010. Commercial mortgage loans serviced for other investors totaled $10.6 billion, $9.0 billion and $8.1 billion at December 31, 2012, 2011 and 2010, respectively, and included $2.0 billion, $1.8 billion and $1.6 billion, respectively, of loan balances for which investors had recourse to the Company if such balances are ultimately uncollectible. Commitments to sell commercial mortgage loans and commitments to originate commercial mortgage loans for sale were $340 million and $140 million, respectively, at December 31, 2012,</w:t>
      </w:r>
    </w:p>
    <w:p>
      <w:pPr>
        <w:spacing w:after="0" w:line="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$339 million and $178 million, respectively, at December 31, 2011 and $276 million and $73 million, respectively, at December 31, 2010. Commercial mortgage loans held for sale totaled $200 million, $161 million and $204 million at December 31, 2012, 2011 and 2010, respectively.</w:t>
      </w:r>
    </w:p>
    <w:p>
      <w:pPr>
        <w:spacing w:after="0" w:line="1" w:lineRule="exact"/>
        <w:rPr>
          <w:sz w:val="20"/>
          <w:szCs w:val="20"/>
          <w:color w:val="auto"/>
        </w:rPr>
      </w:pPr>
    </w:p>
    <w:p>
      <w:pPr>
        <w:ind w:right="80" w:firstLine="685"/>
        <w:spacing w:after="0" w:line="253" w:lineRule="auto"/>
        <w:rPr>
          <w:sz w:val="20"/>
          <w:szCs w:val="20"/>
          <w:color w:val="auto"/>
        </w:rPr>
      </w:pPr>
      <w:r>
        <w:rPr>
          <w:rFonts w:ascii="Arial" w:cs="Arial" w:eastAsia="Arial" w:hAnsi="Arial"/>
          <w:sz w:val="18"/>
          <w:szCs w:val="18"/>
          <w:color w:val="auto"/>
        </w:rPr>
        <w:t>Service charges on deposit accounts declined 2% to $447 million in 2012 from $455 million in 2011. That decline reflects new regulations that were enacted as part of the Dodd-Frank Act related to limiting debit card interchange fees that financial institutions are able to assess. Those regulations were effective October 1, 2011. Partially offsetting the impact of those new regulations was the full-year impact of service charges on deposit accounts obtained in the Wilmington Trust acquisition. Deposit account service charges in 2010 were $478 million. The decline from 2010 to 2011 resulted from regulatory changes that went into</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effect during the third quarter of 2010 and in the fourth quarter of 2011. The 2010 change related to regulations promulgated by the Federal Reserve and other bank regulators that requires consumers to elect to be subject to fees for overdraft and certain deposit account transactions before a financial institution may charge such fees. The Company estimates that the impact of such regulations was to reduce service charges on deposit accounts by approximately $68 million and $35 million in 2011 and 2010, respectively. The regulatory changes that were effective October 1, 2011, as noted above, were part of the Dodd-Frank Act. The Company estimates that the impact of that change resulted in a reduction of service charges on deposit accounts of approximately $75 million and $17 million in 2012 and 2011, respectively. Partially offsetting the impact of the new regulations were service charges on deposit accounts obtained in the Wilmington Trust acquisition, which totaled approximately $18 million in 2011.</w:t>
      </w:r>
    </w:p>
    <w:p>
      <w:pPr>
        <w:ind w:left="700"/>
        <w:spacing w:after="0"/>
        <w:rPr>
          <w:sz w:val="20"/>
          <w:szCs w:val="20"/>
          <w:color w:val="auto"/>
        </w:rPr>
      </w:pPr>
      <w:r>
        <w:rPr>
          <w:rFonts w:ascii="Arial" w:cs="Arial" w:eastAsia="Arial" w:hAnsi="Arial"/>
          <w:sz w:val="16"/>
          <w:szCs w:val="16"/>
          <w:color w:val="auto"/>
        </w:rPr>
        <w:t>Trust income includes fees for trust and custody services provided to personal, corporate and institutional customers, and investment management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advisory fees that are often based on a percentage of the market value of assets under management. Trust income rose 42% in 2012 to $472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$332 million in 2011. During 2010, trust income aggregated $123 million. The Wilmington Trust acquisition contributed $366 million and $217 million to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in 2012 and 2011, respectively. That acquisition brought with it two significant sources of trust income. The Institutional Client Services (“ICS”)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a variety of trustee, agency, investment management and administrative services for corporations and institutions, investment bankers, corporate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and legal executives, and other institutional clients who: (i) use capital markets financing structures; (ii) use independent trustees to hold retirement plan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other assets; and (iii) need investment and cash management services. Many ICS clients are multinational corporations and institutions. The Wealth Advisory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Services (“WAS”) business helps high net worth clients grow their wealth, protect it, and transfer it to their heirs. A comprehensive array of wealth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are offered, including asset management, fiduciary services and family office services. Trust income in 2012 reflects ICS and WAS revenues of $193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$153 million, respectively. In 2011, revenues contributed by acquired ICS and WAS activities were $119 million and $87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Adversely impacting trust income in 2012, 2011 and 2010 were fee waivers by the Company in order to enable proprietary money-market funds to pay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yield on their investments in such funds. Those waived fees were approximately $57 million in 2012, $33 million in 2011 and $18 million in 2010. Total trust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assets, which include assets under management and assets under administration, aggregated $255.9 billion at December 31, 2012, compared with $261.9 billion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Trust assets under management were $61.5 billion and $52.7 billion at December 31, 2012 and 2011, respectively. In addition to the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noted above, trust assets under management of affiliates totaled $15.4 billion and $14.3 billion at December 31, 2012 and 2011,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Furthermore, the Company’s proprietary mutual funds had assets of $13.9 billion and $13.8 billion at December 31, 2012 and 2011, respectively.</w:t>
      </w:r>
    </w:p>
    <w:p>
      <w:pPr>
        <w:spacing w:after="0" w:line="3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aggregated $59 million in 2012, $56 million in 2011 and $50 million in 2010. The improvement from 2011 to 2012 was due to higher revenues earned from the sale of mutual funds while the rise from 2010 to 2011 reflects higher sales of annuity products. Trading account and foreign exchange activity resulted in gains of $36 million in 2012 and $27 million in each of 2011 and 2010. The higher gains in 2012 as compared with 2010 and 2011 were due to increased market values of trading account assets held in connection with deferred compensation arrangements and to higher new volumes of interest rate swap agreement transactions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spacing w:after="0" w:line="6" w:lineRule="exact"/>
        <w:rPr>
          <w:sz w:val="20"/>
          <w:szCs w:val="20"/>
          <w:color w:val="auto"/>
        </w:rPr>
      </w:pPr>
    </w:p>
    <w:p>
      <w:pPr>
        <w:ind w:right="160" w:firstLine="685"/>
        <w:spacing w:after="0" w:line="290" w:lineRule="auto"/>
        <w:rPr>
          <w:sz w:val="20"/>
          <w:szCs w:val="20"/>
          <w:color w:val="auto"/>
        </w:rPr>
      </w:pPr>
      <w:r>
        <w:rPr>
          <w:rFonts w:ascii="Arial" w:cs="Arial" w:eastAsia="Arial" w:hAnsi="Arial"/>
          <w:sz w:val="16"/>
          <w:szCs w:val="16"/>
          <w:color w:val="auto"/>
        </w:rPr>
        <w:t>Including other-than-temporary impairment losses, the Company recognized net losses on investment securities of $48 million and $84 million during 2012 and 2010, respectively, compared with net gains of $73 million in 2011. During 2011, the Company realized gains of $150 million from the sale of investment securities available for sale, predominantly residential mortgage-backed securities guaranteed by Fannie Mae and Freddie Mac, collateralized debt obligations and trust preferred securities, having an amortized cost of $1.75 billion. Realized gains and losses from sales of investment securities were not significant in 2012 or 2010. Other-than-temporary impairment charges of $48 million, $77 million and $86 million were recorded in 2012, 2011 and 2010, respectively. The charges recorded in 2012 and 2011 related to certain privately issued CMOs backed by residential and commercial real estate loans. During</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2010, the Company recognized impairment charges of $68 million related to certain privately issued CMOs backed by residential and commercial real estate loans, $6 million related to CDOs backed by trust preferred securities issued by financial institutions, and a $12 million write-down of AIB ADSs. The AIB ADSs were obtained in a prior acquisition of a subsidiary of AIB and were held to satisfy options to purchase such shares granted by that subsidiary to certain of its employees.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5"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M&amp;T’s share of the operating losses of BLG was $22 million in 2012, compared with $24 million and $26 million in 2011 and 2010, respectively. The operating losses of BLG in the respective years resulted from disruptions in the residential and commercial real estate markets and reflected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on the timing of loan workouts and collateral liquidations and, given ongoing loan loss provisioning, it is difficult to project when BLG will return to profitability. As a result of credit and liquidity disruptions, BLG ceased its originations of small-balance commercial real estate loans in 2008.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reinvested their earnings to generate additional servicing and asset management activities, further contributing to the value of those affiliates that inures to the benefit of BLG and, ultimately, M&amp;T. In 2011’s final quarter the Company recognized a $79 million other-than-temporary impairment charge related to M&amp;T’s 20% investment in BLG. While the small business commercial real estate securitization market that BLG previously operated in continues to be stagnant, its affiliated asset management and loan servicing operations continue to grow and perform well. BLG is entitled to receive, if and when made, cash distributions from affiliates, a portion of which is contractually required to be distributed to M&amp;T. Nevertheless, in consideration of the passage of time since M&amp;T’s original investment in BLG in 2007, the prospects of ongoing loan losses at BLG and the inability to accurately predict the timing of potential distributions to M&amp;T, management concluded that the investment was other-than-temporarily impaired and wrote it down to its estimated fair value of $115 million. The impairment charge of $79 million was recorded in “other costs of operations” in 2011. The Company believes that the value of its investment in BLG as of December 31,</w:t>
      </w:r>
    </w:p>
    <w:p>
      <w:pPr>
        <w:spacing w:after="0" w:line="1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2012 has not changed significantly from that of a year earlier when the impairment charge was recognized. Information about the Company’s relationship with BLG and its affiliates is included in note 24 of Notes to Financial Statements.</w:t>
      </w:r>
    </w:p>
    <w:p>
      <w:pPr>
        <w:spacing w:after="0" w:line="1" w:lineRule="exact"/>
        <w:rPr>
          <w:sz w:val="20"/>
          <w:szCs w:val="20"/>
          <w:color w:val="auto"/>
        </w:rPr>
      </w:pPr>
    </w:p>
    <w:p>
      <w:pPr>
        <w:ind w:right="320" w:firstLine="685"/>
        <w:spacing w:after="0" w:line="302" w:lineRule="auto"/>
        <w:rPr>
          <w:sz w:val="20"/>
          <w:szCs w:val="20"/>
          <w:color w:val="auto"/>
        </w:rPr>
      </w:pPr>
      <w:r>
        <w:rPr>
          <w:rFonts w:ascii="Arial" w:cs="Arial" w:eastAsia="Arial" w:hAnsi="Arial"/>
          <w:sz w:val="16"/>
          <w:szCs w:val="16"/>
          <w:color w:val="auto"/>
        </w:rPr>
        <w:t>Other revenues from operations totaled $374 million in 2012, compared with $497 million in 2011. Reflected in such revenues in 2011 were the $65 million gain realized on the acquisition of Wilmington Trust and the $55 million CDO litigation settlement. Excluding those two items, other revenues from operations were little changed in 2012 as compared with 2011, but nevertheless reflected higher merchant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discount and credit card fees in 2012 offset by a decline in gains from the sale of previously leased equipment. Other revenues from operations were $355 million in 2010. In addition to the gain on the acquisition of Wilmington Trust and the CDO litigation settlement, contributing to the improvement in other revenues from operations in 2011 as compared with 2010 were increases in revenues from letter of credit and credit-related fees, merchant discount and credit card fees, and gains from the sale of previously leased equipment. Reflected in other revenues from operations in 2010 was the merger-related gain of $28 million related to the K Bank transaction.</w:t>
      </w:r>
    </w:p>
    <w:p>
      <w:pPr>
        <w:ind w:left="700"/>
        <w:spacing w:after="0"/>
        <w:rPr>
          <w:sz w:val="20"/>
          <w:szCs w:val="20"/>
          <w:color w:val="auto"/>
        </w:rPr>
      </w:pPr>
      <w:r>
        <w:rPr>
          <w:rFonts w:ascii="Arial" w:cs="Arial" w:eastAsia="Arial" w:hAnsi="Arial"/>
          <w:sz w:val="16"/>
          <w:szCs w:val="16"/>
          <w:color w:val="auto"/>
        </w:rPr>
        <w:t>Included in other revenues from operations were the following significant components. Letter of credit and other credit-related fees totaled</w:t>
      </w:r>
    </w:p>
    <w:p>
      <w:pPr>
        <w:spacing w:after="0" w:line="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$127 million, $130 million and $112 million in 2012, 2011 and 2010, respectively. The increase in such fees from 2010 to 2011 was due largely to higher income from providing letter of credit and loan syndication services. Tax-exempt income earned from bank owned life insurance aggregated $51 million in each of 2012 and 2011 and $50 million in 2010. Such income includes increases in cash surrender value of life insurance policies and benefits received. Revenues from merchant discount and credit card fees were $77 million in 2012, $60 million in 2011 and $46 million in 2010. The increased revenues in 2012 as compared with 2011 and in 2011 as compared with 2010 were largely attributable to higher transaction volumes related to merchant activity and usage of the Company’s credit card products. Insurance-related sales commissions and other revenues totaled $44 million in 2012, compared with $40 million in each of 2011 and 2010. Automated teller machine usage fees aggregated $19 million in each of 2012 and 2011 and $18 million in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Other expense totaled $2.51 billion in 2012, compared with $2.48 billion in 2011 and $1.91 billion in 2010. Included in such amounts are expenses considered to be “nonoperating” in nature consisting of amortization of core deposit and other intangible assets of $61 million, $62 million and $58 million in 2012, 2011 and 2010, respectively, and merger-related expenses of $10 million in 2012, $84 million in 2011 and $771 thousand in 2010. Exclusive of those nonoperating expenses, noninterest operating expenses were $2.44 billion in 2012, $2.33 billion in 2011 and $1.86 billion in 2010. The increase in such expenses in 2012 as compared with 2011 was largely attributable to the full-year impact of the operations obtained in the Wilmington Trust acquisition. Reflected in 2011 noninterest operating expenses were the previously discussed $79 million impairment charge related to BLG and the $30 million fourth quarter charitable contribution. The increase in noninterest operating expenses in 2011 as compared with 2010 was largely the result of the impact of the operations obtained in the Wilmington Trust acquisition, the impairment charge related to BLG, higher charitable contributions and higher FDIC assessments.</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Salaries and employee benefits expense totaled $1.31 billion in 2012, compared with $1.20 billion and $1.00 billion in 2011 and 2010, respectively. The rise in such expenses in 2012 from 2011 reflects the full-year impact of the operations obtained in the acquisition of Wilmington Trust. Also contributing to the higher expense level in 2012 were increased incentive compensation costs and expenses related to pension and postretirement benefits. The higher expense levels in 2011 as compared with 2010 were predominantly due to the operations obtained in the Wilmington Trust acquisition, but also reflect $16 million of merger-related salaries and employee benefits expenses comprised predominantly of severance for Wilmington Trust employees. Stock-based compensation totaled $57 million in 2012, $56 million in 2011 and $54 million in 2010. The number of full-time equivalent employees was 14,404 at December 31, 2012, compared with 15,072 and 12,802 at December 31, 2011 and 2010, respectively.</w:t>
      </w:r>
    </w:p>
    <w:p>
      <w:pPr>
        <w:spacing w:after="0" w:line="5"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The Company provides pension and other postretirement benefits (including a retirement savings plan) for its employees. Expenses related to such benefits totaled $105 million in 2012, $86 million in 2011 and $66 million in 2010. The Company sponsors both defined benefit and defined contribution pension plans. Pension benefit expense for those plans was $69 million in 2012, $53 million in 2011 and $38 million in 2010. Included in those amounts are $17 million in 2012, $13 million in 2011 and $14 million in 2010 for a defined contribution pension plan that the Company began on January 1, 2006. The rise in pension and other postretirement benefits expense in 2012 as compared with 2011 was largely reflective of a $17 million increase in amortization of actuarial losses accumulated in the defined benefit pension plans. The increase in expense in 2011 from 2010 was predominantly due to the impact of the Wilmington Trust acquisition and an increase in amortization of actuarial losses of approximately $7 million.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 Other factors used to estimate the projected benefit obligations include actuarial assumptions for mortality rate, turnover rate, retirement rate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5"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The Company’s 2012 pension expense for its defined benefit plans was determined using the following assumptions: a long-term rate of return on assets of 6.50%; a rate of future compensation increase of 4.50%; and a discount rate of 4.25%. To demonstrate the sensitivity of pension expense to changes in the Company’s pension plan assumptions, 25 basis point increases in: the rate of return on plan assets would have resulted in a decrease in pension expense of</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$3 million; the rate of increase in compensation would have resulted in an increase in pension expense of $.4 million; and the discount rate would have resulted in a decrease in pension expense of $5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was assumed. As of December 31, 2012, the Company had cumulative unrecognized actuarial losses of approximately $480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 had the effect of increasing the Company’s pension expense by approximately $37 million in 2012, $21 million in 2011 and $14 million in 2010.</w:t>
      </w:r>
    </w:p>
    <w:p>
      <w:pPr>
        <w:spacing w:after="0" w:line="7" w:lineRule="exact"/>
        <w:rPr>
          <w:sz w:val="20"/>
          <w:szCs w:val="20"/>
          <w:color w:val="auto"/>
        </w:rPr>
      </w:pPr>
    </w:p>
    <w:p>
      <w:pPr>
        <w:ind w:right="20" w:firstLine="685"/>
        <w:spacing w:after="0" w:line="284" w:lineRule="auto"/>
        <w:rPr>
          <w:sz w:val="20"/>
          <w:szCs w:val="20"/>
          <w:color w:val="auto"/>
        </w:rPr>
      </w:pPr>
      <w:r>
        <w:rPr>
          <w:rFonts w:ascii="Arial" w:cs="Arial" w:eastAsia="Arial" w:hAnsi="Arial"/>
          <w:sz w:val="16"/>
          <w:szCs w:val="16"/>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cost, are to be recognized as a component of other comprehensive income. As of December 31, 2012, the combined benefit obligations of the Company’s defined benefit postretirement plans exceeded the fair value of the assets of such plans by approximately $311 million. Of that amount, $105 million was related to qualified defined benefit plans that are periodically funded by the Company and $206 million related to non-qualified pension and other postretirement benefit plans that are generally not funded until benefits are paid. The Company was required to have a net pension and postretirement benefit liability for those plans that was at least equal to $311 million at December 31, 2012. Accordingly, as of December 31, 2012 the Company recorded an additional postretirement benefit liability of $455 million. After applicable tax effect, that additional liability reduced accumulated other comprehensive income (and thereby shareholders’ equity) by $277 million. The result of this was a year-over-year decrease of $2 million to the additional minimum postretirement benefit liability from the $457 million recorded at December 31, 2011. After applicable tax effect, the $2 million decrease in the additional required liability increased accumulated other comprehensive income in 2012 by $945 thousand from the prior year-end amount of $278 million. The rather insignificant change in the minimum liability from December 31, 2011 represents the net impact of actual experience during 2012 that differed from the actuarial assumptions used and from changes in those assumptions. Notably, gains from higher than expected investment returns earned in 2012 were offset by net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05" w:lineRule="auto"/>
        <w:rPr>
          <w:sz w:val="20"/>
          <w:szCs w:val="20"/>
          <w:color w:val="auto"/>
        </w:rPr>
      </w:pPr>
      <w:r>
        <w:rPr>
          <w:rFonts w:ascii="Arial" w:cs="Arial" w:eastAsia="Arial" w:hAnsi="Arial"/>
          <w:sz w:val="15"/>
          <w:szCs w:val="15"/>
          <w:color w:val="auto"/>
        </w:rPr>
        <w:t>losses in the remeasurement of the benefit obligations that resulted from a lowering of the discount rate used in that measurement. In determining the benefit obligation for defined benefit postretirement plans the Company used a discount rate of 3.75% at December 31, 2012 and 4.25% at December 31, 2011. A</w:t>
      </w:r>
    </w:p>
    <w:p>
      <w:pPr>
        <w:spacing w:after="0" w:line="281" w:lineRule="auto"/>
        <w:rPr>
          <w:sz w:val="20"/>
          <w:szCs w:val="20"/>
          <w:color w:val="auto"/>
        </w:rPr>
      </w:pPr>
      <w:r>
        <w:rPr>
          <w:rFonts w:ascii="Arial" w:cs="Arial" w:eastAsia="Arial" w:hAnsi="Arial"/>
          <w:sz w:val="16"/>
          <w:szCs w:val="16"/>
          <w:color w:val="auto"/>
        </w:rPr>
        <w:t>25 basis point decrease in the assumed discount rate as of December 31, 2012 to 3.50% would have resulted in increases in the combined benefit obligations of all defined benefit postretirement plans (including pension and other plans) of $67 million. Under that scenario, the minimum postretirement liability adjustment at December 31, 2012 would have been $522 million, rather than the $455 million that was actually recorded, and the corresponding after tax-effect charge to accumulated other comprehensive income at December 31, 2012 would have been $317 million, rather than the $277 million that was actually recorded. 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25 basis point increase in the assumed discount rate to 4.00% would have decreased the combined benefit obligations of all defined benefit postretirement plans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$61 million. Under this latter scenario, the aggregate minimum liability adjustment at December 31, 2012 would have been $394 million rather than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$455 million actually recorded and the corresponding after tax-effect charge to accumulated other comprehensive income would have been $239 million rather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$277 million. The Company was not required to make any contributions to its qualified defined benefit pension plan in 2012, 2011 or 2010. However,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and 2011 the Company elected to make cash contributions of $200 million and $70 million, respectively. The Company did not make any contributions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qualified defined benefit pension plan in 2010. Information about the Company’s pension plans, including significant assumptions utilized in completing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actuarial calculations for the plans, is included in note 12 of Notes to Financial Statements.</w:t>
      </w:r>
    </w:p>
    <w:p>
      <w:pPr>
        <w:spacing w:after="0" w:line="9"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$31 million in 2012, $28 million in 2011 and $25 million in 2010.</w:t>
      </w:r>
    </w:p>
    <w:p>
      <w:pPr>
        <w:spacing w:after="0" w:line="2"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Expenses associated with the defined benefit and defined contribution pension plans and the RSP totaled $100 million in 2012, $81 million in 2011 and $62 million in 2010. Expense associated with providing medical and other postretirement benefits was $5 million in 2012 and $4 million in each of 2011 and 2010.</w:t>
      </w:r>
    </w:p>
    <w:p>
      <w:pPr>
        <w:spacing w:after="0" w:line="1" w:lineRule="exact"/>
        <w:rPr>
          <w:sz w:val="20"/>
          <w:szCs w:val="20"/>
          <w:color w:val="auto"/>
        </w:rPr>
      </w:pPr>
    </w:p>
    <w:p>
      <w:pPr>
        <w:ind w:right="40" w:firstLine="685"/>
        <w:spacing w:after="0" w:line="252" w:lineRule="auto"/>
        <w:rPr>
          <w:sz w:val="20"/>
          <w:szCs w:val="20"/>
          <w:color w:val="auto"/>
        </w:rPr>
      </w:pPr>
      <w:r>
        <w:rPr>
          <w:rFonts w:ascii="Arial" w:cs="Arial" w:eastAsia="Arial" w:hAnsi="Arial"/>
          <w:sz w:val="18"/>
          <w:szCs w:val="18"/>
          <w:color w:val="auto"/>
        </w:rPr>
        <w:t>Excluding the nonoperating expense items already noted, nonpersonnel operating expenses totaled $1.13 billion in 2012, compared with $1.14 billion in 2011. Higher expenses in 2012 related to the full-year impact of the operations obtained in the acquisition of Wilmington Trust and professional services were predominantly offset by the impairment charge related to BLG and the Company’s charitable contributions, both reflected in 2011. Nonpersonnel operating expenses were $856 million in 2010. The increase in such expenses from 2010 to 2011 was largely attributable to the impact of the operations obtained in the Wilmington Trust acquisition, the impairment charge related to BLG, the $30 million charitable contribution in 2011’s fourth quarter and higher FDIC assessments.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provision for income taxes was $523 million in 2012, compared with $365 million in 2011 and $357 million in 2010. The effective tax rates were 33.7%, 29.8% and 32.6% in 2012, 2011 and 2010,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the recognition of the non-taxable gain of $65 million on the Wilmington Trust acquisition served to lower the effective tax rate in 2011. Income taxes in 2011 also reflect the resolution of previously uncertain tax positions that allowed the Company to reduce its accrual for income taxes in total by $12 million. Excluding the impact of (i) the non-taxable gain of $65 million on the Wilmington Trust acquisition and (ii) the $12 million accrual reversal related to the resolution with taxing authorities of previously uncertain tax positions, the Company’s effective tax rate for 2011 would have been 32.5%.</w:t>
      </w:r>
    </w:p>
    <w:p>
      <w:pPr>
        <w:spacing w:after="0" w:line="5"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net investment in international assets aggregated $179 million at December 31, 2012 and $160 million at December 31, 2011. Such assets included $149 million and $128 million, respectively, of loans to foreign borrowers. Deposits in the Company’s office in the Cayman Islands totaled $1.0 billion at December 31, 2012 and $356 million at December 31, 2011. The Company uses such deposits to facilitate customer demand and as an alternative to short-term borrowings when the costs of such deposits seem reasonable. M&amp;T Bank opened a full-service commercial branch in Ontario, Canada during the second quarter of 2010. Loans and deposits at that branch as of December 31, 2012 were $139 million and $22 million, respectively, compared with $116 million and $14 million, respectively, at December 31, 2011. As a result of the Wilmington Trust acquisition, the Company offers trust-related services in Europe and the Cayman Islands. Revenues from providing such services during 2012 and 2011 were approximately $24 million and $15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Market Risk, and Interest Rate Sensitivity</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86% of the Company’s earning assets at December 31, 2012, compared with 83% and 77% at December 31, 2011 and 2010, respectively. The increases in the amount of earning assets financed by core deposits at the 2012 and 2011 year-ends as compared with December 31, 2010 reflect higher levels of core deposits, largely due to higher noninterest-bearing deposits, that have allowed the Company to reduce short-term and long-term borrowings.</w:t>
      </w:r>
    </w:p>
    <w:p>
      <w:pPr>
        <w:spacing w:after="0" w:line="5" w:lineRule="exact"/>
        <w:rPr>
          <w:sz w:val="20"/>
          <w:szCs w:val="20"/>
          <w:color w:val="auto"/>
        </w:rPr>
      </w:pPr>
    </w:p>
    <w:p>
      <w:pPr>
        <w:ind w:right="320" w:firstLine="685"/>
        <w:spacing w:after="0" w:line="281" w:lineRule="auto"/>
        <w:rPr>
          <w:sz w:val="20"/>
          <w:szCs w:val="20"/>
          <w:color w:val="auto"/>
        </w:rPr>
      </w:pPr>
      <w:r>
        <w:rPr>
          <w:rFonts w:ascii="Arial" w:cs="Arial" w:eastAsia="Arial" w:hAnsi="Arial"/>
          <w:sz w:val="16"/>
          <w:szCs w:val="16"/>
          <w:color w:val="auto"/>
        </w:rPr>
        <w:t>The Company supplements funding provided through core deposits with various short-term and long-term wholesale borrowings, including federal funds purchased and securities sold under agreements to repurchase, brokered certificates of deposit, Cayman Islands office deposits and borrowings from the FHLBs and others. At December 31, 2012, M&amp;T Bank had short-term and long-term credit facilities with the FHLBs aggregating $9.8 billion. Outstanding borrowings under FHLB credit facilities totaled $30 million and $1.4 billion at December 31, 2012 and 2011, respectively. Such borrowings were secured by loans and investment securities. M&amp;T Bank and Wilmington Trust, N.A. had available lines of credit with the Federal Reserve Bank of New York that totaled approximately $11.7 billion at December 31, 2012. The amounts of those lines are dependent upon the balances of loans and securities pledged as collateral. There were no borrowings outstanding under such lines of credit at December 31, 2012 or December 31, 2011.</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Company has, from time to time, issued subordinated capital notes and junior subordinated debentures associated with preferred capital securities to provide liquidity and enhance regulatory capital ratios. Such notes qualify for inclusion in the Company’s capital as defined by Federal regulators. However, pursuant to the Dodd-Frank Act, junior subordinated debentures associated with trust preferred securities will be phased-out of the definition of Tier 1 capital over a three-year period which began January 1, 2013. Information about the Company’s borrowings is included in note 9 of Notes to Financial Statements.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 wide group of banks and other financial institutions. Short-term federal funds borrowings were $939 million and $590 million at December 31, 2012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2011, respectively. In general, those borrowings were unsecured and matured on the next business day. As previously noted, Cayman Islands office deposits and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brokered certificates of deposit have been used by the Company as an alternative to short-term borrowings. Cayman Islands office deposits also generally mature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the next business day and totaled $1.0 billion and $356 million at December 31, 2012 and 2011, respectively. Outstanding brokered time deposits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and December 31, 2011 were $462 million and $1.0 billion, respectively. Brokered time deposits assumed in the Wilmington Trust transaction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aggregated $1.4 billion at the acquisition date. At December 31, 2012, the weighted-average remaining term to maturity of brokered time deposits was 7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brokered deposits</w:t>
      </w:r>
    </w:p>
    <w:p>
      <w:pPr>
        <w:spacing w:after="0" w:line="149"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54" w:lineRule="auto"/>
        <w:rPr>
          <w:sz w:val="20"/>
          <w:szCs w:val="20"/>
          <w:color w:val="auto"/>
        </w:rPr>
      </w:pPr>
      <w:r>
        <w:rPr>
          <w:rFonts w:ascii="Arial" w:cs="Arial" w:eastAsia="Arial" w:hAnsi="Arial"/>
          <w:sz w:val="18"/>
          <w:szCs w:val="18"/>
          <w:color w:val="auto"/>
        </w:rPr>
        <w:t>have provisions that allow for early redemption. The Company also has brokered NOW and brokered money-market deposit accounts which aggregated $1.1 billion at each of December 31, 2012 and 2011.</w:t>
      </w:r>
    </w:p>
    <w:p>
      <w:pPr>
        <w:ind w:right="160" w:firstLine="685"/>
        <w:spacing w:after="0" w:line="287"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16.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RATINGS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Standard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0"/>
              </w:rPr>
              <w:t>and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87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Moody’s</w:t>
            </w: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Poor’s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Fitch</w:t>
            </w: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M&amp;T Bank Corporation</w:t>
            </w: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Senior debt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A3</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debt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Baa1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BBB+</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BBB+</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M&amp;T Bank</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deposits</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Prime-</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7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F1</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Long-term deposits</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A2</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debt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A2</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w:t>
            </w:r>
          </w:p>
        </w:tc>
      </w:tr>
      <w:tr>
        <w:trPr>
          <w:trHeight w:val="222"/>
        </w:trPr>
        <w:tc>
          <w:tcPr>
            <w:tcW w:w="8780" w:type="dxa"/>
            <w:vAlign w:val="bottom"/>
          </w:tcPr>
          <w:p>
            <w:pPr>
              <w:ind w:left="220"/>
              <w:spacing w:after="0"/>
              <w:rPr>
                <w:sz w:val="20"/>
                <w:szCs w:val="20"/>
                <w:color w:val="auto"/>
              </w:rPr>
            </w:pPr>
            <w:r>
              <w:rPr>
                <w:rFonts w:ascii="Arial" w:cs="Arial" w:eastAsia="Arial" w:hAnsi="Arial"/>
                <w:sz w:val="18"/>
                <w:szCs w:val="18"/>
                <w:color w:val="auto"/>
              </w:rPr>
              <w:t>Subordinated debt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A3</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BBB+</w:t>
            </w:r>
          </w:p>
        </w:tc>
      </w:tr>
    </w:tbl>
    <w:p>
      <w:pPr>
        <w:spacing w:after="0" w:line="66" w:lineRule="exact"/>
        <w:rPr>
          <w:sz w:val="20"/>
          <w:szCs w:val="20"/>
          <w:color w:val="auto"/>
        </w:rPr>
      </w:pPr>
    </w:p>
    <w:p>
      <w:pPr>
        <w:ind w:right="220" w:firstLine="685"/>
        <w:spacing w:after="0" w:line="291"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$7 million and $40 million at December 31, 2012 and 2011, respectively. At each of December 31, 2012 and 2011, the VRDBs outstanding backed by M&amp;T Bank letters of credit totaled $1.9 billion. M&amp;T Bank also serves as remarketing agent for most of those bonds.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DISTRIBUTION OF SELECTED LOANS(a)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Demand</w:t>
            </w: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2014-2017</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After 2017</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ind w:left="680"/>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$ 6,580,590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$ 2,467,660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$ 6,524,710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782,662</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189,213</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1,393,666</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1,668,723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299,693</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$ 6,769,803</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$ 3,861,326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$ 8,193,433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1,082,355</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Floating or adjustable interest rates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$ 6,489,840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637,604</w:t>
            </w:r>
          </w:p>
        </w:tc>
        <w:tc>
          <w:tcPr>
            <w:tcW w:w="0" w:type="dxa"/>
            <w:vAlign w:val="bottom"/>
          </w:tcPr>
          <w:p>
            <w:pPr>
              <w:spacing w:after="0"/>
              <w:rPr>
                <w:sz w:val="1"/>
                <w:szCs w:val="1"/>
                <w:color w:val="auto"/>
              </w:rPr>
            </w:pPr>
          </w:p>
        </w:tc>
      </w:tr>
      <w:tr>
        <w:trPr>
          <w:trHeight w:val="218"/>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or predetermined interest rates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1,703,593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$ 8,193,433</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1,082,355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The data do not include nonaccrual loans.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685"/>
        <w:spacing w:after="0" w:line="291"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The contractual amounts and timing of those payments as of December 31, 2012 are summarized in table 18.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18 summarizes the Company’s other commitments as of December 31, 2012 and the timing of the expiration of such commitments.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3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 One</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One to Three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to Five</w:t>
            </w: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Over Five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80"/>
              <w:spacing w:after="0" w:line="148"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126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3"/>
                <w:szCs w:val="13"/>
                <w:color w:val="auto"/>
              </w:rPr>
            </w:pPr>
          </w:p>
        </w:tc>
        <w:tc>
          <w:tcPr>
            <w:tcW w:w="126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c>
          <w:tcPr>
            <w:tcW w:w="126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3"/>
                <w:szCs w:val="13"/>
                <w:color w:val="auto"/>
              </w:rPr>
            </w:pPr>
          </w:p>
        </w:tc>
        <w:tc>
          <w:tcPr>
            <w:tcW w:w="94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due for contractual obligations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Time deposits</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3,575,766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739,495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234,165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12,940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4,562,366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Deposits at Cayman Islands office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1,044,519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1,044,519</w:t>
            </w:r>
          </w:p>
        </w:tc>
        <w:tc>
          <w:tcPr>
            <w:tcW w:w="0" w:type="dxa"/>
            <w:vAlign w:val="bottom"/>
          </w:tcPr>
          <w:p>
            <w:pPr>
              <w:spacing w:after="0"/>
              <w:rPr>
                <w:sz w:val="1"/>
                <w:szCs w:val="1"/>
                <w:color w:val="auto"/>
              </w:rPr>
            </w:pPr>
          </w:p>
        </w:tc>
      </w:tr>
      <w:tr>
        <w:trPr>
          <w:trHeight w:val="208"/>
        </w:trPr>
        <w:tc>
          <w:tcPr>
            <w:tcW w:w="4420" w:type="dxa"/>
            <w:vAlign w:val="bottom"/>
            <w:gridSpan w:val="2"/>
          </w:tcPr>
          <w:p>
            <w:pPr>
              <w:ind w:left="220"/>
              <w:spacing w:after="0"/>
              <w:rPr>
                <w:sz w:val="20"/>
                <w:szCs w:val="20"/>
                <w:color w:val="auto"/>
              </w:rPr>
            </w:pPr>
            <w:r>
              <w:rPr>
                <w:rFonts w:ascii="Arial" w:cs="Arial" w:eastAsia="Arial" w:hAnsi="Arial"/>
                <w:sz w:val="18"/>
                <w:szCs w:val="18"/>
                <w:color w:val="auto"/>
                <w:w w:val="93"/>
              </w:rPr>
              <w:t>Federal funds purchased and agreements to repurchase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1,074,482</w:t>
            </w:r>
          </w:p>
        </w:tc>
        <w:tc>
          <w:tcPr>
            <w:tcW w:w="1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1,074,482</w:t>
            </w: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borrowings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258,102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28,220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1,864,845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2,456,591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4,607,758</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76,772</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144,729</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95,804</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142,520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459,825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56,765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25,557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14,748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103,022</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6,086,406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938,001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2,209,562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2,618,003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11,851,972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commitments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Commitments to extend credit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9,111,575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5,817,504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4,108,807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3,270,420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22,308,306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1,857,771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1,533,932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547,619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86,007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4,025,329</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Commercial letters of credit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18,877</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34,324</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53,201</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Financial guarantees and indemnification contracts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145,761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260,508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307,188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1,406,904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2,120,361</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Commitments to sell real estate loans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2,617,751</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7,657</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2,625,408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13,751,735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7,653,925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4,963,614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4,763,331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31,132,605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dividends from its banking subsidiaries, which are subject to various regulatory limitations. Dividends from any banking subsidiary to M&amp;T are limited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earnings of the banking subsidiary in the current year and the two preceding years. For purposes of that test, at December 31, 2012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$944 million was available for payment of dividends to M&amp;T from banking subsidiaries. These historic sources of cash flow have been augmented in the past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trust preferred securities and senior notes payable. Information regarding trust preferred securities and the related junior subordinated debentures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included in note 9 of Notes to Financial Statements. The $300 million of 5.375% senior notes of M&amp;T that were issued in 2007 matured and were repaid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M&amp;T also maintains a $30 million line of credit with an unaffiliated commercial bank, of which there were no borrowings outstanding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 A similar $30 million line of credit was entirely available for borrowing at December 31, 2011.</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AND TAXABLE-EQUIVALENT YIELD OF INVESTMENT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One to</w:t>
            </w:r>
          </w:p>
        </w:tc>
        <w:tc>
          <w:tcPr>
            <w:tcW w:w="420" w:type="dxa"/>
            <w:vAlign w:val="bottom"/>
          </w:tcPr>
          <w:p>
            <w:pPr>
              <w:spacing w:after="0"/>
              <w:rPr>
                <w:sz w:val="14"/>
                <w:szCs w:val="14"/>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Five to</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One Year</w:t>
            </w:r>
          </w:p>
        </w:tc>
        <w:tc>
          <w:tcPr>
            <w:tcW w:w="6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Five</w:t>
            </w:r>
          </w:p>
        </w:tc>
        <w:tc>
          <w:tcPr>
            <w:tcW w:w="420" w:type="dxa"/>
            <w:vAlign w:val="bottom"/>
          </w:tcPr>
          <w:p>
            <w:pPr>
              <w:spacing w:after="0"/>
              <w:rPr>
                <w:sz w:val="12"/>
                <w:szCs w:val="12"/>
                <w:color w:val="auto"/>
              </w:rPr>
            </w:pPr>
          </w:p>
        </w:tc>
        <w:tc>
          <w:tcPr>
            <w:tcW w:w="11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0"/>
              </w:rPr>
              <w:t>Ten</w:t>
            </w:r>
          </w:p>
        </w:tc>
        <w:tc>
          <w:tcPr>
            <w:tcW w:w="9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Over Ten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20" w:type="dxa"/>
            <w:vAlign w:val="bottom"/>
            <w:gridSpan w:val="3"/>
            <w:vMerge w:val="continue"/>
          </w:tcPr>
          <w:p>
            <w:pPr>
              <w:spacing w:after="0"/>
              <w:rPr>
                <w:sz w:val="13"/>
                <w:szCs w:val="13"/>
                <w:color w:val="auto"/>
              </w:rPr>
            </w:pPr>
          </w:p>
        </w:tc>
        <w:tc>
          <w:tcPr>
            <w:tcW w:w="1120" w:type="dxa"/>
            <w:vAlign w:val="bottom"/>
            <w:gridSpan w:val="3"/>
          </w:tcPr>
          <w:p>
            <w:pPr>
              <w:jc w:val="right"/>
              <w:ind w:right="640"/>
              <w:spacing w:after="0" w:line="148" w:lineRule="exact"/>
              <w:rPr>
                <w:sz w:val="20"/>
                <w:szCs w:val="20"/>
                <w:color w:val="auto"/>
              </w:rPr>
            </w:pPr>
            <w:r>
              <w:rPr>
                <w:rFonts w:ascii="Arial" w:cs="Arial" w:eastAsia="Arial" w:hAnsi="Arial"/>
                <w:sz w:val="14"/>
                <w:szCs w:val="14"/>
                <w:b w:val="1"/>
                <w:bCs w:val="1"/>
                <w:color w:val="auto"/>
                <w:w w:val="92"/>
              </w:rPr>
              <w:t>or Less</w:t>
            </w:r>
          </w:p>
        </w:tc>
        <w:tc>
          <w:tcPr>
            <w:tcW w:w="60" w:type="dxa"/>
            <w:vAlign w:val="bottom"/>
          </w:tcPr>
          <w:p>
            <w:pPr>
              <w:spacing w:after="0"/>
              <w:rPr>
                <w:sz w:val="13"/>
                <w:szCs w:val="13"/>
                <w:color w:val="auto"/>
              </w:rPr>
            </w:pPr>
          </w:p>
        </w:tc>
        <w:tc>
          <w:tcPr>
            <w:tcW w:w="6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Years</w:t>
            </w:r>
          </w:p>
        </w:tc>
        <w:tc>
          <w:tcPr>
            <w:tcW w:w="420" w:type="dxa"/>
            <w:vAlign w:val="bottom"/>
          </w:tcPr>
          <w:p>
            <w:pPr>
              <w:spacing w:after="0"/>
              <w:rPr>
                <w:sz w:val="13"/>
                <w:szCs w:val="13"/>
                <w:color w:val="auto"/>
              </w:rPr>
            </w:pPr>
          </w:p>
        </w:tc>
        <w:tc>
          <w:tcPr>
            <w:tcW w:w="110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3"/>
                <w:szCs w:val="13"/>
                <w:color w:val="auto"/>
              </w:rPr>
            </w:pPr>
          </w:p>
        </w:tc>
        <w:tc>
          <w:tcPr>
            <w:tcW w:w="8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9"/>
              </w:rPr>
              <w:t>Years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 securities available for sale(a)</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spacing w:after="0" w:line="149" w:lineRule="exact"/>
              <w:rPr>
                <w:sz w:val="20"/>
                <w:szCs w:val="20"/>
                <w:color w:val="auto"/>
              </w:rPr>
            </w:pPr>
            <w:r>
              <w:rPr>
                <w:rFonts w:ascii="Arial" w:cs="Arial" w:eastAsia="Arial" w:hAnsi="Arial"/>
                <w:sz w:val="14"/>
                <w:szCs w:val="14"/>
                <w:color w:val="auto"/>
              </w:rPr>
              <w:t>U.S. Treasury and federal agencies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2,047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35,505</w:t>
            </w: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1.64%</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4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1,653</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3,473</w:t>
            </w:r>
          </w:p>
        </w:tc>
        <w:tc>
          <w:tcPr>
            <w:tcW w:w="4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5,653</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10,122</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6.12%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5.71%</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spacing w:after="0" w:line="149" w:lineRule="exact"/>
              <w:rPr>
                <w:sz w:val="20"/>
                <w:szCs w:val="20"/>
                <w:color w:val="auto"/>
              </w:rPr>
            </w:pPr>
            <w:r>
              <w:rPr>
                <w:rFonts w:ascii="Arial" w:cs="Arial" w:eastAsia="Arial" w:hAnsi="Arial"/>
                <w:sz w:val="14"/>
                <w:szCs w:val="14"/>
                <w:color w:val="auto"/>
              </w:rPr>
              <w:t>Mortgage-backed securities(b)</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2"/>
              </w:rPr>
              <w:t>131,173</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2"/>
              </w:rPr>
              <w:t>551,105</w:t>
            </w:r>
          </w:p>
        </w:tc>
        <w:tc>
          <w:tcPr>
            <w:tcW w:w="4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641,397</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2,047,366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3,371,041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3.25%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3.24%</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Privately issued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7"/>
              </w:rPr>
              <w:t>27,930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132,035</w:t>
            </w: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175,309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688,612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1,023,886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Yield</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3.24%</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w:t>
            </w:r>
          </w:p>
        </w:tc>
        <w:tc>
          <w:tcPr>
            <w:tcW w:w="4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3.18%</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debt securities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1,252</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4,161</w:t>
            </w:r>
          </w:p>
        </w:tc>
        <w:tc>
          <w:tcPr>
            <w:tcW w:w="4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2,772</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165,634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1.41%</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spacing w:after="0" w:line="149" w:lineRule="exact"/>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110,446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tcPr>
          <w:p>
            <w:pPr>
              <w:spacing w:after="0"/>
              <w:rPr>
                <w:sz w:val="13"/>
                <w:szCs w:val="13"/>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 securities available for sale</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2"/>
              </w:rPr>
              <w:t>164,055</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2"/>
              </w:rPr>
              <w:t>726,279</w:t>
            </w:r>
          </w:p>
        </w:tc>
        <w:tc>
          <w:tcPr>
            <w:tcW w:w="4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826,923</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2,911,734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4,739,437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3.24%</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56"/>
        </w:trPr>
        <w:tc>
          <w:tcPr>
            <w:tcW w:w="612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Investment securities held to maturity</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7"/>
              </w:rPr>
              <w:t>26,716</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50,310</w:t>
            </w:r>
          </w:p>
        </w:tc>
        <w:tc>
          <w:tcPr>
            <w:tcW w:w="4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104,901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5.17%</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spacing w:after="0" w:line="149" w:lineRule="exact"/>
              <w:rPr>
                <w:sz w:val="20"/>
                <w:szCs w:val="20"/>
                <w:color w:val="auto"/>
              </w:rPr>
            </w:pPr>
            <w:r>
              <w:rPr>
                <w:rFonts w:ascii="Arial" w:cs="Arial" w:eastAsia="Arial" w:hAnsi="Arial"/>
                <w:sz w:val="14"/>
                <w:szCs w:val="14"/>
                <w:color w:val="auto"/>
              </w:rPr>
              <w:t>Mortgage-backed securities(b)</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7"/>
              </w:rPr>
              <w:t>30,376</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2"/>
              </w:rPr>
              <w:t>135,669</w:t>
            </w:r>
          </w:p>
        </w:tc>
        <w:tc>
          <w:tcPr>
            <w:tcW w:w="4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206,530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224,765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597,340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2.94%</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Privately issued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7,388</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30,261</w:t>
            </w: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39,788</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164,941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242,378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Yield</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2.66%</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2.68%</w:t>
            </w:r>
          </w:p>
        </w:tc>
        <w:tc>
          <w:tcPr>
            <w:tcW w:w="4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2.72%</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debt securities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10,455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56"/>
        </w:trPr>
        <w:tc>
          <w:tcPr>
            <w:tcW w:w="612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 securities held to maturity</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7"/>
              </w:rPr>
              <w:t>64,480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216,240</w:t>
            </w: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351,219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400,337</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1,032,276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3.41%</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3.42%</w:t>
            </w:r>
          </w:p>
        </w:tc>
        <w:tc>
          <w:tcPr>
            <w:tcW w:w="4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investment securities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302,648</w:t>
            </w:r>
          </w:p>
        </w:tc>
        <w:tc>
          <w:tcPr>
            <w:tcW w:w="0" w:type="dxa"/>
            <w:vAlign w:val="bottom"/>
          </w:tcPr>
          <w:p>
            <w:pPr>
              <w:spacing w:after="0"/>
              <w:rPr>
                <w:sz w:val="1"/>
                <w:szCs w:val="1"/>
                <w:color w:val="auto"/>
              </w:rPr>
            </w:pPr>
          </w:p>
        </w:tc>
      </w:tr>
      <w:tr>
        <w:trPr>
          <w:trHeight w:val="156"/>
        </w:trPr>
        <w:tc>
          <w:tcPr>
            <w:tcW w:w="612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 securities</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2"/>
              </w:rPr>
              <w:t>228,535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942,519</w:t>
            </w: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1,178,142</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3,312,071</w:t>
            </w: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6,074,361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3.29%</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3.23%</w:t>
            </w:r>
          </w:p>
        </w:tc>
        <w:tc>
          <w:tcPr>
            <w:tcW w:w="4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3.38%</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 securities available for sale are presented at estimated fair value. Yields on such securities are based on amortized cost.</w:t>
      </w:r>
    </w:p>
    <w:p>
      <w:pPr>
        <w:spacing w:after="0" w:line="90" w:lineRule="exact"/>
        <w:rPr>
          <w:rFonts w:ascii="Arial" w:cs="Arial" w:eastAsia="Arial" w:hAnsi="Arial"/>
          <w:sz w:val="18"/>
          <w:szCs w:val="18"/>
          <w:i w:val="1"/>
          <w:iCs w:val="1"/>
          <w:color w:val="auto"/>
        </w:rPr>
      </w:pPr>
    </w:p>
    <w:p>
      <w:pPr>
        <w:ind w:left="460" w:right="180" w:hanging="452"/>
        <w:spacing w:after="0" w:line="268" w:lineRule="auto"/>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 are reflected based upon contractual payments due. Actual maturities are expected to be significantly shorter as a result of loan repayments in the underlying mortgage pools.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52"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 w:lineRule="exact"/>
        <w:rPr>
          <w:sz w:val="20"/>
          <w:szCs w:val="20"/>
          <w:color w:val="auto"/>
        </w:rPr>
      </w:pPr>
    </w:p>
    <w:p>
      <w:pPr>
        <w:ind w:right="20" w:firstLine="685"/>
        <w:spacing w:after="0" w:line="285"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2012, the aggregate notional amount of interest rate swap agreements entered into for interest rate risk management purposes was $900 million.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854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98"/>
              </w:rPr>
              <w:t>MATURITY OF DOMESTIC CERTIFICATES OF DEPOSIT AND TIME DEPOSITS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1800" w:type="dxa"/>
            <w:vAlign w:val="bottom"/>
          </w:tcPr>
          <w:p>
            <w:pPr>
              <w:spacing w:after="0"/>
              <w:rPr>
                <w:sz w:val="19"/>
                <w:szCs w:val="19"/>
                <w:color w:val="auto"/>
              </w:rPr>
            </w:pPr>
          </w:p>
        </w:tc>
        <w:tc>
          <w:tcPr>
            <w:tcW w:w="854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95"/>
              </w:rPr>
              <w:t>WITH BALANCES OF $100,000 OR MORE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180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2012</w:t>
            </w:r>
          </w:p>
        </w:tc>
      </w:tr>
      <w:tr>
        <w:trPr>
          <w:trHeight w:val="142"/>
        </w:trPr>
        <w:tc>
          <w:tcPr>
            <w:tcW w:w="180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Under 3 months</w:t>
            </w:r>
          </w:p>
        </w:tc>
        <w:tc>
          <w:tcPr>
            <w:tcW w:w="8540" w:type="dxa"/>
            <w:vAlign w:val="bottom"/>
            <w:gridSpan w:val="2"/>
            <w:shd w:val="clear" w:color="auto" w:fill="CCEEFF"/>
          </w:tcPr>
          <w:p>
            <w:pPr>
              <w:ind w:left="8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312,801</w:t>
            </w:r>
          </w:p>
        </w:tc>
        <w:tc>
          <w:tcPr>
            <w:tcW w:w="100" w:type="dxa"/>
            <w:vAlign w:val="bottom"/>
            <w:shd w:val="clear" w:color="auto" w:fill="CCEEFF"/>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3 to 6 months</w:t>
            </w:r>
          </w:p>
        </w:tc>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183,149</w:t>
            </w:r>
          </w:p>
        </w:tc>
        <w:tc>
          <w:tcPr>
            <w:tcW w:w="100" w:type="dxa"/>
            <w:vAlign w:val="bottom"/>
          </w:tcPr>
          <w:p>
            <w:pPr>
              <w:spacing w:after="0"/>
              <w:rPr>
                <w:sz w:val="18"/>
                <w:szCs w:val="18"/>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6 to 12 months</w:t>
            </w:r>
          </w:p>
        </w:tc>
        <w:tc>
          <w:tcPr>
            <w:tcW w:w="8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292,644</w:t>
            </w:r>
          </w:p>
        </w:tc>
        <w:tc>
          <w:tcPr>
            <w:tcW w:w="100" w:type="dxa"/>
            <w:vAlign w:val="bottom"/>
            <w:shd w:val="clear" w:color="auto" w:fill="CCEEFF"/>
          </w:tcPr>
          <w:p>
            <w:pPr>
              <w:spacing w:after="0"/>
              <w:rPr>
                <w:sz w:val="18"/>
                <w:szCs w:val="18"/>
                <w:color w:val="auto"/>
              </w:rPr>
            </w:pP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Over 12 months</w:t>
            </w:r>
          </w:p>
        </w:tc>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241,334</w:t>
            </w:r>
          </w:p>
        </w:tc>
        <w:tc>
          <w:tcPr>
            <w:tcW w:w="100" w:type="dxa"/>
            <w:vAlign w:val="bottom"/>
          </w:tcPr>
          <w:p>
            <w:pPr>
              <w:spacing w:after="0"/>
              <w:rPr>
                <w:sz w:val="19"/>
                <w:szCs w:val="19"/>
                <w:color w:val="auto"/>
              </w:rPr>
            </w:pPr>
          </w:p>
        </w:tc>
      </w:tr>
      <w:tr>
        <w:trPr>
          <w:trHeight w:val="216"/>
        </w:trPr>
        <w:tc>
          <w:tcPr>
            <w:tcW w:w="1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540" w:type="dxa"/>
            <w:vAlign w:val="bottom"/>
            <w:gridSpan w:val="2"/>
            <w:shd w:val="clear" w:color="auto" w:fill="CCEEFF"/>
          </w:tcPr>
          <w:p>
            <w:pPr>
              <w:ind w:left="8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1,029,928</w:t>
            </w:r>
          </w:p>
        </w:tc>
        <w:tc>
          <w:tcPr>
            <w:tcW w:w="100" w:type="dxa"/>
            <w:vAlign w:val="bottom"/>
            <w:shd w:val="clear" w:color="auto" w:fill="CCEEFF"/>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685"/>
        <w:spacing w:after="0" w:line="332" w:lineRule="auto"/>
        <w:rPr>
          <w:sz w:val="20"/>
          <w:szCs w:val="20"/>
          <w:color w:val="auto"/>
        </w:rPr>
      </w:pPr>
      <w:r>
        <w:rPr>
          <w:rFonts w:ascii="Arial" w:cs="Arial" w:eastAsia="Arial" w:hAnsi="Arial"/>
          <w:sz w:val="16"/>
          <w:szCs w:val="16"/>
          <w:color w:val="auto"/>
        </w:rPr>
        <w:t>Table 21 displays as of December 31, 2012 and 2011 the estimated impact on net interest income from non-trading financial instruments in the base scenario described above resulting from parallel changes in interest rates across repricing categories during the first modeling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SENSITIVITY OF NET INTEREST INCOME TO CHANGES IN INTEREST RATES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Calculated Increase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(Decrease) in Projected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Net Interest Income</w:t>
            </w:r>
          </w:p>
        </w:tc>
        <w:tc>
          <w:tcPr>
            <w:tcW w:w="0" w:type="dxa"/>
            <w:vAlign w:val="bottom"/>
          </w:tcPr>
          <w:p>
            <w:pPr>
              <w:spacing w:after="0"/>
              <w:rPr>
                <w:sz w:val="1"/>
                <w:szCs w:val="1"/>
                <w:color w:val="auto"/>
              </w:rPr>
            </w:pPr>
          </w:p>
        </w:tc>
      </w:tr>
      <w:tr>
        <w:trPr>
          <w:trHeight w:val="161"/>
        </w:trPr>
        <w:tc>
          <w:tcPr>
            <w:tcW w:w="9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Changes in Interest Rates</w:t>
            </w: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December 31</w:t>
            </w:r>
          </w:p>
        </w:tc>
        <w:tc>
          <w:tcPr>
            <w:tcW w:w="0" w:type="dxa"/>
            <w:vAlign w:val="bottom"/>
          </w:tcPr>
          <w:p>
            <w:pPr>
              <w:spacing w:after="0"/>
              <w:rPr>
                <w:sz w:val="1"/>
                <w:szCs w:val="1"/>
                <w:color w:val="auto"/>
              </w:rPr>
            </w:pPr>
          </w:p>
        </w:tc>
      </w:tr>
      <w:tr>
        <w:trPr>
          <w:trHeight w:val="136"/>
        </w:trPr>
        <w:tc>
          <w:tcPr>
            <w:tcW w:w="9420" w:type="dxa"/>
            <w:vAlign w:val="bottom"/>
            <w:gridSpan w:val="2"/>
            <w:vMerge w:val="continue"/>
          </w:tcPr>
          <w:p>
            <w:pPr>
              <w:spacing w:after="0"/>
              <w:rPr>
                <w:sz w:val="11"/>
                <w:szCs w:val="11"/>
                <w:color w:val="auto"/>
              </w:rPr>
            </w:pPr>
          </w:p>
        </w:tc>
        <w:tc>
          <w:tcPr>
            <w:tcW w:w="980" w:type="dxa"/>
            <w:vAlign w:val="bottom"/>
            <w:tcBorders>
              <w:top w:val="single" w:sz="8" w:color="auto"/>
            </w:tcBorders>
          </w:tcPr>
          <w:p>
            <w:pPr>
              <w:jc w:val="right"/>
              <w:ind w:right="424"/>
              <w:spacing w:after="0" w:line="129"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7940" w:type="dxa"/>
            <w:vAlign w:val="bottom"/>
          </w:tcPr>
          <w:p>
            <w:pPr>
              <w:spacing w:after="0"/>
              <w:rPr>
                <w:sz w:val="12"/>
                <w:szCs w:val="12"/>
                <w:color w:val="auto"/>
              </w:rPr>
            </w:pPr>
          </w:p>
        </w:tc>
        <w:tc>
          <w:tcPr>
            <w:tcW w:w="19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+ 200 basis points</w:t>
            </w:r>
          </w:p>
        </w:tc>
        <w:tc>
          <w:tcPr>
            <w:tcW w:w="98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7"/>
              </w:rPr>
              <w:t>$210,030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$117,826</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+ 100 basis points</w:t>
            </w:r>
          </w:p>
        </w:tc>
        <w:tc>
          <w:tcPr>
            <w:tcW w:w="980" w:type="dxa"/>
            <w:vAlign w:val="bottom"/>
          </w:tcPr>
          <w:p>
            <w:pPr>
              <w:jc w:val="right"/>
              <w:ind w:right="224"/>
              <w:spacing w:after="0"/>
              <w:rPr>
                <w:sz w:val="20"/>
                <w:szCs w:val="20"/>
                <w:color w:val="auto"/>
              </w:rPr>
            </w:pPr>
            <w:r>
              <w:rPr>
                <w:rFonts w:ascii="Arial" w:cs="Arial" w:eastAsia="Arial" w:hAnsi="Arial"/>
                <w:sz w:val="18"/>
                <w:szCs w:val="18"/>
                <w:color w:val="auto"/>
              </w:rPr>
              <w:t>117,198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64,103</w:t>
            </w: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100 basis points</w:t>
            </w:r>
          </w:p>
        </w:tc>
        <w:tc>
          <w:tcPr>
            <w:tcW w:w="98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(69,687)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(62,055)</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 200 basis points</w:t>
            </w:r>
          </w:p>
        </w:tc>
        <w:tc>
          <w:tcPr>
            <w:tcW w:w="980" w:type="dxa"/>
            <w:vAlign w:val="bottom"/>
          </w:tcPr>
          <w:p>
            <w:pPr>
              <w:jc w:val="right"/>
              <w:ind w:right="164"/>
              <w:spacing w:after="0"/>
              <w:rPr>
                <w:sz w:val="20"/>
                <w:szCs w:val="20"/>
                <w:color w:val="auto"/>
              </w:rPr>
            </w:pPr>
            <w:r>
              <w:rPr>
                <w:rFonts w:ascii="Arial" w:cs="Arial" w:eastAsia="Arial" w:hAnsi="Arial"/>
                <w:sz w:val="18"/>
                <w:szCs w:val="18"/>
                <w:color w:val="auto"/>
              </w:rPr>
              <w:t>(90,333)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(83,369)</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80" w:firstLine="685"/>
        <w:spacing w:after="0" w:line="301" w:lineRule="auto"/>
        <w:rPr>
          <w:sz w:val="20"/>
          <w:szCs w:val="20"/>
          <w:color w:val="auto"/>
        </w:rPr>
      </w:pPr>
      <w:r>
        <w:rPr>
          <w:rFonts w:ascii="Arial" w:cs="Arial" w:eastAsia="Arial" w:hAnsi="Arial"/>
          <w:sz w:val="15"/>
          <w:szCs w:val="15"/>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change in interest rate sensitivity to rising interest rates at December 31, 2012 as compared with December 31, 2011 reflects a higher percentage of funding coming from core deposits, including noninterest-bearing deposits, a greater mix of variable rate commercial loans, and updated projected deposit pricing assumptions. Partially offsetting those changes was the growth in fixed rate residential real estate loans.</w:t>
      </w:r>
    </w:p>
    <w:p>
      <w:pPr>
        <w:spacing w:after="0" w:line="4" w:lineRule="exact"/>
        <w:rPr>
          <w:sz w:val="20"/>
          <w:szCs w:val="20"/>
          <w:color w:val="auto"/>
        </w:rPr>
      </w:pPr>
    </w:p>
    <w:p>
      <w:pPr>
        <w:ind w:right="100" w:firstLine="685"/>
        <w:spacing w:after="0" w:line="252" w:lineRule="auto"/>
        <w:rPr>
          <w:sz w:val="20"/>
          <w:szCs w:val="20"/>
          <w:color w:val="auto"/>
        </w:rPr>
      </w:pPr>
      <w:r>
        <w:rPr>
          <w:rFonts w:ascii="Arial" w:cs="Arial" w:eastAsia="Arial" w:hAnsi="Arial"/>
          <w:sz w:val="18"/>
          <w:szCs w:val="18"/>
          <w:color w:val="auto"/>
        </w:rPr>
        <w:t>Table 22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REPRICING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Four to</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6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Twelve</w:t>
            </w:r>
          </w:p>
        </w:tc>
        <w:tc>
          <w:tcPr>
            <w:tcW w:w="300" w:type="dxa"/>
            <w:vAlign w:val="bottom"/>
          </w:tcPr>
          <w:p>
            <w:pPr>
              <w:spacing w:after="0"/>
              <w:rPr>
                <w:sz w:val="12"/>
                <w:szCs w:val="12"/>
                <w:color w:val="auto"/>
              </w:rPr>
            </w:pP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One to</w:t>
            </w: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6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or Less</w:t>
            </w:r>
          </w:p>
        </w:tc>
        <w:tc>
          <w:tcPr>
            <w:tcW w:w="220" w:type="dxa"/>
            <w:vAlign w:val="bottom"/>
          </w:tcPr>
          <w:p>
            <w:pPr>
              <w:spacing w:after="0"/>
              <w:rPr>
                <w:sz w:val="13"/>
                <w:szCs w:val="13"/>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Months</w:t>
            </w:r>
          </w:p>
        </w:tc>
        <w:tc>
          <w:tcPr>
            <w:tcW w:w="300" w:type="dxa"/>
            <w:vAlign w:val="bottom"/>
          </w:tcPr>
          <w:p>
            <w:pPr>
              <w:spacing w:after="0"/>
              <w:rPr>
                <w:sz w:val="13"/>
                <w:szCs w:val="13"/>
                <w:color w:val="auto"/>
              </w:rPr>
            </w:pPr>
          </w:p>
        </w:tc>
        <w:tc>
          <w:tcPr>
            <w:tcW w:w="148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8"/>
              </w:rPr>
              <w:t>Five Years</w:t>
            </w:r>
          </w:p>
        </w:tc>
        <w:tc>
          <w:tcPr>
            <w:tcW w:w="128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Five Years</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(Dollars in thousands)</w:t>
            </w: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$37,537,333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$4,997,380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$12,184,498</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$ 11,851,746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$66,570,957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1,329,877</w:t>
            </w:r>
          </w:p>
        </w:tc>
        <w:tc>
          <w:tcPr>
            <w:tcW w:w="4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70,369</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188,949</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4,485,166</w:t>
            </w:r>
          </w:p>
        </w:tc>
        <w:tc>
          <w:tcPr>
            <w:tcW w:w="3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6,074,361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earning assets</w:t>
            </w:r>
          </w:p>
        </w:tc>
        <w:tc>
          <w:tcPr>
            <w:tcW w:w="6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212,523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i w:val="1"/>
                <w:iCs w:val="1"/>
                <w:color w:val="auto"/>
              </w:rPr>
              <w:t>Total earning assets</w:t>
            </w:r>
          </w:p>
        </w:tc>
        <w:tc>
          <w:tcPr>
            <w:tcW w:w="6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39,079,733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5,068,349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12,373,547</w:t>
            </w:r>
          </w:p>
        </w:tc>
        <w:tc>
          <w:tcPr>
            <w:tcW w:w="5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16,336,912</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72,858,541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 accounts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1,979,619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1,979,619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33,783,947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33,783,947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1,261,129</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2,319,586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968,711</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4,562,366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Deposits at Cayman Islands office</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1,044,519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1,044,519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Total interest-bearing deposits</w:t>
            </w:r>
          </w:p>
        </w:tc>
        <w:tc>
          <w:tcPr>
            <w:tcW w:w="6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38,069,214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2,319,586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968,711</w:t>
            </w:r>
          </w:p>
        </w:tc>
        <w:tc>
          <w:tcPr>
            <w:tcW w:w="5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41,370,451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1,074,482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1,074,482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6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648,989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255,865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1,833,935</w:t>
            </w:r>
          </w:p>
        </w:tc>
        <w:tc>
          <w:tcPr>
            <w:tcW w:w="5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1,868,969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i w:val="1"/>
                <w:iCs w:val="1"/>
                <w:color w:val="auto"/>
              </w:rPr>
              <w:t>Total interest-bearing liabilities</w:t>
            </w:r>
          </w:p>
        </w:tc>
        <w:tc>
          <w:tcPr>
            <w:tcW w:w="6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39,792,685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2,575,451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2,802,646</w:t>
            </w:r>
          </w:p>
        </w:tc>
        <w:tc>
          <w:tcPr>
            <w:tcW w:w="5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1,881,909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47,052,691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Arial" w:cs="Arial" w:eastAsia="Arial" w:hAnsi="Arial"/>
                <w:sz w:val="18"/>
                <w:szCs w:val="18"/>
                <w:color w:val="auto"/>
              </w:rPr>
              <w:t>Periodic gap</w:t>
            </w: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gridSpan w:val="3"/>
            <w:vMerge w:val="continue"/>
          </w:tcPr>
          <w:p>
            <w:pPr>
              <w:spacing w:after="0"/>
              <w:rPr>
                <w:sz w:val="19"/>
                <w:szCs w:val="19"/>
                <w:color w:val="auto"/>
              </w:rPr>
            </w:pPr>
          </w:p>
        </w:tc>
        <w:tc>
          <w:tcPr>
            <w:tcW w:w="2000" w:type="dxa"/>
            <w:vAlign w:val="bottom"/>
            <w:gridSpan w:val="3"/>
          </w:tcPr>
          <w:p>
            <w:pPr>
              <w:jc w:val="right"/>
              <w:ind w:right="380"/>
              <w:spacing w:after="0"/>
              <w:rPr>
                <w:sz w:val="20"/>
                <w:szCs w:val="20"/>
                <w:color w:val="auto"/>
              </w:rPr>
            </w:pPr>
            <w:r>
              <w:rPr>
                <w:rFonts w:ascii="Arial" w:cs="Arial" w:eastAsia="Arial" w:hAnsi="Arial"/>
                <w:sz w:val="18"/>
                <w:szCs w:val="18"/>
                <w:color w:val="auto"/>
              </w:rPr>
              <w:t>$ (1,612,952)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$2,492,898</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$10,470,901</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$14,455,003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gap</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(1,612,952)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879,946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11,350,847</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25,805,850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Cumulative gap as a % of total earning assets</w:t>
            </w:r>
          </w:p>
        </w:tc>
        <w:tc>
          <w:tcPr>
            <w:tcW w:w="200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60" w:firstLine="685"/>
        <w:spacing w:after="0" w:line="253"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20 of Notes to Financial Statements.</w:t>
      </w:r>
    </w:p>
    <w:p>
      <w:pPr>
        <w:ind w:firstLine="685"/>
        <w:spacing w:after="0" w:line="281"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investments in U.S. Treasury and other government securities,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is presented in note 18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6" w:lineRule="exact"/>
        <w:rPr>
          <w:sz w:val="20"/>
          <w:szCs w:val="20"/>
          <w:color w:val="auto"/>
        </w:rPr>
      </w:pPr>
    </w:p>
    <w:p>
      <w:pPr>
        <w:ind w:right="20" w:firstLine="685"/>
        <w:spacing w:after="0" w:line="252" w:lineRule="auto"/>
        <w:rPr>
          <w:sz w:val="20"/>
          <w:szCs w:val="20"/>
          <w:color w:val="auto"/>
        </w:rPr>
      </w:pPr>
      <w:r>
        <w:rPr>
          <w:rFonts w:ascii="Arial" w:cs="Arial" w:eastAsia="Arial" w:hAnsi="Arial"/>
          <w:sz w:val="18"/>
          <w:szCs w:val="18"/>
          <w:color w:val="auto"/>
        </w:rPr>
        <w:t>The notional amounts of interest rate contracts entered into for trading purposes aggregated $15.5 billion at December 31, 2012 and $13.9 billion at December 31, 2011. The notional amounts of foreign currency and other option and futures contracts entered into for trading purposes totaled $869 million and $1.4 billion at December 31, 2012 and 2011, respectively. Although the notional amounts of these trading contracts are not recorded in the consolidated balance sheet, the fair values of all financial instruments used for trading activities are recorded in the consolidated balance sheet. The fair values of trading account assets and liabilities were $489 million and $374 million, respectively, at December 31, 2012 and $562 million and $435 million, respectively, at December 31, 2011. Included in trading account assets at December 31, 2012 and 2011 were $36 million and $34 million, respectively, of assets related to deferred compensation plans.</w:t>
      </w:r>
    </w:p>
    <w:p>
      <w:pPr>
        <w:spacing w:after="0" w:line="131"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Changes in the fair value of such assets are recorded as “trading account and foreign exchange gains” in the consolidated statement of income. Included in “other liabilities” in the consolidated balance sheet at December 31, 2012 and 2011 were $30 million and $32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1" w:lineRule="exact"/>
        <w:rPr>
          <w:sz w:val="20"/>
          <w:szCs w:val="20"/>
          <w:color w:val="auto"/>
        </w:rPr>
      </w:pPr>
    </w:p>
    <w:p>
      <w:pPr>
        <w:ind w:right="220" w:firstLine="685"/>
        <w:spacing w:after="0" w:line="25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18 of Notes to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Shareholders’ equity was $10.2 billion at December 31, 2012 and represented 12.29% of total assets, compared with $9.3 billion or 11.90% at December 31, 2011 and $8.4 billion or 12.29% at December 31, 2010.</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Included in shareholders’ equity was preferred stock with financial statement carrying values of $873 million at December 31, 2012 and $865 million at December 31, 2011. As discussed earlier, the U.S. Treasury completed a public offering of its holding of M&amp;T Series A and Series C preferred stock in August 2012, resulting in M&amp;T’s exit from the TARP. At December 31, 2012 and 2011, preferred stock included $373 million and $365 million, respectively, for Series A and Series C Fixed Rate Cumulative Perpetual Preferred Stock. The redemption value of those series of stock was $381.5 million at each of December 31, 2012 and 2011. The Series A preferred stock and warrants to issue M&amp;T common stock were issued in 2008 for $600 million. During the second quarter of 2011, M&amp;T redeemed $370 million of the Series A preferred stock. The financial statement value of the outstanding Series A preferred stock was $227 million and</w:t>
      </w:r>
    </w:p>
    <w:p>
      <w:pPr>
        <w:spacing w:after="0" w:line="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$224 million at December 31, 2012 and 2011, respectively. The Series C preferred stock originally represented a $151.5 million issuance in 2008 to the U.S. Treasury by Provident that was converted into M&amp;T preferred stock and warrants to purchase M&amp;T common stock upon M&amp;T’s acquisition of Provident on May 23, 2009. The financial statement carrying value of the Series C preferred stock was $146 million and $140 million at December 31, 2012 and 2011, respectively. In conjunction with the U.S. Treasury’s public offering of its holding of M&amp;T Series A and Series C preferred stock, M&amp;T modified certain of the terms of the Series A and Series C Preferred Stock, with such modifications being subject to M&amp;T common shareholder approval. The modifications related to the dividend rate on the preferred shares at the reset dates, which was originally set to change to 9% on November 15, 2013 for the Series C preferred shares and on February 15, 2014 for the Series A preferred shares. In each case, the dividend rate will now change to 6.375% on November 15, 2013 rather than to the 9% in the original terms. The other modification related to M&amp;T agreeing to not redeem the Series A and Series C preferred shares until on or after November 15, 2018, except that if an event occurs such that the shares no longer qualify as Tier 1 capital, M&amp;T may redeem all of the shares within 90 days following that occurrence. On May 31, 2011, M&amp;T issued 50,000 shares of Series D Perpetual 6.875% Non-Cumulative Preferred Stock, par value $1.00 per share and liquidation preference of $10,000 per share. Holders of Series D preferred stock are entitled to receive, only when, as and if declared by the Board of Directors, non-cumulative cash dividends at an annual rate of 6.875%, payable semi-annually in arrears. The Series D preferred stock is redeemable on or after June 15, 2016 in whole or in part at par plus any declared but unpaid dividends. Notwithstanding the redemption provisions noted and subject to regulatory approval, M&amp;T may redeem all of the outstanding shares of Series D preferred stock if a regulatory capital treatment event takes place whereby the full liquidation value of the shares no longer qualifies as Tier 1 capital. In accordance with their terms, on April 1, 2011, the 26,500 shares of Series B preferred stock converted into 433,144 shares of M&amp;T common stock. The Series B preferred stock had paid quarterly dividends at a rate of 10% per annum. Further information concerning M&amp;T’s preferred stock can be found in note 10 of Notes to Financial Statements.</w:t>
      </w:r>
    </w:p>
    <w:p>
      <w:pPr>
        <w:spacing w:after="0" w:line="11" w:lineRule="exact"/>
        <w:rPr>
          <w:sz w:val="20"/>
          <w:szCs w:val="20"/>
          <w:color w:val="auto"/>
        </w:rPr>
      </w:pPr>
    </w:p>
    <w:p>
      <w:pPr>
        <w:ind w:right="240" w:firstLine="685"/>
        <w:spacing w:after="0" w:line="255" w:lineRule="auto"/>
        <w:rPr>
          <w:sz w:val="20"/>
          <w:szCs w:val="20"/>
          <w:color w:val="auto"/>
        </w:rPr>
      </w:pPr>
      <w:r>
        <w:rPr>
          <w:rFonts w:ascii="Arial" w:cs="Arial" w:eastAsia="Arial" w:hAnsi="Arial"/>
          <w:sz w:val="18"/>
          <w:szCs w:val="18"/>
          <w:color w:val="auto"/>
        </w:rPr>
        <w:t>Common shareholders’ equity was $9.3 billion, or $72.73 per share, at December 31, 2012, compared with $8.4 billion, or $66.82 per share, at December 31, 2011 and $7.6 billion, or $63.54 per share, at December 31, 2010. Tangible equity per common share, which excludes goodwill and core deposit and other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intangible assets and applicable deferred tax balances, was $44.61 at December 31, 2012, compared with $37.79 and $33.26 at December 31, 2011 and 2010, respectively. The Company’s ratio of tangible common equity to tangible assets was 7.20% at December 31, 2012, compared with 6.40% and 6.19% at December 31, 2011 and December 31, 2010, respectively. Reconciliations of total common shareholders’ equity and tangible common equity and total assets and tangible assets as of December 31, 2012, 2011 and 2010 are presented in table 2. During 2012, 2011 and 2010, the ratio of average total shareholders’ equity to average total assets was 12.13%, 12.17% and 11.85%, respectively. The ratio of average common shareholders’ equity to average total assets was 11.04%, 11.09% and 10.77% in 2012, 2011 and 2010, respectively.</w:t>
      </w:r>
    </w:p>
    <w:p>
      <w:pPr>
        <w:spacing w:after="0" w:line="1"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available-for-sale investment securities, net of applicable tax effect, were $37 million, or $.29 per common share, at December 31, 2012, compared with net unrealized losses of $78 million, or $.62 per common share, at December 31, 2011, and $85 million, or $.71 per common share, at December 31, 2010. Such unrealized gains and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Information about unrealized gains and losses as of December 31, 2012 and 2011 is included in note 3 of Notes to Financial Statements.</w:t>
      </w:r>
    </w:p>
    <w:p>
      <w:pPr>
        <w:spacing w:after="0" w:line="6"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Reflected in net unrealized gains at December 31, 2012 were pre tax-effect unrealized losses of $157 million on available-for-sale investment securities with an amortized cost of $1.2 billion and pre-tax effect unrealized gains of $254 million on securities with an amortized cost of $3.5 billion. The pre-tax effect unrealized losses reflect $126 million of losses on privately issued residential mortgage-backed securities with an amortized cost of $1.0 billion and an estimated fair value of $895 million (considered Level 3 valuations) and $27 million of losses on trust preferred securities issued by financial institutions having an amortized cost of $123 million and an estimated fair value of $96 million (generally considered Level 2 valuations).</w:t>
      </w:r>
    </w:p>
    <w:p>
      <w:pPr>
        <w:spacing w:after="0" w:line="3"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table 23. Information in the table is as of December 31, 2012. As with any accounting estimate or other data, changes in fair values and investment ratings may occur at any time.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PRIVATELY ISSUED MORTGAGE-BACKED SECURITIES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Arial" w:cs="Arial" w:eastAsia="Arial" w:hAnsi="Arial"/>
                <w:sz w:val="14"/>
                <w:szCs w:val="14"/>
                <w:b w:val="1"/>
                <w:bCs w:val="1"/>
                <w:color w:val="auto"/>
              </w:rPr>
              <w:t>As a Percentage of Fair</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Current Payment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Value</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Credit</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4"/>
              </w:rPr>
              <w:t>Status (c)</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0" w:type="dxa"/>
            <w:vAlign w:val="bottom"/>
            <w:gridSpan w:val="2"/>
          </w:tcPr>
          <w:p>
            <w:pPr>
              <w:jc w:val="center"/>
              <w:ind w:right="572"/>
              <w:spacing w:after="0" w:line="129" w:lineRule="exact"/>
              <w:rPr>
                <w:sz w:val="20"/>
                <w:szCs w:val="20"/>
                <w:color w:val="auto"/>
              </w:rPr>
            </w:pPr>
            <w:r>
              <w:rPr>
                <w:rFonts w:ascii="Arial" w:cs="Arial" w:eastAsia="Arial" w:hAnsi="Arial"/>
                <w:sz w:val="14"/>
                <w:szCs w:val="14"/>
                <w:b w:val="1"/>
                <w:bCs w:val="1"/>
                <w:color w:val="auto"/>
                <w:w w:val="82"/>
              </w:rPr>
              <w:t>Bonds</w:t>
            </w: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Bonds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Collateral Type</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Unrealized</w:t>
            </w: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Senior</w:t>
            </w: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Enhance-</w:t>
            </w:r>
          </w:p>
        </w:tc>
        <w:tc>
          <w:tcPr>
            <w:tcW w:w="1000" w:type="dxa"/>
            <w:vAlign w:val="bottom"/>
            <w:gridSpan w:val="2"/>
          </w:tcPr>
          <w:p>
            <w:pPr>
              <w:jc w:val="center"/>
              <w:ind w:right="552"/>
              <w:spacing w:after="0" w:line="149" w:lineRule="exact"/>
              <w:rPr>
                <w:sz w:val="20"/>
                <w:szCs w:val="20"/>
                <w:color w:val="auto"/>
              </w:rPr>
            </w:pPr>
            <w:r>
              <w:rPr>
                <w:rFonts w:ascii="Arial" w:cs="Arial" w:eastAsia="Arial" w:hAnsi="Arial"/>
                <w:sz w:val="14"/>
                <w:szCs w:val="14"/>
                <w:b w:val="1"/>
                <w:bCs w:val="1"/>
                <w:color w:val="auto"/>
                <w:w w:val="92"/>
              </w:rPr>
              <w:t>with</w:t>
            </w: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55"/>
        </w:trPr>
        <w:tc>
          <w:tcPr>
            <w:tcW w:w="35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3"/>
                <w:szCs w:val="13"/>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Gains (Losses)</w:t>
            </w:r>
          </w:p>
        </w:tc>
        <w:tc>
          <w:tcPr>
            <w:tcW w:w="10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Grade</w:t>
            </w:r>
          </w:p>
        </w:tc>
        <w:tc>
          <w:tcPr>
            <w:tcW w:w="9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8"/>
              </w:rPr>
              <w:t>Tranche</w:t>
            </w:r>
          </w:p>
        </w:tc>
        <w:tc>
          <w:tcPr>
            <w:tcW w:w="9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ment (b)</w:t>
            </w:r>
          </w:p>
        </w:tc>
        <w:tc>
          <w:tcPr>
            <w:tcW w:w="1000" w:type="dxa"/>
            <w:vAlign w:val="bottom"/>
            <w:gridSpan w:val="2"/>
          </w:tcPr>
          <w:p>
            <w:pPr>
              <w:jc w:val="center"/>
              <w:ind w:right="552"/>
              <w:spacing w:after="0" w:line="148" w:lineRule="exact"/>
              <w:rPr>
                <w:sz w:val="20"/>
                <w:szCs w:val="20"/>
                <w:color w:val="auto"/>
              </w:rPr>
            </w:pPr>
            <w:r>
              <w:rPr>
                <w:rFonts w:ascii="Arial" w:cs="Arial" w:eastAsia="Arial" w:hAnsi="Arial"/>
                <w:sz w:val="14"/>
                <w:szCs w:val="14"/>
                <w:b w:val="1"/>
                <w:bCs w:val="1"/>
                <w:color w:val="auto"/>
              </w:rPr>
              <w:t>OTTI</w:t>
            </w: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OTTI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spacing w:after="0" w:line="149"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gridSpan w:val="3"/>
          </w:tcPr>
          <w:p>
            <w:pPr>
              <w:spacing w:after="0" w:line="176" w:lineRule="exact"/>
              <w:rPr>
                <w:sz w:val="20"/>
                <w:szCs w:val="20"/>
                <w:color w:val="auto"/>
              </w:rPr>
            </w:pPr>
            <w:r>
              <w:rPr>
                <w:rFonts w:ascii="Arial" w:cs="Arial" w:eastAsia="Arial" w:hAnsi="Arial"/>
                <w:sz w:val="18"/>
                <w:szCs w:val="18"/>
                <w:color w:val="auto"/>
              </w:rPr>
              <w:t>Residential mortgage loans</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Prime — fixed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41,514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3,493</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Prime — hybrid ARMs.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971,752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873,775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(97,977)</w:t>
            </w:r>
          </w:p>
        </w:tc>
        <w:tc>
          <w:tcPr>
            <w:tcW w:w="640" w:type="dxa"/>
            <w:vAlign w:val="bottom"/>
          </w:tcPr>
          <w:p>
            <w:pPr>
              <w:ind w:left="460"/>
              <w:spacing w:after="0"/>
              <w:rPr>
                <w:sz w:val="20"/>
                <w:szCs w:val="20"/>
                <w:color w:val="auto"/>
              </w:rPr>
            </w:pPr>
            <w:r>
              <w:rPr>
                <w:rFonts w:ascii="Arial" w:cs="Arial" w:eastAsia="Arial" w:hAnsi="Arial"/>
                <w:sz w:val="18"/>
                <w:szCs w:val="18"/>
                <w:color w:val="auto"/>
                <w:w w:val="79"/>
              </w:rPr>
              <w:t>23</w:t>
            </w:r>
          </w:p>
        </w:tc>
        <w:tc>
          <w:tcPr>
            <w:tcW w:w="4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97</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21</w:t>
            </w:r>
          </w:p>
        </w:tc>
        <w:tc>
          <w:tcPr>
            <w:tcW w:w="6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Alt-A — hybrid ARMs.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(25,121)</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35</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10,887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(1,148)</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 (d)</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1,133,639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1,012,886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(120,753)</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3500" w:type="dxa"/>
            <w:vAlign w:val="bottom"/>
            <w:gridSpan w:val="4"/>
            <w:vMerge w:val="restart"/>
          </w:tcPr>
          <w:p>
            <w:pPr>
              <w:spacing w:after="0"/>
              <w:rPr>
                <w:sz w:val="20"/>
                <w:szCs w:val="20"/>
                <w:color w:val="auto"/>
              </w:rPr>
            </w:pPr>
            <w:r>
              <w:rPr>
                <w:rFonts w:ascii="Arial" w:cs="Arial" w:eastAsia="Arial" w:hAnsi="Arial"/>
                <w:sz w:val="18"/>
                <w:szCs w:val="18"/>
                <w:color w:val="auto"/>
              </w:rPr>
              <w:t>Commercial mortgage loans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100%</w:t>
            </w:r>
          </w:p>
        </w:tc>
        <w:tc>
          <w:tcPr>
            <w:tcW w:w="1000" w:type="dxa"/>
            <w:vAlign w:val="bottom"/>
            <w:gridSpan w:val="2"/>
            <w:vMerge w:val="restart"/>
          </w:tcPr>
          <w:p>
            <w:pPr>
              <w:ind w:left="200"/>
              <w:spacing w:after="0"/>
              <w:rPr>
                <w:sz w:val="20"/>
                <w:szCs w:val="20"/>
                <w:color w:val="auto"/>
              </w:rPr>
            </w:pPr>
            <w:r>
              <w:rPr>
                <w:rFonts w:ascii="Arial" w:cs="Arial" w:eastAsia="Arial" w:hAnsi="Arial"/>
                <w:sz w:val="18"/>
                <w:szCs w:val="18"/>
                <w:color w:val="auto"/>
              </w:rPr>
              <w:t>—%(d)</w:t>
            </w:r>
          </w:p>
        </w:tc>
        <w:tc>
          <w:tcPr>
            <w:tcW w:w="64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line="20" w:lineRule="exact"/>
              <w:rPr>
                <w:sz w:val="1"/>
                <w:szCs w:val="1"/>
                <w:color w:val="auto"/>
              </w:rPr>
            </w:pPr>
          </w:p>
        </w:tc>
      </w:tr>
      <w:tr>
        <w:trPr>
          <w:trHeight w:val="222"/>
        </w:trPr>
        <w:tc>
          <w:tcPr>
            <w:tcW w:w="350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2,352</w:t>
            </w:r>
          </w:p>
        </w:tc>
        <w:tc>
          <w:tcPr>
            <w:tcW w:w="10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Total investment securities available for sale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1,142,287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1,023,886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(118,401)</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21"/>
        </w:trPr>
        <w:tc>
          <w:tcPr>
            <w:tcW w:w="3500" w:type="dxa"/>
            <w:vAlign w:val="bottom"/>
            <w:gridSpan w:val="4"/>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Residential and commercial mortgage loans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(94,740)</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vMerge w:val="restart"/>
          </w:tcPr>
          <w:p>
            <w:pPr>
              <w:ind w:left="460"/>
              <w:spacing w:after="0"/>
              <w:rPr>
                <w:sz w:val="20"/>
                <w:szCs w:val="20"/>
                <w:color w:val="auto"/>
              </w:rPr>
            </w:pPr>
            <w:r>
              <w:rPr>
                <w:rFonts w:ascii="Arial" w:cs="Arial" w:eastAsia="Arial" w:hAnsi="Arial"/>
                <w:sz w:val="18"/>
                <w:szCs w:val="18"/>
                <w:color w:val="auto"/>
              </w:rPr>
              <w:t>25%</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96%</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w:t>
            </w:r>
          </w:p>
        </w:tc>
        <w:tc>
          <w:tcPr>
            <w:tcW w:w="1000" w:type="dxa"/>
            <w:vAlign w:val="bottom"/>
            <w:gridSpan w:val="2"/>
            <w:vMerge w:val="restart"/>
          </w:tcPr>
          <w:p>
            <w:pPr>
              <w:ind w:left="200"/>
              <w:spacing w:after="0"/>
              <w:rPr>
                <w:sz w:val="20"/>
                <w:szCs w:val="20"/>
                <w:color w:val="auto"/>
              </w:rPr>
            </w:pPr>
            <w:r>
              <w:rPr>
                <w:rFonts w:ascii="Arial" w:cs="Arial" w:eastAsia="Arial" w:hAnsi="Arial"/>
                <w:sz w:val="18"/>
                <w:szCs w:val="18"/>
                <w:color w:val="auto"/>
              </w:rPr>
              <w:t>22%</w:t>
            </w:r>
          </w:p>
        </w:tc>
        <w:tc>
          <w:tcPr>
            <w:tcW w:w="64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1,384,665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1,171,524</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(213,141)</w:t>
            </w:r>
          </w:p>
        </w:tc>
        <w:tc>
          <w:tcPr>
            <w:tcW w:w="10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December 31, 2012.</w:t>
      </w:r>
    </w:p>
    <w:p>
      <w:pPr>
        <w:spacing w:after="0" w:line="90" w:lineRule="exact"/>
        <w:rPr>
          <w:rFonts w:ascii="Arial" w:cs="Arial" w:eastAsia="Arial" w:hAnsi="Arial"/>
          <w:sz w:val="18"/>
          <w:szCs w:val="18"/>
          <w:i w:val="1"/>
          <w:iCs w:val="1"/>
          <w:color w:val="auto"/>
        </w:rPr>
      </w:pPr>
    </w:p>
    <w:p>
      <w:pPr>
        <w:ind w:left="460" w:right="280" w:hanging="452"/>
        <w:spacing w:after="0" w:line="259" w:lineRule="auto"/>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59" w:lineRule="exact"/>
        <w:rPr>
          <w:rFonts w:ascii="Arial" w:cs="Arial" w:eastAsia="Arial" w:hAnsi="Arial"/>
          <w:sz w:val="18"/>
          <w:szCs w:val="18"/>
          <w:i w:val="1"/>
          <w:iCs w:val="1"/>
          <w:color w:val="auto"/>
        </w:rPr>
      </w:pPr>
    </w:p>
    <w:p>
      <w:pPr>
        <w:ind w:left="460" w:right="40" w:hanging="452"/>
        <w:spacing w:after="0" w:line="268" w:lineRule="auto"/>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contractually required principal and interest payments expected at acquisition continue to be received.</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bonds in this category.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In estimating values for privately issued mortgage-backed securities, the Company was restricted in the level of market observable assumptions used in the valuation of such securities. Because of reduced trading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December 31, 2012 and 2011.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residential mortgage-backed securities with an amortized cost basis of $1.1 billion at December 31, 2012 and $1.3 billion at December 31, 2011. The Company’s internal modeling techniques included discounting estimated bond-specific cash flows using assumptions about cash flows associated with loans underlying each of the bonds. In estimating those cash flows, the Company used conservative assumptions as to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those bonds under current market conditions, the Company averaged the internal model valuations and the indications obtained from the two independent pricing sources resulting in a one-third weighting on the internal model valuation and a two-thirds weighting on valuations provided by the independent sources. Further information concerning the Company’s valuations of privately issued mortgage-backed securities can be found in note 20 of Notes to Financial Statements.</w:t>
      </w:r>
    </w:p>
    <w:p>
      <w:pPr>
        <w:spacing w:after="0" w:line="5"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During 2012 the Company recognized $48 million (pre-tax) of other-than-temporary impairment losses related to privately issued mortgage-backed securities.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2" w:lineRule="exact"/>
        <w:rPr>
          <w:sz w:val="20"/>
          <w:szCs w:val="20"/>
          <w:color w:val="auto"/>
        </w:rPr>
      </w:pPr>
    </w:p>
    <w:p>
      <w:pPr>
        <w:ind w:right="40" w:firstLine="685"/>
        <w:spacing w:after="0" w:line="300" w:lineRule="auto"/>
        <w:rPr>
          <w:sz w:val="20"/>
          <w:szCs w:val="20"/>
          <w:color w:val="auto"/>
        </w:rPr>
      </w:pPr>
      <w:r>
        <w:rPr>
          <w:rFonts w:ascii="Arial" w:cs="Arial" w:eastAsia="Arial" w:hAnsi="Arial"/>
          <w:sz w:val="15"/>
          <w:szCs w:val="15"/>
          <w:color w:val="auto"/>
        </w:rPr>
        <w:t>For privately issued residential mortgage-backed securities, the modeling for other-than-temporary impairment utilized assumptions about the expected underlying performance of the mortgage loan collateral considering recent collateral performance and future assumptions regarding default and loss severity. At December 31, 2012, projected model default percentages on the underlying mortgage loan collateral ranged from 2% to 27% and loss severities ranged from 21% to 78%. For bonds in which the Company has recognized an other-than-temporary impairment charge, the weighted-average percentage of default collateral was 18% and the weighted-average loss severity was 48%. For bonds without other-than-temporary impairment losses, the weighted-average default percentage and loss severity were 10% and 37%, respectively. Underlying mortgage loan collateral cash flows, after considering the impact of estimated credit losses, were distributed by the model to the various securities within the securitization structure to determine the timing and extent of losses at the bond-level, if any. Despite continuing high levels of delinquencies and losses in the underlying residential mortgage loan collateral, given credit enhancements resulting from the structures of individual bonds, the Company has concluded that as of December 31, 2012 its remaining privately issued mortgage-backed securities were not other-than-temporarily impaired. Nevertheless, given recent market conditions, it is possible that adverse changes in repayment performance and fair value could occur in 2013 and later years that could impact the Company’s conclusions. For example, a 20% increase in the estimated default rate assumption and a 20% increase in the severity rate assumption would have increased the other-than-temporary impairment charge recognized by the Company for the year ended December 31,</w:t>
      </w:r>
    </w:p>
    <w:p>
      <w:pPr>
        <w:spacing w:after="0" w:line="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2012 by $32 million. Information comparing the amortized cost and fair value of investment securities is included in note 3 of Notes to Financial Statements. The Company’s model as described above uses projected default and loss severity assumptions. Information on the current credit enhancement and current payment status of privately issued mortgage-backed securities at December 31, 2012 is included in table 23.</w:t>
      </w:r>
    </w:p>
    <w:p>
      <w:pPr>
        <w:spacing w:after="0" w:line="1" w:lineRule="exact"/>
        <w:rPr>
          <w:sz w:val="20"/>
          <w:szCs w:val="20"/>
          <w:color w:val="auto"/>
        </w:rPr>
      </w:pPr>
    </w:p>
    <w:p>
      <w:pPr>
        <w:ind w:right="20" w:firstLine="685"/>
        <w:spacing w:after="0" w:line="315" w:lineRule="auto"/>
        <w:rPr>
          <w:sz w:val="20"/>
          <w:szCs w:val="20"/>
          <w:color w:val="auto"/>
        </w:rPr>
      </w:pPr>
      <w:r>
        <w:rPr>
          <w:rFonts w:ascii="Arial" w:cs="Arial" w:eastAsia="Arial" w:hAnsi="Arial"/>
          <w:sz w:val="15"/>
          <w:szCs w:val="15"/>
          <w:color w:val="auto"/>
        </w:rPr>
        <w:t>Similar to its evaluation of available-for-sale privately issued mortgage-backed securities, the Company assesses impairment losses on privately issued CMOs in the held-to-maturity portfolio by performing internal modeling to estimate bond-specific cash flows, that reflect the placement of the bond in the overall securitization structure and the remaining subordination levels. As a result, the Company recognized $5 million of other-than-temporary impairment losses related to CMOs in the held-to-maturity portfolio during 2012. In total, at December 31, 2012 and 2011, the Company had in its held-to-maturity portfolio CMOs with an amortized cost basis of $242 million and $269 million (after impairment charges), respectively, and a fair value of $148 million and $170 million, respectively.</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685"/>
        <w:spacing w:after="0" w:line="283" w:lineRule="auto"/>
        <w:rPr>
          <w:sz w:val="20"/>
          <w:szCs w:val="20"/>
          <w:color w:val="auto"/>
        </w:rPr>
      </w:pPr>
      <w:r>
        <w:rPr>
          <w:rFonts w:ascii="Arial" w:cs="Arial" w:eastAsia="Arial" w:hAnsi="Arial"/>
          <w:sz w:val="16"/>
          <w:szCs w:val="16"/>
          <w:color w:val="auto"/>
        </w:rPr>
        <w:t>At December 31, 2012, the Company also had pre-tax unrealized losses of $28 million on $130 million of trust preferred securities issued by financial institutions, securities backed by trust preferred securities, and other debt securities (reflecting $1 million of unrealized losses on $7 million of securities using a Level 3 valuation). Pre-tax unrealized losses of $47 million existed on $201 million of such securities at December 31, 2011. After evaluating the expected repayment performance of those bonds, the Company did not recognize any other-than-temporary impairment losses related to those securities during 2012.</w:t>
      </w:r>
    </w:p>
    <w:p>
      <w:pPr>
        <w:spacing w:after="0" w:line="3" w:lineRule="exact"/>
        <w:rPr>
          <w:sz w:val="20"/>
          <w:szCs w:val="20"/>
          <w:color w:val="auto"/>
        </w:rPr>
      </w:pPr>
    </w:p>
    <w:p>
      <w:pPr>
        <w:ind w:right="260" w:firstLine="685"/>
        <w:spacing w:after="0" w:line="281" w:lineRule="auto"/>
        <w:rPr>
          <w:sz w:val="20"/>
          <w:szCs w:val="20"/>
          <w:color w:val="auto"/>
        </w:rPr>
      </w:pPr>
      <w:r>
        <w:rPr>
          <w:rFonts w:ascii="Arial" w:cs="Arial" w:eastAsia="Arial" w:hAnsi="Arial"/>
          <w:sz w:val="16"/>
          <w:szCs w:val="16"/>
          <w:color w:val="auto"/>
        </w:rPr>
        <w:t>During 2011 the Company recognized $77 million (pre-tax) of other-than-temporary losses related to privately issued mortgage-backed securities. During 2010 the Company recognized $86 million (pre-tax) of other-than-temporary losses, including $68 million related to privately issued mortgage-backed securities, $6 million related to securities backed largely by trust preferred securities issued by financial institutions and $12 million related to AIB ADSs.</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As of December 31, 2012,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continue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the Notes to Financial Statements.</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by $277 million, or $2.16 per common share, at December 31, 2012, $278 million, or $2.21 per common share,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and $121 million, or $1.01 per common share, at December 31, 2010. The increase in such adjustment at December 31, 2011 as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was predominantly the result of a 100 basis point reduction in the discount rate used to measure the benefit obligations of the defined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at December 31, 2011 as compared with a year earlier, in addition to actual investment returns in the qualified defined benefit pension plan that were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expected returns. During the third quarters of 2012 and 2011, the Company contributed $200 million and $70 million, respectively, to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qualified defined benefit pension plan. Information about the funded status of the Company’s pension and other postretirement benefit plans is included in note 12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Notes to Financial Statements.</w:t>
      </w:r>
    </w:p>
    <w:p>
      <w:pPr>
        <w:spacing w:after="0" w:line="9" w:lineRule="exact"/>
        <w:rPr>
          <w:sz w:val="20"/>
          <w:szCs w:val="20"/>
          <w:color w:val="auto"/>
        </w:rPr>
      </w:pPr>
    </w:p>
    <w:p>
      <w:pPr>
        <w:ind w:right="320" w:firstLine="685"/>
        <w:spacing w:after="0" w:line="250" w:lineRule="auto"/>
        <w:rPr>
          <w:sz w:val="20"/>
          <w:szCs w:val="20"/>
          <w:color w:val="auto"/>
        </w:rPr>
      </w:pPr>
      <w:r>
        <w:rPr>
          <w:rFonts w:ascii="Arial" w:cs="Arial" w:eastAsia="Arial" w:hAnsi="Arial"/>
          <w:sz w:val="18"/>
          <w:szCs w:val="18"/>
          <w:color w:val="auto"/>
        </w:rPr>
        <w:t>Cash dividends declared on M&amp;T’s common stock totaled $358 million in 2012, compared with $350 million and $336 million in 2011 and 2010, respectively. Dividends per common share totaled $2.80 in each of 2012, 2011 and 2010. Cash dividends of $53 million in 2012, $48 million in 2011 and $40 million in 2010 were declared and paid on preferred stock in accordance with the terms of each series.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repurchase any shares of its common stock in 2012, 2011 or 2010.</w:t>
      </w:r>
    </w:p>
    <w:p>
      <w:pPr>
        <w:spacing w:after="0" w:line="9"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At December 31, 2012, Tier 1 capital included $1.2 billion of trust preferred securities as described in note 9 of Notes to Financial Statements and total capital further included $1.5 billion of subordinated capital notes. Pursuant to the Dodd-Frank Act, trust preferred securities will be phased-out of the definition of Tier 1 capital of bank holding companies. The capital ratios of the Company and its banking subsidiaries as of December 31, 2012 and 2011 are presented in note 23 of Notes to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1"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Net income during the final quarter of 2012 rose 100% to $296 million from $148 million in the year-earlier quarter. Diluted and basic earnings per common share were $2.16 and $2.18, respectively, in the fourth quarter of 2012, up 108% and 110% from $1.04 of diluted and basic earnings per common share in the similar 2011 quarter. On an annualized basis, the rates of return on average assets and average common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380" w:hanging="684"/>
        <w:spacing w:after="0" w:line="305" w:lineRule="auto"/>
        <w:rPr>
          <w:sz w:val="20"/>
          <w:szCs w:val="20"/>
          <w:color w:val="auto"/>
        </w:rPr>
      </w:pPr>
      <w:r>
        <w:rPr>
          <w:rFonts w:ascii="Arial" w:cs="Arial" w:eastAsia="Arial" w:hAnsi="Arial"/>
          <w:sz w:val="15"/>
          <w:szCs w:val="15"/>
          <w:color w:val="auto"/>
        </w:rPr>
        <w:t>shareholders’ equity for the recent quarter were 1.45% and 12.10%, respectively, compared with .75% and 6.12%, respectively, in the fourth quarter of 2011. Net operating income totaled $305 million in the recently completed quarter, compared with $168 million in the year-earlier quarter. Diluted net</w:t>
      </w:r>
    </w:p>
    <w:p>
      <w:pPr>
        <w:ind w:right="20"/>
        <w:spacing w:after="0" w:line="281" w:lineRule="auto"/>
        <w:rPr>
          <w:sz w:val="20"/>
          <w:szCs w:val="20"/>
          <w:color w:val="auto"/>
        </w:rPr>
      </w:pPr>
      <w:r>
        <w:rPr>
          <w:rFonts w:ascii="Arial" w:cs="Arial" w:eastAsia="Arial" w:hAnsi="Arial"/>
          <w:sz w:val="16"/>
          <w:szCs w:val="16"/>
          <w:color w:val="auto"/>
        </w:rPr>
        <w:t>operating earnings per common share were $2.23 and $1.20 in the fourth quarters of 2012 and 2011, respectively. The annualized net operating returns on average tangible assets and average tangible common equity in the fourth quarter of 2012 were 1.56% and 20.46%, respectively, compared with .89% and 12.36%, respectively, in the corresponding quarter of 2011. Core deposit and other intangible asset amortization, after tax effect, totaled $8 million and $10 million in the fourth quarters of 2012 and 2011 ($.07 and $.08 per diluted common share), respectively. The after-tax impact of merger-related expenses associated with the Wilmington Trust acquisition was $10 million ($16 million pre-tax) or $.08 of diluted earnings per common share in the fourth quarter of 2011. There were no merger-related expenses in the fourth quarter of 2012. Reconciliations of GAAP results with non-GAAP results for the quarterly periods of 2012 and 2011 are provided in table 25.</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Taxable-equivalent net interest income increased 8% to $674 million in the recent quarter from $625 million in the final quarter of 2011. That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reflects a $2.9 billion or 4% rise in average earning assets and a 14 basis point widening of the Company’s net interest margin. Average earning assets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2012 totaled $71.7 billion, up from $68.8 billion in the year-earlier quarter. That growth resulted from higher average loans and leases,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rose $5.9 billion or 10% to $65.0 billion in the recent quarter from $59.1 billion in the year-earlier quarter. That loan growth replaced lower yielding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interest-bearing deposits at banks whose average balances declined by $1.3 billion and $1.7 billion, respectively. Average commercial loan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balances were $17.0 billion in the recent quarter, up $1.6 billion or 10% from $15.4 billion in the fourth quarter of 2011. Commercial real estate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averaged $25.3 billion in the fourth quarter of 2012, up $1.2 billion from $24.1 billion in the similar quarter of 2011. The growth in commercial loans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real estate loans reflects higher loan demand by customers. Average residential real estate loans outstanding rose 48% or $3.6 billion to $11.1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recent quarter from $7.5 billion in the final quarter of 2011. Included in the residential real estate loan portfolio were loans held for sale, which averaged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$997 million and $233 million in the fourth quarters of 2012 and 2011, respectively. Contributing to the rise in average residential real estate loans was the impact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retaining for portfolio a large portion of loans originated since October 1, 2010. Consumer loans averaged $11.6 billion in the recent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down $500 million, or 4%, from $12.1 billion in the fourth 2011 quarter. Total loans increased $2.5 billion to $66.6 billion at December 31, 2012 from $64.1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at September 30, 2012. That growth was largely attributable to increases in commercial loans, commercial real estate loans and residential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loans. The yield on earning assets was 4.17% in each of the fourth quarters of 2012 and 2011. The rate paid on interest-bearing liabilities declined 15 basis points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.67% in the recently completed quarter from .82% in the corresponding 2011 quarter. The resulting net interest spread was 3.50% in the fourth quarter of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15 basis points from 3.35% in the year-earlier quarter. That improvement was largely due to the changed mix in earning assets described above and a $2.1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reduction in average long-term borrowings upon which the Company pays higher rates of interest than on deposits. As compared to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average interest-bearing and noninterest-bearing deposits increased by $1.1 billion and $3.2 billion, respectively, in the recent quarter. The contribution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interest-free funds to the Company’s net interest margin was .24% in the recent quarter, compared with .25% in the year-earlier quarter. As a result,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net interest margin widened to 3.74% in the fourth quarter of 2012 from 3.60% in the similar 2011 quarter.</w:t>
      </w:r>
    </w:p>
    <w:p>
      <w:pPr>
        <w:spacing w:after="0" w:line="9"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provision for credit losses was $49 million in the three-month period ended December 31, 2012, compared with $74 million in the year-earlier period. Net charge-offs of loans were $44 million in the final quarter of 2012, representing an annualized .27% of average loans and leases outstanding, compared with $74 million or .50% during the final quarter of 2011. Net charge-offs included: residential real estate loans of $10 million in the recently completed quarter, compared with $13 million in 2011’s final quarter; loans to builders and developers of residential real estate properties of $8 million, compared with $25 million in the fourth quarter of 2011; other commercial real estate loans of $1 million, compared with $2 million a year earlier; commercial loans of $3 million, compared with $11 million in 2011; and consumer loans of $22 million, compared with $23 million in the prior year’s fourth quarter.</w:t>
      </w:r>
    </w:p>
    <w:p>
      <w:pPr>
        <w:spacing w:after="0" w:line="4" w:lineRule="exact"/>
        <w:rPr>
          <w:sz w:val="20"/>
          <w:szCs w:val="20"/>
          <w:color w:val="auto"/>
        </w:rPr>
      </w:pPr>
    </w:p>
    <w:p>
      <w:pPr>
        <w:jc w:val="both"/>
        <w:ind w:right="240" w:firstLine="685"/>
        <w:spacing w:after="0" w:line="302" w:lineRule="auto"/>
        <w:rPr>
          <w:sz w:val="20"/>
          <w:szCs w:val="20"/>
          <w:color w:val="auto"/>
        </w:rPr>
      </w:pPr>
      <w:r>
        <w:rPr>
          <w:rFonts w:ascii="Arial" w:cs="Arial" w:eastAsia="Arial" w:hAnsi="Arial"/>
          <w:sz w:val="16"/>
          <w:szCs w:val="16"/>
          <w:color w:val="auto"/>
        </w:rPr>
        <w:t>Other income aggregated $453 million in the recent quarter, up 14% from $398 million in the year-earlier quarter. Net losses on investment securities (including other-than-temporary impairment charges) were $14 million during the fourth quarter of 2012, compared with $25 million in the final 2011 quarter. The losses were due to other-than-temporary impairment charges related to certain of the Company’s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privately issued mortgage-backed securities. Other income in the fourth quarter of 2011 included the $55 million litigation settlement related to the Company’s purchase of certain CDOs during 2007. Excluding net losses on investment securities and the CDO litigation settlement, other income was $468 million during 2012’s fourth quarter, up 27% from $368 million in the year-earlier quarter. That rise in other income was predominantly due to significantly higher residential mortgage banking revenues, which rose $72 million to $96 million in the recent quarter from $24 million in the year-earlier quarter. Also contributing to the improvement were higher service charges on deposit accounts.</w:t>
      </w:r>
    </w:p>
    <w:p>
      <w:pPr>
        <w:ind w:firstLine="685"/>
        <w:spacing w:after="0" w:line="287" w:lineRule="auto"/>
        <w:rPr>
          <w:sz w:val="20"/>
          <w:szCs w:val="20"/>
          <w:color w:val="auto"/>
        </w:rPr>
      </w:pPr>
      <w:r>
        <w:rPr>
          <w:rFonts w:ascii="Arial" w:cs="Arial" w:eastAsia="Arial" w:hAnsi="Arial"/>
          <w:sz w:val="16"/>
          <w:szCs w:val="16"/>
          <w:color w:val="auto"/>
        </w:rPr>
        <w:t>Other expense in the fourth quarter of 2012 aggregated $626 million, compared with $740 million in the year-earlier quarter. Included in such amounts are expenses considered to be “nonoperating” in nature consisting of amortization of core deposit and other intangible assets of $14 million and $17 million in the fourth quarters of 2012 and 2011, respectively, and merger-related expenses of $16 million in the three-month period ended December 31, 2011. There were no merger-related expenses in the fourth quarter of 2012. Exclusive of those nonoperating expenses, noninterest operating expenses were $612 million in the fourth quarter of 2012, compared with $706 million in the corresponding quarter of 2011. The higher operating expenses in the final quarter of 2011 reflect the previously noted $79 million impairment charge related to BLG and the $30 million charitable contribution. The Company’s efficiency ratio during the fourth quarter of 2012 and 2011 was 53.6% and 67.4%, respectively. Table 25 includes a reconciliation of other expense to noninterest operating expense and the calculation of the efficiency ratio for each of the quarters of 2012 and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3"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 to Financial Statements.</w:t>
      </w:r>
    </w:p>
    <w:p>
      <w:pPr>
        <w:spacing w:after="0" w:line="3"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The Business Banking segment provides a wide range of services to small businesses and professionals within markets served by the Company through the Company’s branch network, business banking centers and other delivery channels such as telephone banking, Internet banking and automated teller machines.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Net income for the Business Banking segment improved 20% to $147 million in 2012 from $123 million in 2011. That increase reflects a $23 million decline in the provision for credit losses, higher net interest income of $12 million and increased merchant discount and credit card revenues of $5 million. The higher net interest income reflects a $1.0 billion increase in average outstanding deposit balances (predominantly noninterest-bearing), offset, in part, by a 9 basis point narrowing of the net interest margin on deposits. Net income contributed by the Business Banking segment totaled $99 million in 2010. The 24% increase in net income in 2011 as compared with 2010 reflects a $29 million decline in the provision for credit losses and higher net interest income of $19 million that resulted from increases of $1.1 billion and $358 million in the average balances of deposits and loans, respectively, reflecting the impact of the May 2011 Wilmington Trust acquisition. The effect of those higher average balances was offset, in part, by a 39 basis point narrowing of the net interest margin on deposits.</w:t>
      </w:r>
    </w:p>
    <w:p>
      <w:pPr>
        <w:spacing w:after="0" w:line="5"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 earned $431 million in 2012,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up 17% from $369 million in 2011. The improved performance reflects a $98 million rise in net interest income, largely due to higher average loan and deposit balances of $2.3 billion and $1.2 billion, respectively, and a $14 million decline in the provision for credit losses. In 2010, net income for the Commercial Banking segment was $314 million. The 18% increase in net income in 2011 as compared with 2010 reflects a $73 million rise in net interest income largely due to higher average outstanding loan and deposit balances of $2.2 billion and $1.7 billion, respectively, (including the impact of the Wilmington Trust acquisition) partially offset by a 19 basis point narrowing of the net interest margin on deposit balances. Also contributing to the improvement were an $18 million decline in the provision for credit losses and higher credit-related fees of $15 million, including fees earned for providing loan syndication services. Partially offsetting those favorable factors were increased personnel costs of $8 million and higher FDIC assessments of $6 million.</w:t>
      </w:r>
    </w:p>
    <w:p>
      <w:pPr>
        <w:ind w:firstLine="685"/>
        <w:spacing w:after="0" w:line="281" w:lineRule="auto"/>
        <w:rPr>
          <w:sz w:val="20"/>
          <w:szCs w:val="20"/>
          <w:color w:val="auto"/>
        </w:rPr>
      </w:pPr>
      <w:r>
        <w:rPr>
          <w:rFonts w:ascii="Arial" w:cs="Arial" w:eastAsia="Arial" w:hAnsi="Arial"/>
          <w:sz w:val="16"/>
          <w:szCs w:val="16"/>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Net income for the Commercial Real Estate segment aggregated $309 million in 2012, up 29% from $240 million in 2011. Factors contributing to the higher net income include: a $64 million rise in net interest income resulting primarily from the growth of average loan and deposit balances of $1.4 billion and $486 million, respectively, and a 9 basis point widening of the net interest margin on loans; a $54 million reduction in the provision for credit losses; and a $22 million increase in mortgage banking revenues. Those favorable factors were offset, in part, by increased FDIC assessments, personnel costs and other operating expenses. Net income for the Commercial Real Estate segment in 2011 increased 18% from $203 million in 2010. That improvement reflects higher net interest income of $84 million, due to increases of $1.8 billion and $488 million of average outstanding loan and deposit balances, respectively, (including the impact of the Wilmington Trust acquisition) and a 22 basis point widening of the net interest margin on loans, as well as a $16 million decline in net foreclosed real estate-related expenses. Partially offsetting those favorable factors were higher FDIC assessments of $23 million, a $13 million increase in the provision for credit losses, and increased personnel costs of $8 million.</w:t>
      </w:r>
    </w:p>
    <w:p>
      <w:pPr>
        <w:spacing w:after="0" w:line="9"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The Discretionary Portfolio segment includes investment and trading securities, residential mortgage loans and other assets; short-term and long-term borrowed funds; brokered certificates of deposit and interest rate swap agreements related thereto; and Cayman Islands office deposits. This segment also provides foreign exchange services to customers. Included in the assets of the Discretionary Portfolio segment are most of the investment securities for which the Company has recognized other-than-temporary impairment charges in each of the last three years and the portfolio of Alt-A mortgage loans. The Discretionary Portfolio segment incurred net losses of $33 million in 2012 and $39 million in 2010, compared with net income of $59 million in 2011. The most significant contributor to the favorable performance in 2011 was the impact of $149 million of net realized gains on the sale of investment securities recorded in 2011, predominantly comprised of residential mortgage-backed securities guaranteed by Fannie Mae and Freddie Mac, CDOs and trust preferred securities. Also reflected in securities gains or losses were other-than-temporary impairment charges, predominantly related to privately issued CMOs, of $48 million in 2012, $77 million in 2011 and $74 million in 2010. Excluding securities gains and losses, this segment incurred a net loss of $5 million in 2012, compared with net income of $16 million in 2011 and $5 million in 2010. The unfavorable performance in 2012 as compared with 2011 reflects a $48 million rise in intersegment costs related to a higher proportion of residential real estate loans being retained for portfolio rather than being sold, offset, in part, by a $15 million decrease in the provision for credit losses. The favorable performance in 2011 as compared with 2010 can be attributed to a $40 million rise in net interest income, mainly due to a 39 basis point expansion of the net interest margin on investment securities, offset, in part, by a $12 million increase in intersegment costs related to a higher proportion of residential real estate loans being retained for portfolio in 2011 rather than being sold.</w:t>
      </w:r>
    </w:p>
    <w:p>
      <w:pPr>
        <w:spacing w:after="0" w:line="9"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The Residential Mortgage Banking segment originates and services residential mortgage loans and sells substantially all of those loans in the secondary market to investors or to the Discretionary Portfolio segment. This segment had also originated and serviced loans to developers of residential real estate properties, although that origination activity has been significantly curtailed. In addition to the geographic regions served by or contiguous with the Company’s branch network, the Company maintains mortgage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loan origination offices in several states throughout the western United States. The Company also periodically purchases the rights to service mortgage loans. Residential mortgage loans held for sale are included in this segment. The Residential Mortgage Banking segment recorded net income of $135 million in 2012, up significantly from $13 million in 2011. That improvement was primarily due to a $177 million increase in revenues from residential mortgage origination and sales activities (including intersegment revenues), due to higher origination volumes and wider margins on loans originated for sale, and a $25 million rise in revenues from servicing residential real estate loans. Also contributing to the increase in net income were a $19 million decline in the provision for credit losses and a $14 million rise in net interest income, the result of an increase in average loan balances of $445 million. Those positive factors were offset, in part, by an increase in personnel costs of $23 million. Net income for this segment totaled $11 million in 2010. The 18% improvement in 2011’s results as compared with 2010 was attributable to a $13 million decline in the provision for credit losses, partially offset by an $8 million decline in net interest income, the result of a $181 million decrease in average loan balances.</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 Columbia, West Virginia, and Delaware. The Retail Banking segment also offered certain deposit products on a nationwide basis through the delivery channels of Wilmington Trust, N.A. Credit services offered by this segment include consumer installment loans, automobile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The Retail Banking segment’s net income rose 10% to $221 million in 2012 from $200 million in 2011. Contributing to the current year’s favorable performance were a $52 million increase in net interest income, due largely to a $1.8 billion increase in average outstanding deposit balances and an 8 basis point widening of the net interest margin on deposits; a $6 million decrease in the provision for credit losses; and a $5 million rise in merchant discount and credit card revenues. Those favorable factors were offset, in part, by a $24 million decrease in fees earned for providing deposit account services and a $6 million increase in other operating expenses. Net income for this segment declined 11% in 2011 from $225 million in 2010. The most significant factors contributing to the decline were lower fees earned for providing deposit account services of $25 million (reflecting the previously described regulatory changes in 2010 and 2011 offset, in part, by fees of $13 million from deposits associated with the Wilmington Trust acquisition), higher personnel-related costs of $20 million (also reflecting the Wilmington Trust acquisition), and increased other noninterest expenses totaling $15 million (including higher credit card, merchant and transaction processing-related costs, each due, in part, to the Wilmington Trust acquisition), partially offset by net interest income related to the Wilmington Trust acquisition.</w:t>
      </w:r>
    </w:p>
    <w:p>
      <w:pPr>
        <w:spacing w:after="0" w:line="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the amortization of core deposit and other intangible assets resulting from the acquisitions of financial institutions, M&amp;T’s share of the operating losses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BLG, merger-related gains and expenses resulting from acquisitions and the net impact of the Company’s allocation methodologies for internal transfers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funding charges and credits associated with the earning assets and interest-bearing liabilities of the Company’s reportable segments and the provision for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The “All Other” category also includes the ICS and WAS activities obtained in the acquisition of Wilmington Trust on May 16, 2011 and the pre-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trust activities of the Company. Revenues for ICS, WAS and the trust activities not Wilmington Trust-related were $193 million, $153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 million, respectively, for the year ended December 31, 2012 and $119 million, $87 million and $116 million, respectively,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Individually and combined the net income of those activities did not exceed 10% of the Company’s net income. The various components of the “All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category resulted in net losses of $181 million, $145 million and $78 million in 2012, 2011 and 2010, respectively. The most significant contributors to the higher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net loss in 2012 as compared with 2011 were: higher personnel-related expenses and professional services costs of $84 million and $57 million, respectively (due,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part, to the full-year impact of the Wilmington Trust acquisition); the impact on 2011’s results of the $65 million non-taxable gain on the Wilmington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the $55 million of income from the CDO litigation settlement; and the impact from the Company’s allocation methodologies for internal transfers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funding charges and credits associated with the earning assets and interest-bearing liabilities of the Company’s reportable segments and the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losses. Partially offsetting those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factors were: increases in trust revenue of $139 million (reflecting the full-year impact of the acquisition of Wilmington Trust); the $79 million other-than-temporary impairment charge related to M&amp;T’s 20% investment in BLG and cash contributions made to The M&amp;T Charitable Foundation, each of which was recorded in 2011; and merger-related expenses of $10 million in 2012, compared with $84 million in 2011. In addition to the items recorded in 2011 noted above, contributing to the unfavorable performance in 2011 as compared with 2010 were: a $150 million rise in personnel costs ($148 million related to the Wilmington Trust acquisition); increased equipment and net occupancy expenses of $25 million (predominantly related to the Wilmington Trust acquisition); and the unfavorable impact from the Company’s allocation methodologies for internal transfers for funding charges and credits associated with the earning assets and interest-bearing liabilities of the Company’s reportable segments and the provision for credit losses. Those unfavorable factors were offset, in part, by higher trust revenues of $210 million (reflecting the Wilmington Trust acquisition), the previously mentioned $65 million non-taxable gain on the Wilmington Trust acquisition and the $55 million CDO litigation settlement received and recorded in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In October 2012, the Financial Accounting Standards Board (“FASB”) issued amended accounting guidance relating to subsequent accounting for an indemnification asset recognized at the acquisition date as a result of a government-assisted acquisition of a financial institution. The amendment clarifies the existing subsequent measurement guidance for indemnification assets recognized as a result of a government-assisted acquisition of a financial institution that includes a loss-sharing agreement. Specifically, when an entity recognizes an indemnification asset as a result of a government-assisted acquisition of a financial institution and subsequently a change in the cash flows expected to be collected on the indemnification asset occurs (as a result of a change in cash flows expected to be collected on the assets subject to indemnification), the entity should account for the change in the measurement of the indemnification asset on the same basis as the change in the assets subject to indemnification. Any amortization of changes in value would be limited to the lesser of the contractual term of the indemnification agreement and the remaining life of the indemnified assets. The guidance is effective for fiscal years, and interim periods within those years, beginning on or after December 15, 2012. The guidance should be applied prospectively to any new indemnification assets recognized after the date of adoption and to indemnification assets existing as of the date of adoption. The Company does not expect the guidance to have a material impact on its financial position or results of operations.</w:t>
      </w:r>
    </w:p>
    <w:p>
      <w:pPr>
        <w:spacing w:after="0" w:line="7"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In July 2012, the FASB issued amended accounting guidance relating to testing indefinite-lived intangible assets for impairment. The amendments are similar to the accounting guidance provided in September 2011 relating to the testing of goodwill for impairment. The amendments provide the option to first assess qualitative factors to determine whether the existence of events or circumstances leads to a determination that it is more likely than not that the indefinite-lived intangible asset is impaired. If, after assessing the totality of events and circumstances, an entity determines it is not more likely than not that the indefinite-lived intangible asset is impaired, then the entity is not required to take further action. However, if an entity concludes otherwise, then it is required to determine the fair value of the indefinite-lived intangible asset and perform the quantitative impairment test by comparing the fair value with the carrying amount. The optional guidance is effective for annual and interim impairment tests performed for fiscal years beginning after September 15, 2012, with early adoption permitted. The Company does not expect the guidance to have a material impact on its financial position or results of operations.</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In December 2011, the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is effective for annual reporting periods beginning on or after January 1, 2013, and interim periods within those annual periods. The new required disclosures should be applied retrospectively for all comparable periods presented. The Company intends to comply with the new disclosure guidance.</w:t>
      </w:r>
    </w:p>
    <w:p>
      <w:pPr>
        <w:spacing w:after="0" w:line="4"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In September 2011, the FASB issued amended accounting guidance relating to testing goodwill for impairment. The amendments provide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circumstances, an entity determines it is not more likely than not that the fair value of a reporting unit is less than its carrying amount, then performing the two-step impairment test is unnecessary. The optional guidance was able to be applied for annual and interim goodwill impairment tests performed for fiscal years beginning after December 15, 2011, with early adoption permitted. The Company did not recognize any impairment of goodwill in 2012 or 2011.</w:t>
      </w:r>
    </w:p>
    <w:p>
      <w:pPr>
        <w:spacing w:after="0" w:line="1"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The presentation guidance was effective for fiscal years, and interim periods within those years, beginning after December 15, 2011 and was to be applied retrospectively. The Company has complied with the new presentation guidance using separate but consecutive statements. In February 2013, the FASB again amended presentation guidance relating to comprehensive income to require disclosures of significant amounts reclassified out of accumulated other comprehensive income by component for reporting periods beginning after December 15, 2012. The Company intends to comply with the new disclosure requirements when they become effective in 2013.</w:t>
      </w:r>
    </w:p>
    <w:p>
      <w:pPr>
        <w:spacing w:after="0" w:line="7"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 May 2011, the FASB issued amended accounting and disclosure guidance relating to fair value measurements. The amendments were the result of the FASB and the International Accounting Standards Board developing common requirements for measuring fair value and for disclosing information about fair value measurements. The amendments change the wording used to describe several of the requirements for measuring fair value and for disclosing information about fair value measurements, but generally do not result in a change in the application of the existing guidance. The guidance was effective for interim and annual periods beginning after December 15, 2011 and was to be applied prospectively. The Company has complied with the amended accounting and disclosure guidance. The adoption of this guidance did not have a significant impact on any of the Company’s fair value measurements. The disclosures relating to fair value measurements can be found in note 20 of Notes to Financial Statements.</w:t>
      </w:r>
    </w:p>
    <w:p>
      <w:pPr>
        <w:spacing w:after="0" w:line="5" w:lineRule="exact"/>
        <w:rPr>
          <w:sz w:val="20"/>
          <w:szCs w:val="20"/>
          <w:color w:val="auto"/>
        </w:rPr>
      </w:pPr>
    </w:p>
    <w:p>
      <w:pPr>
        <w:ind w:right="40" w:firstLine="685"/>
        <w:spacing w:after="0" w:line="290" w:lineRule="auto"/>
        <w:rPr>
          <w:sz w:val="20"/>
          <w:szCs w:val="20"/>
          <w:color w:val="auto"/>
        </w:rPr>
      </w:pPr>
      <w:r>
        <w:rPr>
          <w:rFonts w:ascii="Arial" w:cs="Arial" w:eastAsia="Arial" w:hAnsi="Arial"/>
          <w:sz w:val="16"/>
          <w:szCs w:val="16"/>
          <w:color w:val="auto"/>
        </w:rPr>
        <w:t>In April 2011, the FASB issued amended accounting guidance relating to the assessment of effective control for repurchase agreements. The amendments remove from the assessment of effective control the criterion requiring the transferor to have the ability to repurchase or redeem the financial assets on substantially the agreed terms, even in the event of default by the transferee. The amendments also remove the collateral maintenance implementation guidance related to that criterion. The guidance was effective for the first interim or annual period beginning on or after December 15, 2011 and was to be applied prospectively to transactions or modifications of existing transactions that occur on or after the effective date. The adoption of this guidance did not have a significant effect on the Company’s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5" w:lineRule="exact"/>
        <w:rPr>
          <w:sz w:val="20"/>
          <w:szCs w:val="20"/>
          <w:color w:val="auto"/>
        </w:rPr>
      </w:pPr>
    </w:p>
    <w:p>
      <w:pPr>
        <w:ind w:right="260" w:firstLine="685"/>
        <w:spacing w:after="0" w:line="320" w:lineRule="auto"/>
        <w:rPr>
          <w:sz w:val="20"/>
          <w:szCs w:val="20"/>
          <w:color w:val="auto"/>
        </w:rPr>
      </w:pPr>
      <w:r>
        <w:rPr>
          <w:rFonts w:ascii="Arial" w:cs="Arial" w:eastAsia="Arial" w:hAnsi="Arial"/>
          <w:sz w:val="15"/>
          <w:szCs w:val="15"/>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5" w:lineRule="exact"/>
        <w:rPr>
          <w:sz w:val="20"/>
          <w:szCs w:val="20"/>
          <w:color w:val="auto"/>
        </w:rPr>
      </w:pPr>
    </w:p>
    <w:p>
      <w:pPr>
        <w:ind w:right="220" w:firstLine="685"/>
        <w:spacing w:after="0" w:line="254"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TRENDS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and dividends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2012 Quarters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2011 Quarters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Third</w:t>
            </w: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Third</w:t>
            </w: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Amounts in thousands, except per share</w:t>
            </w: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Interest income (taxable-equivalent basis)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751,860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751,385</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744,031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720,800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722,535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726,897</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694,721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673,810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77,931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82,129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89,403</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93,706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97,969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103,632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102,051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98,679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interest income</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673,929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669,256</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654,628</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627,094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624,566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623,265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592,670</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575,131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49,000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60,000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49,000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74,000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63,000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453,164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445,733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391,650</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376,723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398,454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368,382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501,656</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314,420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other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626,146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616,027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627,392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639,695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739,583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662,019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576,895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499,571</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451,947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452,962</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358,886</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315,122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209,437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271,628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454,431</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314,980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Applicable income taxes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149,247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152,966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118,861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101,954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55,162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81,974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125,605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102,380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6,507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6,534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6,645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6,468</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296,193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293,462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233,380</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206,463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147,740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183,108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322,358</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206,273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income available to common shareholders-diluted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276,605</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273,896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86"/>
              </w:rPr>
              <w:t>214,716</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188,241</w:t>
            </w:r>
          </w:p>
        </w:tc>
        <w:tc>
          <w:tcPr>
            <w:tcW w:w="24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129,804</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164,671</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297,179</w:t>
            </w: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6"/>
              </w:rPr>
              <w:t>190,121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common share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 earnings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earnings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126,918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125,819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125,488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125,220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124,615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124,575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122,181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119,201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127,800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126,292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125,897</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125,616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124,736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124,860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122,796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119,852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Performance ratios, annualized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10.12%</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14.94%</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Net interest margin on average earning assets (taxable-equivalent basis)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3.77%</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3.74%</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3.75%</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Nonaccrual loans to total 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Net operating (tangible) results(a)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304,657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302,060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247,433</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218,360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168,410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209,996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289,487</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216,360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Diluted net operating income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Annualized 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18.54%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24.24%</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Efficiency ratio(b)</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53.73%</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56.86%</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61.09%</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61.79%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55.56%</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balances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81,366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80,432</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80,087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78,026</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78,393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76,908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72,454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77,755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76,810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76,455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74,381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74,737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73,239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68,806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71,679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70,662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70,450</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68,388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68,771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67,215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63,382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7,271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6,394</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65,011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63,455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61,826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60,484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59,077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58,188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55,461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64,269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62,743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61,530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59,291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59,999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58,473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54,457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8,919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8,668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8,510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8,549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8,462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8,096</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5,036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4,448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At end of quarter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83,009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81,085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80,808</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79,187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77,924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77,864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77,727</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79,402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77,469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77,181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75,548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74,274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74,201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74,052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72,859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71,220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71,065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69,490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68,027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67,926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67,837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6,624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7,057</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6,492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66,571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64,112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62,851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60,922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60,096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58,401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58,541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65,611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64,007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62,549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60,913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59,395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59,482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59,229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shareholders’ equity, net of undeclared cumulative preferred dividends(c)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8,380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5,131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4,705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per common share</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69.15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66.71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equity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42.80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40.52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37.45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price per common share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105.33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95.98</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87.37</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80.02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90.76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76.92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83.31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Closing</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98.47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95.16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82.57</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86.88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76.34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69.90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87.95</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88.47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43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48" w:lineRule="exact"/>
        <w:rPr>
          <w:sz w:val="20"/>
          <w:szCs w:val="20"/>
          <w:color w:val="auto"/>
        </w:rPr>
      </w:pPr>
    </w:p>
    <w:p>
      <w:pPr>
        <w:ind w:left="340" w:right="100" w:hanging="332"/>
        <w:spacing w:after="0" w:line="230" w:lineRule="auto"/>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25.</w:t>
      </w:r>
    </w:p>
    <w:p>
      <w:pPr>
        <w:ind w:left="340" w:hanging="332"/>
        <w:spacing w:after="0" w:line="221" w:lineRule="auto"/>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impact of merger-related gains and expenses and net securities transactions.</w:t>
      </w:r>
    </w:p>
    <w:p>
      <w:pPr>
        <w:ind w:left="340" w:right="20" w:hanging="332"/>
        <w:spacing w:after="0" w:line="230" w:lineRule="auto"/>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25.</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QUARTERLY GAAP TO NON-GAAP MEASURES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2012 Quarters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2011 Quarters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Fourth</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Third</w:t>
            </w:r>
          </w:p>
        </w:tc>
        <w:tc>
          <w:tcPr>
            <w:tcW w:w="6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2"/>
              </w:rPr>
              <w:t>Second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Fourth</w:t>
            </w:r>
          </w:p>
        </w:tc>
        <w:tc>
          <w:tcPr>
            <w:tcW w:w="140" w:type="dxa"/>
            <w:vAlign w:val="bottom"/>
          </w:tcPr>
          <w:p>
            <w:pPr>
              <w:spacing w:after="0"/>
              <w:rPr>
                <w:sz w:val="12"/>
                <w:szCs w:val="12"/>
                <w:color w:val="auto"/>
              </w:rPr>
            </w:pPr>
          </w:p>
        </w:tc>
        <w:tc>
          <w:tcPr>
            <w:tcW w:w="7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Third</w:t>
            </w: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296,193</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293,462</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233,380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206,463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147,740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183,108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322,358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206,273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10,240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10,476</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8,974</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(64,930)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1,657</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10,194</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23,085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4"/>
                <w:szCs w:val="14"/>
                <w:color w:val="auto"/>
              </w:rPr>
              <w:t>Net operating income</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304,657</w:t>
            </w:r>
          </w:p>
        </w:tc>
        <w:tc>
          <w:tcPr>
            <w:tcW w:w="2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302,060</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247,433</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218,360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168,410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209,996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289,487</w:t>
            </w: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216,360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Earnings per common share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4"/>
                <w:szCs w:val="14"/>
                <w:color w:val="auto"/>
              </w:rPr>
              <w:t>Diluted net operating earnings per common share</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2.23</w:t>
            </w:r>
          </w:p>
        </w:tc>
        <w:tc>
          <w:tcPr>
            <w:tcW w:w="2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2.24</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1.82</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1.59</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1.53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2.16</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626,146</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616,027</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627,392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639,695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739,583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662,019</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576,895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499,571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(13,865)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(14,085)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(16,774)</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(17,162)</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(17,401)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(14,740)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(2,728)</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(16,393)</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(26,003)</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(36,996)</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601,942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604,334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620,193</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706,028</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525,159</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482,962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3,024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1,973</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534</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15,305</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1,475</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Other costs of operations</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740</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14,195</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24,876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21,348</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7,151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2,728</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16,393</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36,996</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601,942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604,334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620,193</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706,028</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525,159</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482,962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673,929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669,256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654,628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627,094</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624,566</w:t>
            </w:r>
          </w:p>
        </w:tc>
        <w:tc>
          <w:tcPr>
            <w:tcW w:w="14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623,265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592,670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6"/>
              </w:rPr>
              <w:t>575,131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453,164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445,733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391,650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376,723</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398,454</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368,382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501,656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314,420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Less: Gain (loss) on bank investment securities</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110,744</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OTTI losses recognized in earnings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(14,491)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(5,672)</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(11,486)</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(24,822)</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(9,642)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(26,530)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(16,041)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Merger-related gain</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64,930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1,141,584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1,120,289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1,062,859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1,015,258</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1,047,841</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1,001,200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945,182</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866,239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Efficiency ratio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53.63%</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53.73%</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56.86%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61.09%</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67.38%</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61.79%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55.56%</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55.75%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Average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81,366</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80,432</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80,087</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78,026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78,393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76,908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72,454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4"/>
                <w:szCs w:val="14"/>
                <w:color w:val="auto"/>
              </w:rPr>
              <w:t>Average tangible assets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77,755</w:t>
            </w:r>
          </w:p>
        </w:tc>
        <w:tc>
          <w:tcPr>
            <w:tcW w:w="2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76,810</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76,455</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74,381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74,737</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73,239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68,806</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Average total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10,105</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9,789</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9,536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9,413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9,324</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8,812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(866)</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(864)</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4"/>
                <w:szCs w:val="14"/>
                <w:color w:val="auto"/>
              </w:rPr>
              <w:t>Average common equity</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9,233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8,919</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8,668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8,510</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8,549</w:t>
            </w: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8,462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8,096</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4"/>
                <w:szCs w:val="14"/>
                <w:color w:val="auto"/>
              </w:rPr>
              <w:t>Average tangible common equity</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5,622</w:t>
            </w:r>
          </w:p>
        </w:tc>
        <w:tc>
          <w:tcPr>
            <w:tcW w:w="2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5,297</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5,036</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4,865</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4,893</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4,793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4,448</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At end of quarter</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81,085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80,808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79,187</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77,924</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77,727</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79,402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77,469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77,181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75,548</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74,274</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74,052</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64,263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9,630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9,429</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9,271</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9,244</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(873)</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(870)</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(867)</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(865)</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(863)</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(861)</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Undeclared dividends-cumulative preferred stock</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4"/>
                <w:szCs w:val="14"/>
                <w:color w:val="auto"/>
              </w:rPr>
              <w:t>Common equity, net of undeclared cumulative preferred dividends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9,327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9,071</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8,758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8,559</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8,403</w:t>
            </w: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8,509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8,380</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(3,525)</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(193)</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(210)</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Total tangible common equity</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0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5,720</w:t>
            </w:r>
          </w:p>
        </w:tc>
        <w:tc>
          <w:tcPr>
            <w:tcW w:w="2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5,455</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5,131</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4,920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4,753</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4,846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4,705</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i w:val="1"/>
          <w:iCs w:val="1"/>
          <w:color w:val="auto"/>
        </w:rPr>
        <w:t>(a)</w:t>
        <w:tab/>
        <w:t>After any related tax effect.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Incorporated by reference to the discussion contained in Part II, Item 7, “Management’s Discussion and Analysis of Financial Condition and Results of Operations,” under the captions “Liquidity, Market Risk, and Interest Rate Sensitivity” (including Table 21) and “Capital.”</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24 “Quarterly Trends” presented in Part II, Item 7, “Management’s Discussion and Analysis of Financial Condition and Results of Operations.”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0" w:type="dxa"/>
            <w:vAlign w:val="bottom"/>
            <w:gridSpan w:val="11"/>
          </w:tcPr>
          <w:p>
            <w:pPr>
              <w:spacing w:after="0"/>
              <w:rPr>
                <w:sz w:val="20"/>
                <w:szCs w:val="20"/>
                <w:color w:val="auto"/>
              </w:rPr>
            </w:pPr>
            <w:r>
              <w:rPr>
                <w:rFonts w:ascii="Arial" w:cs="Arial" w:eastAsia="Arial" w:hAnsi="Arial"/>
                <w:sz w:val="18"/>
                <w:szCs w:val="18"/>
                <w:b w:val="1"/>
                <w:bCs w:val="1"/>
                <w:color w:val="auto"/>
              </w:rPr>
              <w:t>Index to Financial Statements and Financial Statement Schedules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Borders>
              <w:top w:val="single" w:sz="8" w:color="auto"/>
              <w:bottom w:val="single" w:sz="8" w:color="0000EE"/>
            </w:tcBorders>
            <w:gridSpan w:val="2"/>
            <w:shd w:val="clear" w:color="auto" w:fill="CCEEFF"/>
          </w:tcPr>
          <w:p>
            <w:pPr>
              <w:spacing w:after="0" w:line="170"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Report on Internal Control Over Financial Reporting</w:t>
              </w:r>
            </w:hyperlink>
          </w:p>
        </w:tc>
        <w:tc>
          <w:tcPr>
            <w:tcW w:w="104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5840" w:type="dxa"/>
            <w:vAlign w:val="bottom"/>
            <w:tcBorders>
              <w:bottom w:val="single" w:sz="8" w:color="CCEEFF"/>
            </w:tcBorders>
            <w:gridSpan w:val="5"/>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80" w:type="dxa"/>
            <w:vAlign w:val="bottom"/>
            <w:gridSpan w:val="10"/>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Report of Independent Registered Public Accounting Firm</w:t>
              </w:r>
            </w:hyperlink>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 — December 31, 2012 and 2011</w:t>
            </w: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gridSpan w:val="10"/>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 of Income — Years ended December 31, 2012, 2011 and 2010</w:t>
              </w:r>
            </w:hyperlink>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Consolidated Statement of Comprehensive Income — Years ended December 31, 2012, 2011 and 2010</w:t>
              </w:r>
            </w:hyperlink>
          </w:p>
        </w:tc>
        <w:tc>
          <w:tcPr>
            <w:tcW w:w="334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80" w:type="dxa"/>
            <w:vAlign w:val="bottom"/>
            <w:gridSpan w:val="10"/>
          </w:tcPr>
          <w:p>
            <w:pPr>
              <w:spacing w:after="0" w:line="176" w:lineRule="exact"/>
              <w:rPr>
                <w:sz w:val="20"/>
                <w:szCs w:val="20"/>
                <w:color w:val="auto"/>
              </w:rPr>
            </w:pPr>
            <w:r>
              <w:rPr>
                <w:rFonts w:ascii="Arial" w:cs="Arial" w:eastAsia="Arial" w:hAnsi="Arial"/>
                <w:sz w:val="18"/>
                <w:szCs w:val="18"/>
                <w:color w:val="0000EE"/>
              </w:rPr>
              <w:t>Consolidated Statement of Cash Flows — Years ended December 31, 2012, 2011 and 2010</w:t>
            </w: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80" w:type="dxa"/>
            <w:vAlign w:val="bottom"/>
            <w:gridSpan w:val="10"/>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 of Changes in Shareholders’ Equity — Years ended December 31, 2012, 2011 and 2010</w:t>
              </w:r>
            </w:hyperlink>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tcBorders>
              <w:top w:val="single" w:sz="8" w:color="0000EE"/>
            </w:tcBorders>
            <w:gridSpan w:val="9"/>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2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gridSpan w:val="2"/>
          </w:tcPr>
          <w:p>
            <w:pPr>
              <w:jc w:val="right"/>
              <w:ind w:right="100"/>
              <w:spacing w:after="0" w:line="176" w:lineRule="exact"/>
              <w:rPr>
                <w:sz w:val="20"/>
                <w:szCs w:val="20"/>
                <w:color w:val="auto"/>
              </w:rPr>
            </w:pPr>
            <w:r>
              <w:rPr>
                <w:rFonts w:ascii="Arial" w:cs="Arial" w:eastAsia="Arial" w:hAnsi="Arial"/>
                <w:sz w:val="18"/>
                <w:szCs w:val="18"/>
                <w:color w:val="auto"/>
              </w:rPr>
              <w:t>108-176</w:t>
            </w:r>
          </w:p>
        </w:tc>
        <w:tc>
          <w:tcPr>
            <w:tcW w:w="0" w:type="dxa"/>
            <w:vAlign w:val="bottom"/>
          </w:tcPr>
          <w:p>
            <w:pPr>
              <w:spacing w:after="0"/>
              <w:rPr>
                <w:sz w:val="1"/>
                <w:szCs w:val="1"/>
                <w:color w:val="auto"/>
              </w:rPr>
            </w:pPr>
          </w:p>
        </w:tc>
      </w:tr>
      <w:tr>
        <w:trPr>
          <w:trHeight w:val="331"/>
        </w:trPr>
        <w:tc>
          <w:tcPr>
            <w:tcW w:w="210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100</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Internal Control Over Financial Reporting</w:t>
      </w:r>
    </w:p>
    <w:p>
      <w:pPr>
        <w:spacing w:after="0" w:line="2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2012 based on criteria described in “Internal Control — Integrated Framework” issued by the Committee of Sponsoring Organizations of the Treadway Commission. Based on that assessment, management concluded that the Company maintained effective internal control over financial reporting as of December 31, 2012.</w:t>
      </w:r>
    </w:p>
    <w:p>
      <w:pPr>
        <w:spacing w:after="0" w:line="3" w:lineRule="exact"/>
        <w:rPr>
          <w:sz w:val="20"/>
          <w:szCs w:val="20"/>
          <w:color w:val="auto"/>
        </w:rPr>
      </w:pPr>
    </w:p>
    <w:p>
      <w:pPr>
        <w:ind w:right="60" w:firstLine="685"/>
        <w:spacing w:after="0" w:line="302" w:lineRule="auto"/>
        <w:rPr>
          <w:sz w:val="20"/>
          <w:szCs w:val="20"/>
          <w:color w:val="auto"/>
        </w:rPr>
      </w:pPr>
      <w:r>
        <w:rPr>
          <w:rFonts w:ascii="Arial" w:cs="Arial" w:eastAsia="Arial" w:hAnsi="Arial"/>
          <w:sz w:val="16"/>
          <w:szCs w:val="16"/>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15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79375</wp:posOffset>
            </wp:positionV>
            <wp:extent cx="2452370" cy="394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523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G. W</w:t>
      </w:r>
      <w:r>
        <w:rPr>
          <w:rFonts w:ascii="Arial" w:cs="Arial" w:eastAsia="Arial" w:hAnsi="Arial"/>
          <w:sz w:val="14"/>
          <w:szCs w:val="14"/>
          <w:color w:val="auto"/>
        </w:rPr>
        <w:t>ILMERS</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144145</wp:posOffset>
            </wp:positionV>
            <wp:extent cx="1320800" cy="677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208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ENÉ</w:t>
      </w:r>
      <w:r>
        <w:rPr>
          <w:rFonts w:ascii="Arial" w:cs="Arial" w:eastAsia="Arial" w:hAnsi="Arial"/>
          <w:sz w:val="18"/>
          <w:szCs w:val="18"/>
          <w:color w:val="auto"/>
        </w:rPr>
        <w:t xml:space="preserve"> F. J</w:t>
      </w:r>
      <w:r>
        <w:rPr>
          <w:rFonts w:ascii="Arial" w:cs="Arial" w:eastAsia="Arial" w:hAnsi="Arial"/>
          <w:sz w:val="14"/>
          <w:szCs w:val="14"/>
          <w:color w:val="auto"/>
        </w:rPr>
        <w:t>ONES</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M&amp;T Bank Corporation</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M&amp;T Bank Corporation and its subsidiaries (the “Company”) at December 31, 2012 and 2011, and the results of its operations and its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The Company’s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058035"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80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1,983,615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1,449,547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Federal funds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488,966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561,834</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2"/>
              </w:rPr>
              <w:t>Investment securities (includes pledged securities that can be sold or repledged of $1,801,842 at December 31, 2012;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$1,826,011 at December 31, 2011)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 (cost: $4,643,070 at December 31, 2012; $6,312,423 at December 31, 2011)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4,739,437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6,228,560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Held to maturity (fair value: $976,883 at December 31, 2012; $1,012,562 at December 31, 2011)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1,032,276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1,077,708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(fair value: $302,648 at December 31, 2012; $366,886 at December 31, 2011)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Total investment securities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6,074,361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7,673,154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66,790,186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60,377,875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(219,229)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(281,870)</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66,570,957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60,096,005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(925,860)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(908,290)</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65,645,097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59,187,715</w:t>
            </w:r>
          </w:p>
        </w:tc>
        <w:tc>
          <w:tcPr>
            <w:tcW w:w="120" w:type="dxa"/>
            <w:vAlign w:val="bottom"/>
            <w:shd w:val="clear" w:color="auto" w:fill="CCEEFF"/>
          </w:tcPr>
          <w:p>
            <w:pPr>
              <w:spacing w:after="0"/>
              <w:rPr>
                <w:sz w:val="18"/>
                <w:szCs w:val="18"/>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594,652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581,435</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3,524,625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3,524,625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115,763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176,394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4,448,779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4,611,773</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83,008,803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77,924,287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24,240,802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20,017,883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1,979,619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1,912,226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Savings deposits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33,783,947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31,001,083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4,562,366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6,107,530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1,044,519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65,611,253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59,394,649</w:t>
            </w:r>
          </w:p>
        </w:tc>
        <w:tc>
          <w:tcPr>
            <w:tcW w:w="120" w:type="dxa"/>
            <w:vAlign w:val="bottom"/>
            <w:shd w:val="clear" w:color="auto" w:fill="CCEEFF"/>
          </w:tcPr>
          <w:p>
            <w:pPr>
              <w:spacing w:after="0"/>
              <w:rPr>
                <w:sz w:val="18"/>
                <w:szCs w:val="18"/>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1,074,482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732,059</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borrowings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1,512,717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1,790,121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4,607,758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6,686,226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72,806,210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68,653,078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2"/>
              </w:rPr>
              <w:t>Preferred stock, $1.00 par, 1,000,000 shares authorized; Issued and outstanding: Liquidation preference of $1,000 per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w w:val="91"/>
              </w:rPr>
              <w:t>share: 381,500 shares at December 31, 2012 and December 31, 2011; Liquidation preference of $10,000 per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50,000 shares at December 31, 2012 and December 31, 2011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872,500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864,585</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$.50 par, 250,000,000 shares authorized, 128,176,912 shares issued at December 31, 2012; 125,683,398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at December 31, 2011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64,088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62,842</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Common stock issuable, 57,409 shares at December 31, 2012; 68,220 shares at December 31, 2011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3,025,520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2,828,986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6,477,276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5,867,165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(356,441)</w:t>
            </w:r>
          </w:p>
        </w:tc>
      </w:tr>
      <w:tr>
        <w:trPr>
          <w:trHeight w:val="230"/>
        </w:trPr>
        <w:tc>
          <w:tcPr>
            <w:tcW w:w="20" w:type="dxa"/>
            <w:vAlign w:val="bottom"/>
          </w:tcPr>
          <w:p>
            <w:pPr>
              <w:spacing w:after="0"/>
              <w:rPr>
                <w:sz w:val="20"/>
                <w:szCs w:val="20"/>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10,202,593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9,271,209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83,008,803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77,924,287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2,704,156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2,522,567</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2,394,082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Fully taxable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227,116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256,057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Exempt from federal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2,941,685</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2,792,087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2,729,795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46,102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225,297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343,169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402,331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462,269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2,598,516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2,389,756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2,267,526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204,000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2,394,516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2,119,756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1,899,526</w:t>
            </w: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349,064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446,698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455,095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471,852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59,059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Gain on bank investment securities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150,187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(72,915)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(15,755)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29,666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OTTI losses recognized in earnings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(77,035)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(21,511)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(24,231)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374,287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1,667,270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1,582,912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1,314,540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1,203,993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257,551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41,929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40,917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60,631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FDIC assessments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101,110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733,499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821,797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2,509,260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2,478,068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1,914,837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1,552,526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1,224,600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523,028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365,121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356,628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1,029,498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736,161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953,390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953,429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781,765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42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8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$1,029,498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$ 859,479</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$736,161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gains on investment securities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114,825</w:t>
            </w: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6,687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134,904</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(281)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8"/>
                <w:szCs w:val="18"/>
                <w:color w:val="auto"/>
              </w:rPr>
              <w:t>Defined benefit plans liability adjustment</w:t>
            </w:r>
          </w:p>
        </w:tc>
        <w:tc>
          <w:tcPr>
            <w:tcW w:w="80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(156,824)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(151,221)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130,777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40"/>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1,145,675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$ 708,258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866,938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w w:val="89"/>
              </w:rPr>
              <w:t>1,029,498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859,479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736,161</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Provision for credit losses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204,000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270,000</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368,000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Depreciation and amortization of premises and equipment</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84,375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80,304</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67,677</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Amortization of capitalized servicing rights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59,555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55,859</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56,582</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60,631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61,617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58,103</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Provision for deferred income taxes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131,858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33,924</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51,068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Asset write-downs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63,790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170,632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101,106</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Net gain on sales of assets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(6,868)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(187,120)</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(10,426)</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in accrued interest receivable, payable</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(13,898)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(27,508)</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(9,942)</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Net change in other accrued income and expense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(200,704)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147,465</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144,705</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in loans originated for sale</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(924,839)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238,156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202,089</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Net change in trading account assets and liabilities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12,583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69,438</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(89,476)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499,981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1,772,246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1,675,647</w:t>
            </w:r>
          </w:p>
        </w:tc>
        <w:tc>
          <w:tcPr>
            <w:tcW w:w="0" w:type="dxa"/>
            <w:vAlign w:val="bottom"/>
          </w:tcPr>
          <w:p>
            <w:pPr>
              <w:spacing w:after="0"/>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9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sales of investment securities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Available for sale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49,528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3"/>
              </w:rPr>
              <w:t>1,909,829</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23,310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78,071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116,410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107,320</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Proceeds from maturities of investment securities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Available for sale</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89"/>
              </w:rPr>
              <w:t>1,585,260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1,307,567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1,539,591</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Held to maturity</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329,279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272,841</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248,087</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Purchases of investment securities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Available for sale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(28,161)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6"/>
              </w:rPr>
              <w:t>(3,491,759)</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(440,560)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Held to maturity</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(285,125)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(28,454)</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(1,003,796)</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(13,833)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(30,727)</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(7,647)</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decrease in agreements to resell securities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Net increase in loans and leases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w w:val="83"/>
              </w:rPr>
              <w:t>(5,672,747)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6"/>
              </w:rPr>
              <w:t>(2,233,600)</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(201,854)</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decrease in interest-bearing deposits at banks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25,015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2,552,527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32,113</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Other investments, net</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(18,224)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(29,306)</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(52,179)</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Capital expenditures, net</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(91,519)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(70,008)</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(70,458)</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Acquisitions, net of cash acquired</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Banks and bank holding companies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178,940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213,204</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Purchase of Wilmington Trust Corporation preferred stock</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(330,000)</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sales of real estate acquired in settlement of loans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102,208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208,546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89,206</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Other, net</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(120,610)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21,126</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(used) by investing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83"/>
              </w:rPr>
              <w:t>(4,060,858)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368,932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475,410</w:t>
            </w:r>
          </w:p>
        </w:tc>
        <w:tc>
          <w:tcPr>
            <w:tcW w:w="0" w:type="dxa"/>
            <w:vAlign w:val="bottom"/>
          </w:tcPr>
          <w:p>
            <w:pPr>
              <w:spacing w:after="0"/>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9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increase in deposits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89"/>
              </w:rPr>
              <w:t>6,230,391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742,653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1,879,491</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Net increase (decrease) in short-term borrowings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292,422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(313,050)</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6"/>
              </w:rPr>
              <w:t>(1,522,646)</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Payments on long-term borrowings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83"/>
              </w:rPr>
              <w:t>(2,080,167)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(1,809,984)</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(2,514,342)</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Dividends paid — common</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(357,717)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(350,129)</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(335,303)</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Dividends paid — preferred</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(53,450)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(48,203)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(40,225)</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Proceeds from issuance of preferred stock</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495,000</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Redemption of preferred stock</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(370,000)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Other, net</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63,616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31,177</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69,381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(used) by financing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89"/>
              </w:rPr>
              <w:t>4,095,095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(1,622,536)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(2,463,644)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534,218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518,642</w:t>
            </w:r>
          </w:p>
        </w:tc>
        <w:tc>
          <w:tcPr>
            <w:tcW w:w="6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(312,587)</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89"/>
              </w:rPr>
              <w:t>1,452,397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933,755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1,246,342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Cash and cash equivalents at end of year</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w w:val="89"/>
              </w:rPr>
              <w:t>1,986,615</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w w:val="93"/>
              </w:rPr>
              <w:t>1,452,397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933,755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Interest received during the year</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w w:val="89"/>
              </w:rPr>
              <w:t>2,931,409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3"/>
              </w:rPr>
              <w:t>2,807,071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2,765,101</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paid during the year</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371,887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440,810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490,767</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Income taxes paid during the year</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405,598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251,810</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287,740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Real estate acquired in settlement of loans</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48,932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81,588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199,285</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Acquisitions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Fair value of</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Assets acquired (noncash)</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2"/>
              </w:rPr>
              <w:t>10,666,102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342,443</w:t>
            </w:r>
          </w:p>
        </w:tc>
        <w:tc>
          <w:tcPr>
            <w:tcW w:w="0" w:type="dxa"/>
            <w:vAlign w:val="bottom"/>
          </w:tcPr>
          <w:p>
            <w:pPr>
              <w:spacing w:after="0"/>
              <w:rPr>
                <w:sz w:val="1"/>
                <w:szCs w:val="1"/>
                <w:color w:val="auto"/>
              </w:rPr>
            </w:pPr>
          </w:p>
        </w:tc>
      </w:tr>
      <w:tr>
        <w:trPr>
          <w:trHeight w:val="149"/>
        </w:trPr>
        <w:tc>
          <w:tcPr>
            <w:tcW w:w="6540" w:type="dxa"/>
            <w:vAlign w:val="bottom"/>
          </w:tcPr>
          <w:p>
            <w:pPr>
              <w:ind w:left="660"/>
              <w:spacing w:after="0" w:line="149" w:lineRule="exact"/>
              <w:rPr>
                <w:sz w:val="20"/>
                <w:szCs w:val="20"/>
                <w:color w:val="auto"/>
              </w:rPr>
            </w:pPr>
            <w:r>
              <w:rPr>
                <w:rFonts w:ascii="Arial" w:cs="Arial" w:eastAsia="Arial" w:hAnsi="Arial"/>
                <w:sz w:val="14"/>
                <w:szCs w:val="14"/>
                <w:color w:val="auto"/>
              </w:rPr>
              <w:t>Liabilities assumed</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2"/>
              </w:rPr>
              <w:t>10,044,555</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528,108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Common stock issued</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405,557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Increase (decrease) from consolidation of securitization trusts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Loans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423,865</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Investment securities — available for sale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(360,471)</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Long-term borrowings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65,419</w:t>
            </w:r>
          </w:p>
        </w:tc>
        <w:tc>
          <w:tcPr>
            <w:tcW w:w="0" w:type="dxa"/>
            <w:vAlign w:val="bottom"/>
          </w:tcPr>
          <w:p>
            <w:pPr>
              <w:spacing w:after="0"/>
              <w:rPr>
                <w:sz w:val="1"/>
                <w:szCs w:val="1"/>
                <w:color w:val="auto"/>
              </w:rPr>
            </w:pPr>
          </w:p>
        </w:tc>
      </w:tr>
      <w:tr>
        <w:trPr>
          <w:trHeight w:val="172"/>
        </w:trPr>
        <w:tc>
          <w:tcPr>
            <w:tcW w:w="6540" w:type="dxa"/>
            <w:vAlign w:val="bottom"/>
          </w:tcPr>
          <w:p>
            <w:pPr>
              <w:ind w:left="440"/>
              <w:spacing w:after="0"/>
              <w:rPr>
                <w:sz w:val="20"/>
                <w:szCs w:val="20"/>
                <w:color w:val="auto"/>
              </w:rPr>
            </w:pPr>
            <w:r>
              <w:rPr>
                <w:rFonts w:ascii="Arial" w:cs="Arial" w:eastAsia="Arial" w:hAnsi="Arial"/>
                <w:sz w:val="14"/>
                <w:szCs w:val="14"/>
                <w:color w:val="auto"/>
              </w:rPr>
              <w:t>Accrued interest and other</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Preferred</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Retained</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Treasury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Issuable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Earnings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Balance — January 1, 2010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$ 730,235</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60,198</w:t>
            </w: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4,342</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2,442,947</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5,076,884</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(335,997)</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(225,702)</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7,752,907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736,161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130,777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866,938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(40,225)</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10,422</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(10,422)</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Repayment of management stock ownership program receivable</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3,783</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5,491</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43,085</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(46,248)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95,574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Stock purchase plan</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(8,482)</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17,480</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(153)</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(305)</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2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1,791</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(335,502)</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December 31, 2010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$ 740,657</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2,398,615</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5,426,701</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(205,220)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(67,445)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8,357,695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859,479</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(151,221)</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708,258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Acquisition of Wilmington Trust Corporation – common stock issued</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2,348</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403,209</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405,557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Partial redemption of Series A preferred stock</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(370,000)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Conversion of Series B preferred stock into 433,144 shares of common stock</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(26,500)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21,754</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4,554</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D preferred stock</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(48,203)</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(20,428)</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12,196</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31,666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(4,300)</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30,106</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813</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1,863</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(350,196)</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December 31, 2011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$ 864,585</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62,842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2,828,986</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5,867,165</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(356,441)</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9,271,209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1,029,498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116,177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1,145,675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(53,450)</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7,915</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(7,915)</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47,937</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928</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135,017</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purchase plan</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10,042</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1,471</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(599)</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593</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1,474</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(357,862)</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(357,862)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4"/>
                <w:szCs w:val="14"/>
                <w:color w:val="auto"/>
              </w:rPr>
              <w:t>Balance — December 31, 2012</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86"/>
              </w:rPr>
              <w:t>$ 872,500</w:t>
            </w:r>
          </w:p>
        </w:tc>
        <w:tc>
          <w:tcPr>
            <w:tcW w:w="2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64,088</w:t>
            </w: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3,473</w:t>
            </w:r>
          </w:p>
        </w:tc>
        <w:tc>
          <w:tcPr>
            <w:tcW w:w="18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6"/>
              </w:rPr>
              <w:t>3,025,520</w:t>
            </w: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9"/>
              </w:rPr>
              <w:t>6,477,276</w:t>
            </w:r>
          </w:p>
        </w:tc>
        <w:tc>
          <w:tcPr>
            <w:tcW w:w="11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(240,264)</w:t>
            </w:r>
          </w:p>
        </w:tc>
        <w:tc>
          <w:tcPr>
            <w:tcW w:w="7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10,202,593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Significant accounting policies</w:t>
      </w:r>
    </w:p>
    <w:p>
      <w:pPr>
        <w:spacing w:after="0" w:line="2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Delaware, Virginia and the District of Columbia and on small and medium-size businesses based in those areas. Banking services are also provided in West Virginia and New Jersey, while certain subsidiaries also conduct activities in other areas.</w:t>
      </w:r>
    </w:p>
    <w:p>
      <w:pPr>
        <w:spacing w:after="0" w:line="3"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The accounting and reporting policies of M&amp;T and subsidiaries (“the Company”) conform to generally accepted accounting principles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5"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statement, cash and due from banks and federal funds sold are considered cash and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 and securities sold under agreements to repurchase</w:t>
      </w:r>
    </w:p>
    <w:p>
      <w:pPr>
        <w:spacing w:after="0" w:line="1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 Except for investment securities for which the Company has entered into a related fair value hedge, unrealized gains or losses on investment securities available for sale are reflected in accumulated other comprehensive income (loss), net of applicable income taxes.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securities are stated at cost and include stock of the Federal Reserve Bank of New York and the Federal Home Loan Bank (“FHLB”) of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9"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The cost basis of individual securities is written down through a charge to earnings when declines in value below amortized cost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w:t>
      </w:r>
    </w:p>
    <w:p>
      <w:pPr>
        <w:spacing w:after="0" w:line="3" w:lineRule="exact"/>
        <w:rPr>
          <w:sz w:val="20"/>
          <w:szCs w:val="20"/>
          <w:color w:val="auto"/>
        </w:rPr>
      </w:pPr>
    </w:p>
    <w:p>
      <w:pPr>
        <w:ind w:right="60" w:firstLine="8"/>
        <w:spacing w:after="0" w:line="312" w:lineRule="auto"/>
        <w:tabs>
          <w:tab w:leader="none" w:pos="23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The cost basis of individual equity securities is written down to estimated fair value through a charge to earnings when declines in value below cost are considered to be other than temporary. Realized gains and losses on the sales of investment securities are determined using the specific identification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accounting methods for loans depends on whether the loans were originated by the Company or were acquired in a business combination.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Originated loans and leases</w:t>
      </w:r>
    </w:p>
    <w:p>
      <w:pPr>
        <w:spacing w:after="0" w:line="1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 sources of repayment. A charge-off is recognized when, after such assessment, it becomes evident that the loan balance is not fully collectible. For loans secured by residential real estate, the excess of the loan balances over the net realizable value of the property collateralizing the loan is charged-off when the loan becomes 150 days delinquent. Consumer loans are generally charged-off when the 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11" w:lineRule="exact"/>
        <w:rPr>
          <w:sz w:val="20"/>
          <w:szCs w:val="20"/>
          <w:color w:val="auto"/>
        </w:rPr>
      </w:pPr>
    </w:p>
    <w:p>
      <w:pPr>
        <w:ind w:right="60" w:firstLine="685"/>
        <w:spacing w:after="0" w:line="288" w:lineRule="auto"/>
        <w:rPr>
          <w:sz w:val="20"/>
          <w:szCs w:val="20"/>
          <w:color w:val="auto"/>
        </w:rPr>
      </w:pPr>
      <w:r>
        <w:rPr>
          <w:rFonts w:ascii="Arial" w:cs="Arial" w:eastAsia="Arial" w:hAnsi="Arial"/>
          <w:sz w:val="16"/>
          <w:szCs w:val="16"/>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both well-secured and in the process of collection. Loans less than 90 days delinquent are deemed to have an insignificant delay in payment and</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are generally not considered impaired. Impairment of a loan is measured based on the present value of expected future cash flows discounted at the loan’s effective interest rate, the loan’s observable market price, or the 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spacing w:after="0" w:line="1" w:lineRule="exact"/>
        <w:rPr>
          <w:sz w:val="20"/>
          <w:szCs w:val="20"/>
          <w:color w:val="auto"/>
        </w:rPr>
      </w:pPr>
    </w:p>
    <w:p>
      <w:pPr>
        <w:ind w:right="400" w:firstLine="685"/>
        <w:spacing w:after="0" w:line="323" w:lineRule="auto"/>
        <w:rPr>
          <w:sz w:val="20"/>
          <w:szCs w:val="20"/>
          <w:color w:val="auto"/>
        </w:rPr>
      </w:pPr>
      <w:r>
        <w:rPr>
          <w:rFonts w:ascii="Arial" w:cs="Arial" w:eastAsia="Arial" w:hAnsi="Arial"/>
          <w:sz w:val="16"/>
          <w:szCs w:val="16"/>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and leases acquired in a business combination</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Loans acquired in a business combination subsequent to December 31, 2008 are recorded at fair value with no carry-over of an acquired entity’s previously established allowance for credit losses. The excess of cash flows expected at acquisition over the estimated fair value of acquired loans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related allowance for credit losses and then in recognition of additional interest income over the then-remaining lives of the loans.</w:t>
      </w:r>
    </w:p>
    <w:p>
      <w:pPr>
        <w:spacing w:after="0" w:line="3" w:lineRule="exact"/>
        <w:rPr>
          <w:sz w:val="20"/>
          <w:szCs w:val="20"/>
          <w:color w:val="auto"/>
        </w:rPr>
      </w:pPr>
    </w:p>
    <w:p>
      <w:pPr>
        <w:ind w:right="240" w:firstLine="685"/>
        <w:spacing w:after="0" w:line="261" w:lineRule="auto"/>
        <w:rPr>
          <w:sz w:val="20"/>
          <w:szCs w:val="20"/>
          <w:color w:val="auto"/>
        </w:rPr>
      </w:pPr>
      <w:r>
        <w:rPr>
          <w:rFonts w:ascii="Arial" w:cs="Arial" w:eastAsia="Arial" w:hAnsi="Arial"/>
          <w:sz w:val="18"/>
          <w:szCs w:val="18"/>
          <w:color w:val="auto"/>
        </w:rPr>
        <w:t>Purchased impaired loans represent specifically identified loans with evidence of credit deterioration for which it was probable at acquisition that the Company would be unable to collect all contractual principal and interest 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acquired loans are also considered in the establishment of the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included in “other assets” in the consolidated balance sheet. Upon acquisition of assets taken in satisfaction of a defaulted loan, the excess of the remaining loan balance over the asset’s estimated fair value less costs to sell is charged off against the allowance for credit losses. Subsequent declines in value of the assets are recognized as “other costs of operations” in the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Premises and equipment are stated at cost less accumulated depreciation. Depreciation expense is computed principally using the straight-line method over the estimated useful lives of the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5"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firstLine="685"/>
        <w:spacing w:after="0" w:line="252" w:lineRule="auto"/>
        <w:rPr>
          <w:sz w:val="20"/>
          <w:szCs w:val="20"/>
          <w:color w:val="auto"/>
        </w:rPr>
      </w:pPr>
      <w:r>
        <w:rPr>
          <w:rFonts w:ascii="Arial" w:cs="Arial" w:eastAsia="Arial" w:hAnsi="Arial"/>
          <w:sz w:val="18"/>
          <w:szCs w:val="18"/>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which the carrying value of the capitalized servicing rights for a stratum exceeds estimated fair value. Impairment is recognized through a valuation allowance.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securitizations of financial assets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Transfers of financial assets for which the Company has surrendered control of the financial assets are accounted for as sales. Interests in a sale of financial assets that continue to be held by the Company, including servicing rights, are measured at fair value.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3" w:lineRule="exact"/>
        <w:rPr>
          <w:sz w:val="20"/>
          <w:szCs w:val="20"/>
          <w:color w:val="auto"/>
        </w:rPr>
      </w:pPr>
    </w:p>
    <w:p>
      <w:pPr>
        <w:ind w:right="120" w:firstLine="685"/>
        <w:spacing w:after="0" w:line="254" w:lineRule="auto"/>
        <w:rPr>
          <w:sz w:val="20"/>
          <w:szCs w:val="20"/>
          <w:color w:val="auto"/>
        </w:rPr>
      </w:pPr>
      <w:r>
        <w:rPr>
          <w:rFonts w:ascii="Arial" w:cs="Arial" w:eastAsia="Arial" w:hAnsi="Arial"/>
          <w:sz w:val="18"/>
          <w:szCs w:val="18"/>
          <w:color w:val="auto"/>
        </w:rPr>
        <w:t>Securitization structures typically require the use of special-purpose trusts that are considered variable interest entities. A variable interest entity is included in the consolidated financial statements if the Company has the power to direct the activities that most significantly impact the variable interest entity’s economic performance and has the obligation to absorb losses or the right to receive benefits of the variable interest entity that could potentially be significant to that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and other intangible assets</w:t>
      </w:r>
    </w:p>
    <w:p>
      <w:pPr>
        <w:spacing w:after="0" w:line="15"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fair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6"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w:t>
      </w:r>
    </w:p>
    <w:p>
      <w:pPr>
        <w:spacing w:after="0" w:line="1" w:lineRule="exact"/>
        <w:rPr>
          <w:sz w:val="20"/>
          <w:szCs w:val="20"/>
          <w:color w:val="auto"/>
        </w:rPr>
      </w:pPr>
    </w:p>
    <w:p>
      <w:pPr>
        <w:jc w:val="both"/>
        <w:ind w:right="160" w:firstLine="685"/>
        <w:spacing w:after="0" w:line="302" w:lineRule="auto"/>
        <w:rPr>
          <w:sz w:val="20"/>
          <w:szCs w:val="20"/>
          <w:color w:val="auto"/>
        </w:rPr>
      </w:pPr>
      <w:r>
        <w:rPr>
          <w:rFonts w:ascii="Arial" w:cs="Arial" w:eastAsia="Arial" w:hAnsi="Arial"/>
          <w:sz w:val="16"/>
          <w:szCs w:val="16"/>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Stock-based compensation expense is recognized over the vesting period of the stock-based grant based on the estimated grant date value of the stock-based compensation that is expected to vest,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1" w:lineRule="exact"/>
        <w:rPr>
          <w:sz w:val="20"/>
          <w:szCs w:val="20"/>
          <w:color w:val="auto"/>
        </w:rPr>
      </w:pPr>
    </w:p>
    <w:p>
      <w:pPr>
        <w:ind w:right="100" w:firstLine="685"/>
        <w:spacing w:after="0" w:line="295" w:lineRule="auto"/>
        <w:rPr>
          <w:sz w:val="20"/>
          <w:szCs w:val="20"/>
          <w:color w:val="auto"/>
        </w:rPr>
      </w:pPr>
      <w:r>
        <w:rPr>
          <w:rFonts w:ascii="Arial" w:cs="Arial" w:eastAsia="Arial" w:hAnsi="Arial"/>
          <w:sz w:val="16"/>
          <w:szCs w:val="16"/>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5"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GAAP requires that unvested share-based payment awards that contain nonforfeitable rights to dividends or dividend equivalents (whether paid or unpaid) shall be considered participating 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Repurchases of shares of M&amp;T common stock are recorded at cost as a reduction of shareholders’ equity. Reissuances of shares of treasury stock are recorded at average cost.</w:t>
      </w:r>
    </w:p>
    <w:p>
      <w:pPr>
        <w:spacing w:after="0" w:line="21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Acquisitions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August 27, 2012, M&amp;T announced that it had entered into a definitive agreement with Hudson City Bancorp, Inc. (“Hudson City”), headquartered in Paramus, New Jersey, under which Hudson City will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December 31, 2012 total consideration to be paid was valued at approximately $4.2 billion.</w:t>
      </w:r>
    </w:p>
    <w:p>
      <w:pPr>
        <w:spacing w:after="0" w:line="3" w:lineRule="exact"/>
        <w:rPr>
          <w:sz w:val="20"/>
          <w:szCs w:val="20"/>
          <w:color w:val="auto"/>
        </w:rPr>
      </w:pPr>
    </w:p>
    <w:p>
      <w:pPr>
        <w:ind w:right="180" w:firstLine="685"/>
        <w:spacing w:after="0" w:line="295" w:lineRule="auto"/>
        <w:rPr>
          <w:sz w:val="20"/>
          <w:szCs w:val="20"/>
          <w:color w:val="auto"/>
        </w:rPr>
      </w:pPr>
      <w:r>
        <w:rPr>
          <w:rFonts w:ascii="Arial" w:cs="Arial" w:eastAsia="Arial" w:hAnsi="Arial"/>
          <w:sz w:val="16"/>
          <w:szCs w:val="16"/>
          <w:color w:val="auto"/>
        </w:rPr>
        <w:t>At December 31, 2012, Hudson City had $40.6 billion of assets, including $27.2 billion of loans and $11.5 billion of investment securities, and $35.9 billion of liabilities, including $23.5 billion of deposits. After the merger is completed, M&amp;T expects to repay approximately $12 billion of Hudson City’s long-term borrowings by liquidating its comparably-sized investment securities portfolio. The merger is subject to a number of conditions, including regulatory approvals and approval by common shareholders of M&amp;T and Hudson City, and is expected to be completed by mid-year 2013.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83"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(“TARP”) of the U.S. Department of Treasury (“U.S. Treasury”). In connection with the acquisition, the Company recorded $112 million of core deposit and other intangible assets. The core deposit and other intangible assets are generally being amortized over periods of 5 to 7 years using accelerated methods. There was no goodwill recorded as a result of the transaction, however,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the leading deposit market share in Delaware.</w:t>
      </w:r>
    </w:p>
    <w:p>
      <w:pPr>
        <w:spacing w:after="0" w:line="7" w:lineRule="exact"/>
        <w:rPr>
          <w:sz w:val="20"/>
          <w:szCs w:val="20"/>
          <w:color w:val="auto"/>
        </w:rPr>
      </w:pPr>
    </w:p>
    <w:p>
      <w:pPr>
        <w:ind w:right="700" w:firstLine="685"/>
        <w:spacing w:after="0" w:line="261" w:lineRule="auto"/>
        <w:rPr>
          <w:sz w:val="20"/>
          <w:szCs w:val="20"/>
          <w:color w:val="auto"/>
        </w:rPr>
      </w:pPr>
      <w:r>
        <w:rPr>
          <w:rFonts w:ascii="Arial" w:cs="Arial" w:eastAsia="Arial" w:hAnsi="Arial"/>
          <w:sz w:val="18"/>
          <w:szCs w:val="18"/>
          <w:color w:val="auto"/>
        </w:rPr>
        <w:t>The consideration paid for Wilmington Trust’s common equity and the amounts of acquired identifiable assets and liabilities assumed as of the acquisition date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 thousands)</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Value of:</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issued (4,694,486 shares)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Preferred stock purchased from U.S. Treasury</w:t>
            </w:r>
          </w:p>
        </w:tc>
        <w:tc>
          <w:tcPr>
            <w:tcW w:w="3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purchase price</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735,557</w:t>
            </w:r>
          </w:p>
        </w:tc>
        <w:tc>
          <w:tcPr>
            <w:tcW w:w="100" w:type="dxa"/>
            <w:vAlign w:val="bottom"/>
            <w:shd w:val="clear" w:color="auto" w:fill="CCEEFF"/>
          </w:tcPr>
          <w:p>
            <w:pPr>
              <w:spacing w:after="0"/>
              <w:rPr>
                <w:sz w:val="18"/>
                <w:szCs w:val="18"/>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due from banks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Interest-bearing deposits at banks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2,606,265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investments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6,410,430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Core deposit and other intangibles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Total identifiable assets</w:t>
            </w:r>
          </w:p>
        </w:tc>
        <w:tc>
          <w:tcPr>
            <w:tcW w:w="3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10,845,042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8,864,161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Long-term borrowings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600,830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3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10,044,555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gain resulting from acquisition</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The following table discloses the impact of Wilmington Trust (excluding the impact of the merger-related gain and expenses) since the acquisition on May 16, 2011 through the end of 2011. The table also presents certain pro forma information as if Wilmington Trust had been acquired on January 1, 2010.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 In particular, no adjustments have been made to eliminate the amount of Wilmington Trust’s provision for credit losses of $42 million in 2011 and $700 million in 2010 or the impact of other-than-temporary impairment losses recognized by Wilmington Trust of $5 million in 2011 and $38 million in 2010 that may not have been necessary had the acquired loans and investment securities been recorded at fair value as of the beginning of 2010. Furthermore, expenses related to systems conversions and other costs of integration of $84 million and the $65 million gain recorded in connection with the acquisition are included in the 2011 periods in which such costs were incurred and gain recognized. Additionally, the Company has achieved further operating cost savings and other business synergies as a result of the acquisition which are not reflected in the pro forma amounts that follow.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60" w:type="dxa"/>
            <w:vAlign w:val="bottom"/>
          </w:tcPr>
          <w:p>
            <w:pPr>
              <w:jc w:val="center"/>
              <w:ind w:right="332"/>
              <w:spacing w:after="0"/>
              <w:rPr>
                <w:sz w:val="20"/>
                <w:szCs w:val="20"/>
                <w:color w:val="auto"/>
              </w:rPr>
            </w:pPr>
            <w:r>
              <w:rPr>
                <w:rFonts w:ascii="Arial" w:cs="Arial" w:eastAsia="Arial" w:hAnsi="Arial"/>
                <w:sz w:val="14"/>
                <w:szCs w:val="14"/>
                <w:b w:val="1"/>
                <w:bCs w:val="1"/>
                <w:color w:val="auto"/>
                <w:w w:val="85"/>
              </w:rPr>
              <w:t>Actual Since</w:t>
            </w:r>
          </w:p>
        </w:tc>
        <w:tc>
          <w:tcPr>
            <w:tcW w:w="1940" w:type="dxa"/>
            <w:vAlign w:val="bottom"/>
            <w:vMerge w:val="restart"/>
          </w:tcPr>
          <w:p>
            <w:pPr>
              <w:jc w:val="center"/>
              <w:ind w:left="1107"/>
              <w:spacing w:after="0"/>
              <w:rPr>
                <w:sz w:val="20"/>
                <w:szCs w:val="20"/>
                <w:color w:val="auto"/>
              </w:rPr>
            </w:pPr>
            <w:r>
              <w:rPr>
                <w:rFonts w:ascii="Arial" w:cs="Arial" w:eastAsia="Arial" w:hAnsi="Arial"/>
                <w:sz w:val="14"/>
                <w:szCs w:val="14"/>
                <w:b w:val="1"/>
                <w:bCs w:val="1"/>
                <w:color w:val="auto"/>
                <w:w w:val="91"/>
              </w:rPr>
              <w:t>Pro Forma</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60" w:type="dxa"/>
            <w:vAlign w:val="bottom"/>
            <w:vMerge w:val="restart"/>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9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940" w:type="dxa"/>
            <w:vAlign w:val="bottom"/>
            <w:vMerge w:val="restart"/>
          </w:tcPr>
          <w:p>
            <w:pPr>
              <w:jc w:val="center"/>
              <w:ind w:left="1107"/>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60" w:type="dxa"/>
            <w:vAlign w:val="bottom"/>
            <w:vMerge w:val="restart"/>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Through</w:t>
            </w:r>
          </w:p>
        </w:tc>
        <w:tc>
          <w:tcPr>
            <w:tcW w:w="19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940" w:type="dxa"/>
            <w:vAlign w:val="bottom"/>
            <w:vMerge w:val="restart"/>
          </w:tcPr>
          <w:p>
            <w:pPr>
              <w:jc w:val="center"/>
              <w:ind w:left="1107"/>
              <w:spacing w:after="0"/>
              <w:rPr>
                <w:sz w:val="20"/>
                <w:szCs w:val="20"/>
                <w:color w:val="auto"/>
              </w:rPr>
            </w:pPr>
            <w:r>
              <w:rPr>
                <w:rFonts w:ascii="Arial" w:cs="Arial" w:eastAsia="Arial" w:hAnsi="Arial"/>
                <w:sz w:val="14"/>
                <w:szCs w:val="14"/>
                <w:b w:val="1"/>
                <w:bCs w:val="1"/>
                <w:color w:val="auto"/>
                <w:w w:val="87"/>
              </w:rPr>
              <w:t>December 31</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60" w:type="dxa"/>
            <w:vAlign w:val="bottom"/>
            <w:vMerge w:val="restart"/>
          </w:tcPr>
          <w:p>
            <w:pPr>
              <w:jc w:val="center"/>
              <w:ind w:right="352"/>
              <w:spacing w:after="0" w:line="149" w:lineRule="exact"/>
              <w:rPr>
                <w:sz w:val="20"/>
                <w:szCs w:val="20"/>
                <w:color w:val="auto"/>
              </w:rPr>
            </w:pPr>
            <w:r>
              <w:rPr>
                <w:rFonts w:ascii="Arial" w:cs="Arial" w:eastAsia="Arial" w:hAnsi="Arial"/>
                <w:sz w:val="14"/>
                <w:szCs w:val="14"/>
                <w:b w:val="1"/>
                <w:bCs w:val="1"/>
                <w:color w:val="auto"/>
                <w:w w:val="85"/>
              </w:rPr>
              <w:t>December</w:t>
            </w:r>
          </w:p>
        </w:tc>
        <w:tc>
          <w:tcPr>
            <w:tcW w:w="19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340" w:type="dxa"/>
            <w:vAlign w:val="bottom"/>
          </w:tcPr>
          <w:p>
            <w:pPr>
              <w:spacing w:after="0"/>
              <w:rPr>
                <w:sz w:val="14"/>
                <w:szCs w:val="14"/>
                <w:color w:val="auto"/>
              </w:rPr>
            </w:pPr>
          </w:p>
        </w:tc>
        <w:tc>
          <w:tcPr>
            <w:tcW w:w="4240" w:type="dxa"/>
            <w:vAlign w:val="bottom"/>
            <w:gridSpan w:val="2"/>
          </w:tcPr>
          <w:p>
            <w:pPr>
              <w:jc w:val="center"/>
              <w:ind w:left="2619"/>
              <w:spacing w:after="0"/>
              <w:rPr>
                <w:sz w:val="20"/>
                <w:szCs w:val="20"/>
                <w:color w:val="auto"/>
              </w:rPr>
            </w:pPr>
            <w:r>
              <w:rPr>
                <w:rFonts w:ascii="Arial" w:cs="Arial" w:eastAsia="Arial" w:hAnsi="Arial"/>
                <w:sz w:val="14"/>
                <w:szCs w:val="14"/>
                <w:b w:val="1"/>
                <w:bCs w:val="1"/>
                <w:color w:val="auto"/>
                <w:w w:val="84"/>
              </w:rPr>
              <w:t>31, 2011</w:t>
            </w:r>
          </w:p>
        </w:tc>
        <w:tc>
          <w:tcPr>
            <w:tcW w:w="1940" w:type="dxa"/>
            <w:vAlign w:val="bottom"/>
          </w:tcPr>
          <w:p>
            <w:pPr>
              <w:jc w:val="right"/>
              <w:ind w:right="947"/>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jc w:val="right"/>
              <w:ind w:right="647"/>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(a)</w:t>
            </w:r>
          </w:p>
        </w:tc>
        <w:tc>
          <w:tcPr>
            <w:tcW w:w="42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$ 380,945</w:t>
            </w:r>
          </w:p>
        </w:tc>
        <w:tc>
          <w:tcPr>
            <w:tcW w:w="1940" w:type="dxa"/>
            <w:vAlign w:val="bottom"/>
            <w:shd w:val="clear" w:color="auto" w:fill="CCEEFF"/>
          </w:tcPr>
          <w:p>
            <w:pPr>
              <w:jc w:val="right"/>
              <w:ind w:right="687"/>
              <w:spacing w:after="0"/>
              <w:rPr>
                <w:sz w:val="20"/>
                <w:szCs w:val="20"/>
                <w:color w:val="auto"/>
              </w:rPr>
            </w:pPr>
            <w:r>
              <w:rPr>
                <w:rFonts w:ascii="Arial" w:cs="Arial" w:eastAsia="Arial" w:hAnsi="Arial"/>
                <w:sz w:val="18"/>
                <w:szCs w:val="18"/>
                <w:color w:val="auto"/>
              </w:rPr>
              <w:t>$4,202,109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$4,064,729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4240" w:type="dxa"/>
            <w:vAlign w:val="bottom"/>
            <w:gridSpan w:val="2"/>
          </w:tcPr>
          <w:p>
            <w:pPr>
              <w:jc w:val="right"/>
              <w:ind w:right="312"/>
              <w:spacing w:after="0"/>
              <w:rPr>
                <w:sz w:val="20"/>
                <w:szCs w:val="20"/>
                <w:color w:val="auto"/>
              </w:rPr>
            </w:pPr>
            <w:r>
              <w:rPr>
                <w:rFonts w:ascii="Arial" w:cs="Arial" w:eastAsia="Arial" w:hAnsi="Arial"/>
                <w:sz w:val="18"/>
                <w:szCs w:val="18"/>
                <w:color w:val="auto"/>
              </w:rPr>
              <w:t>18,586</w:t>
            </w:r>
          </w:p>
        </w:tc>
        <w:tc>
          <w:tcPr>
            <w:tcW w:w="1940" w:type="dxa"/>
            <w:vAlign w:val="bottom"/>
          </w:tcPr>
          <w:p>
            <w:pPr>
              <w:jc w:val="right"/>
              <w:ind w:right="687"/>
              <w:spacing w:after="0"/>
              <w:rPr>
                <w:sz w:val="20"/>
                <w:szCs w:val="20"/>
                <w:color w:val="auto"/>
              </w:rPr>
            </w:pPr>
            <w:r>
              <w:rPr>
                <w:rFonts w:ascii="Arial" w:cs="Arial" w:eastAsia="Arial" w:hAnsi="Arial"/>
                <w:sz w:val="18"/>
                <w:szCs w:val="18"/>
                <w:color w:val="auto"/>
              </w:rPr>
              <w:t>808,696</w:t>
            </w:r>
          </w:p>
        </w:tc>
        <w:tc>
          <w:tcPr>
            <w:tcW w:w="800" w:type="dxa"/>
            <w:vAlign w:val="bottom"/>
          </w:tcPr>
          <w:p>
            <w:pPr>
              <w:jc w:val="right"/>
              <w:spacing w:after="0"/>
              <w:rPr>
                <w:sz w:val="20"/>
                <w:szCs w:val="20"/>
                <w:color w:val="auto"/>
              </w:rPr>
            </w:pPr>
            <w:r>
              <w:rPr>
                <w:rFonts w:ascii="Arial" w:cs="Arial" w:eastAsia="Arial" w:hAnsi="Arial"/>
                <w:sz w:val="18"/>
                <w:szCs w:val="18"/>
                <w:color w:val="auto"/>
              </w:rPr>
              <w:t>295,486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90" w:lineRule="exact"/>
        <w:rPr>
          <w:sz w:val="20"/>
          <w:szCs w:val="20"/>
          <w:color w:val="auto"/>
        </w:rPr>
      </w:pPr>
    </w:p>
    <w:p>
      <w:pPr>
        <w:ind w:right="180" w:firstLine="685"/>
        <w:spacing w:after="0" w:line="287" w:lineRule="auto"/>
        <w:rPr>
          <w:sz w:val="20"/>
          <w:szCs w:val="20"/>
          <w:color w:val="auto"/>
        </w:rPr>
      </w:pPr>
      <w:r>
        <w:rPr>
          <w:rFonts w:ascii="Arial" w:cs="Arial" w:eastAsia="Arial" w:hAnsi="Arial"/>
          <w:sz w:val="16"/>
          <w:szCs w:val="16"/>
          <w:color w:val="auto"/>
        </w:rPr>
        <w:t>On November 5, 2010, M&amp;T Bank, M&amp;T’s principal banking subsidiary,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GAAP, M&amp;T Bank recorded an after-tax gain on the transaction of $17 million ($28 million before taxes). The gain reflected the amount of financial support and indemnification against loan losses that M&amp;T Bank obtained from the FDIC. There was no goodwill or other intangible assets recorded in connection with this transaction. The operations obtained in the K Bank acquisition transaction did not have a material impact on the Company’s consolidated financial position or results of operations.</w:t>
      </w:r>
    </w:p>
    <w:p>
      <w:pPr>
        <w:spacing w:after="0" w:line="42" w:lineRule="exact"/>
        <w:rPr>
          <w:sz w:val="20"/>
          <w:szCs w:val="20"/>
          <w:color w:val="auto"/>
        </w:rPr>
      </w:pPr>
    </w:p>
    <w:p>
      <w:pPr>
        <w:ind w:right="140" w:firstLine="685"/>
        <w:spacing w:after="0" w:line="291" w:lineRule="auto"/>
        <w:rPr>
          <w:sz w:val="20"/>
          <w:szCs w:val="20"/>
          <w:color w:val="auto"/>
        </w:rPr>
      </w:pPr>
      <w:r>
        <w:rPr>
          <w:rFonts w:ascii="Arial" w:cs="Arial" w:eastAsia="Arial" w:hAnsi="Arial"/>
          <w:sz w:val="16"/>
          <w:szCs w:val="16"/>
          <w:color w:val="auto"/>
        </w:rPr>
        <w:t>The Company incurred merger-related expenses in 2012, 2011 and 2010 related to systems conversions and other costs of integrating and conforming acquired operations with and into the Company. Those expenses consisted largely of professional services and other temporary help fees associated with the conversion of systems and/or integration of operations; costs related to branch and office consolidations; costs related to termination of existing contractual arrangements for various services; initial marketing and promotion expenses designed to introduce M&amp;T Bank to its new customers; severance (for former employees of acquired entities) and incentive compensation costs; travel costs; and printing, postage, supplies and other costs of completing the transactions and commencing operations in new markets and offices.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merger-related expenses included in the consolidated statement of income for the years ended December 31, 2012, 2011 and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646</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83,687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771</w:t>
            </w:r>
          </w:p>
        </w:tc>
        <w:tc>
          <w:tcPr>
            <w:tcW w:w="100" w:type="dxa"/>
            <w:vAlign w:val="bottom"/>
            <w:shd w:val="clear" w:color="auto" w:fill="CCEEFF"/>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Investment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78"/>
              </w:rPr>
              <w:t>Losses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454"/>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39,344</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20,375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20,901</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3,163,210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208,060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3,371,041</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1,133,639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1,012,886</w:t>
            </w: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43,228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61,869</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136,603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111,950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4,643,070</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253,619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157,252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4,739,437</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182,103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189,723</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597,340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31,727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629,067</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242,378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147,638</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1,032,276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976,883</w:t>
            </w:r>
          </w:p>
        </w:tc>
        <w:tc>
          <w:tcPr>
            <w:tcW w:w="100" w:type="dxa"/>
            <w:vAlign w:val="bottom"/>
            <w:shd w:val="clear" w:color="auto" w:fill="CCEEFF"/>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302,648</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5,977,994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293,153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252,179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6,018,968</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78"/>
              </w:rPr>
              <w:t>Losses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454"/>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70,723</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39,518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40,269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4,344,116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177,392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4,521,233</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1,369,371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239,488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1,136,256</w:t>
            </w: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17,679</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15,029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43,834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216,700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176,845</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6,312,423</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210,001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293,864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6,228,560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188,680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9,141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197,793</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608,533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24,881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633,414</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268,642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169,502</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1,077,708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1,012,562</w:t>
            </w:r>
          </w:p>
        </w:tc>
        <w:tc>
          <w:tcPr>
            <w:tcW w:w="100" w:type="dxa"/>
            <w:vAlign w:val="bottom"/>
            <w:shd w:val="clear" w:color="auto" w:fill="CCEEFF"/>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366,886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7,757,017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244,023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393,032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7,608,008</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20" w:firstLine="685"/>
        <w:spacing w:after="0" w:line="268" w:lineRule="auto"/>
        <w:rPr>
          <w:sz w:val="20"/>
          <w:szCs w:val="20"/>
          <w:color w:val="auto"/>
        </w:rPr>
      </w:pPr>
      <w:r>
        <w:rPr>
          <w:rFonts w:ascii="Arial" w:cs="Arial" w:eastAsia="Arial" w:hAnsi="Arial"/>
          <w:sz w:val="18"/>
          <w:szCs w:val="18"/>
          <w:color w:val="auto"/>
        </w:rPr>
        <w:t>No investment in securities of a single non-U.S. Government or government agency issuer exceeded ten percent of shareholders’ equity at December 31, 2012.</w:t>
      </w:r>
    </w:p>
    <w:p>
      <w:pPr>
        <w:spacing w:after="0" w:line="51" w:lineRule="exact"/>
        <w:rPr>
          <w:sz w:val="20"/>
          <w:szCs w:val="20"/>
          <w:color w:val="auto"/>
        </w:rPr>
      </w:pPr>
    </w:p>
    <w:p>
      <w:pPr>
        <w:ind w:right="40" w:firstLine="685"/>
        <w:spacing w:after="0" w:line="268" w:lineRule="auto"/>
        <w:rPr>
          <w:sz w:val="20"/>
          <w:szCs w:val="20"/>
          <w:color w:val="auto"/>
        </w:rPr>
      </w:pPr>
      <w:r>
        <w:rPr>
          <w:rFonts w:ascii="Arial" w:cs="Arial" w:eastAsia="Arial" w:hAnsi="Arial"/>
          <w:sz w:val="18"/>
          <w:szCs w:val="18"/>
          <w:color w:val="auto"/>
        </w:rPr>
        <w:t>As of December 31, 2012, the latest available investment ratings of all obligations of states and political subdivisions, privately issued mortgage-backed securities, collateralized debt obligations and other debt securities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Amortized</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4"/>
                <w:szCs w:val="14"/>
                <w:b w:val="1"/>
                <w:bCs w:val="1"/>
                <w:color w:val="auto"/>
                <w:w w:val="86"/>
              </w:rPr>
              <w:t>Estimated</w:t>
            </w: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w w:val="91"/>
              </w:rPr>
              <w:t>Average Credit Rating of Fair Value Amount</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Fair Value</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 or Better</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BBB</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BB</w:t>
            </w:r>
          </w:p>
        </w:tc>
        <w:tc>
          <w:tcPr>
            <w:tcW w:w="80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B or Less</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Not Rated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$169,660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$ 33,549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1,376,017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1,160,524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151,980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712,765</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43,228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147,058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122,405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11,852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27,029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14,532</w:t>
            </w: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1,777,429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1,566,422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392,259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162,766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189,979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774,830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$ 46,588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amortized cost and estimated fair value of collateralized mortgage obligations included in mortgage-backed securities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00" w:type="dxa"/>
            <w:vAlign w:val="bottom"/>
            <w:gridSpan w:val="3"/>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0" w:type="dxa"/>
            <w:vAlign w:val="bottom"/>
            <w:gridSpan w:val="2"/>
          </w:tcPr>
          <w:p>
            <w:pPr>
              <w:jc w:val="right"/>
              <w:ind w:right="59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3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Amortized cost</w:t>
            </w:r>
          </w:p>
        </w:tc>
        <w:tc>
          <w:tcPr>
            <w:tcW w:w="4380" w:type="dxa"/>
            <w:vAlign w:val="bottom"/>
            <w:gridSpan w:val="2"/>
          </w:tcPr>
          <w:p>
            <w:pPr>
              <w:jc w:val="right"/>
              <w:ind w:right="212"/>
              <w:spacing w:after="0"/>
              <w:rPr>
                <w:sz w:val="20"/>
                <w:szCs w:val="20"/>
                <w:color w:val="auto"/>
              </w:rPr>
            </w:pPr>
            <w:r>
              <w:rPr>
                <w:rFonts w:ascii="Arial" w:cs="Arial" w:eastAsia="Arial" w:hAnsi="Arial"/>
                <w:sz w:val="18"/>
                <w:szCs w:val="18"/>
                <w:color w:val="auto"/>
              </w:rPr>
              <w:t>$ 1,414,691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$ 1,750,922</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fair value</w:t>
            </w:r>
          </w:p>
        </w:tc>
        <w:tc>
          <w:tcPr>
            <w:tcW w:w="43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1,202,243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1,417,822</w:t>
            </w:r>
          </w:p>
        </w:tc>
      </w:tr>
      <w:tr>
        <w:trPr>
          <w:trHeight w:val="310"/>
        </w:trPr>
        <w:tc>
          <w:tcPr>
            <w:tcW w:w="5840" w:type="dxa"/>
            <w:vAlign w:val="bottom"/>
          </w:tcPr>
          <w:p>
            <w:pPr>
              <w:spacing w:after="0"/>
              <w:rPr>
                <w:sz w:val="20"/>
                <w:szCs w:val="20"/>
                <w:color w:val="auto"/>
              </w:rPr>
            </w:pPr>
            <w:r>
              <w:rPr>
                <w:rFonts w:ascii="Arial" w:cs="Arial" w:eastAsia="Arial" w:hAnsi="Arial"/>
                <w:sz w:val="14"/>
                <w:szCs w:val="14"/>
                <w:color w:val="auto"/>
              </w:rPr>
              <w:t>116</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685"/>
        <w:spacing w:after="0" w:line="291" w:lineRule="auto"/>
        <w:rPr>
          <w:sz w:val="20"/>
          <w:szCs w:val="20"/>
          <w:color w:val="auto"/>
        </w:rPr>
      </w:pPr>
      <w:r>
        <w:rPr>
          <w:rFonts w:ascii="Arial" w:cs="Arial" w:eastAsia="Arial" w:hAnsi="Arial"/>
          <w:sz w:val="16"/>
          <w:szCs w:val="16"/>
          <w:color w:val="auto"/>
        </w:rPr>
        <w:t>Gross realized gains and losses from sales of investment securities were not significant in 2012 or 2010. In 2011, gross realized gains from sales of investment securities were $150,223,000 and gross realized losses were $36,000. During 2011, the Company sold residential mortgage-backed securities guaranteed by the Federal National Mortgage Association (“Fannie Mae”) and the Federal Home Loan Mortgage Corporation (“Freddie Mac”) having an aggregate amortized cost of approximately $1.5 billion which resulted in a gain of $104 million (pre-tax). The Company also sold trust preferred securities and collateralized debt securities during 2011 having an aggregate amortized cost of $136 million and $100 million, respectively, which resulted in gains of $25 million (pre-tax) and $20 million (pre-tax), respectively.</w:t>
      </w:r>
    </w:p>
    <w:p>
      <w:pPr>
        <w:spacing w:after="0" w:line="39" w:lineRule="exact"/>
        <w:rPr>
          <w:sz w:val="20"/>
          <w:szCs w:val="20"/>
          <w:color w:val="auto"/>
        </w:rPr>
      </w:pPr>
    </w:p>
    <w:p>
      <w:pPr>
        <w:ind w:right="40" w:firstLine="685"/>
        <w:spacing w:after="0" w:line="290" w:lineRule="auto"/>
        <w:rPr>
          <w:sz w:val="20"/>
          <w:szCs w:val="20"/>
          <w:color w:val="auto"/>
        </w:rPr>
      </w:pPr>
      <w:r>
        <w:rPr>
          <w:rFonts w:ascii="Arial" w:cs="Arial" w:eastAsia="Arial" w:hAnsi="Arial"/>
          <w:sz w:val="16"/>
          <w:szCs w:val="16"/>
          <w:color w:val="auto"/>
        </w:rPr>
        <w:t>The Company recognized $48 million, $77 million and $68 million of pre-tax other-than-temporary impairment losses related to privately issued mortgage-backed securities in 2012, 2011 and 2010, respectively. The impairment charges were recognized in light of deterioration of real estate values and a rise in delinquencies and charge-offs of underlying mortgage loans collateralizing those securities. In addition to those charges, impairment charges in 2010 were recognized for approximately $6 million related to collateralized debt obligations backed largely by trust preferred securities issued by financial institutions and for $12 million related to American Depositary Shares (“ADSs”) of Allied Irish Banks, p.l.c. (“AIB”) obtained in M&amp;T’s 2003 acquisition of a former subsidiary of AIB. The other-than-temporary impairment losses represent management’s estimate of credit losses inherent in the debt securities considering projected cash flows using assumptions of delinquency rates, loss severities, and other estimates of future collateral performance.</w:t>
      </w:r>
    </w:p>
    <w:p>
      <w:pPr>
        <w:spacing w:after="0" w:line="37" w:lineRule="exact"/>
        <w:rPr>
          <w:sz w:val="20"/>
          <w:szCs w:val="20"/>
          <w:color w:val="auto"/>
        </w:rPr>
      </w:pPr>
    </w:p>
    <w:p>
      <w:pPr>
        <w:ind w:right="500" w:firstLine="685"/>
        <w:spacing w:after="0" w:line="268" w:lineRule="auto"/>
        <w:rPr>
          <w:sz w:val="20"/>
          <w:szCs w:val="20"/>
          <w:color w:val="auto"/>
        </w:rPr>
      </w:pPr>
      <w:r>
        <w:rPr>
          <w:rFonts w:ascii="Arial" w:cs="Arial" w:eastAsia="Arial" w:hAnsi="Arial"/>
          <w:sz w:val="18"/>
          <w:szCs w:val="18"/>
          <w:color w:val="auto"/>
        </w:rPr>
        <w:t>Changes in credit losses during 2012, 2011 and 2010 associated with debt securities for which other-than-temporary impairment losses have been recognized in earnings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losses — beginning balance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$ 285,399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$ 327,912</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720" w:type="dxa"/>
            <w:vAlign w:val="bottom"/>
          </w:tcPr>
          <w:p>
            <w:pPr>
              <w:jc w:val="right"/>
              <w:spacing w:after="0"/>
              <w:rPr>
                <w:sz w:val="20"/>
                <w:szCs w:val="20"/>
                <w:color w:val="auto"/>
              </w:rPr>
            </w:pPr>
            <w:r>
              <w:rPr>
                <w:rFonts w:ascii="Arial" w:cs="Arial" w:eastAsia="Arial" w:hAnsi="Arial"/>
                <w:sz w:val="18"/>
                <w:szCs w:val="18"/>
                <w:color w:val="auto"/>
              </w:rPr>
              <w:t>47,822</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77,035</w:t>
            </w:r>
          </w:p>
        </w:tc>
        <w:tc>
          <w:tcPr>
            <w:tcW w:w="5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(5,111)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(135,412)</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(114,437)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losses — ending balance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$ 197,809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$ 285,399</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2012, the amortized cost and estimated fair value of debt securities by contractual maturity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Amortized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9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right"/>
              <w:ind w:right="53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4,918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4,952</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43,139</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10,217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182,386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175,756</w:t>
            </w:r>
          </w:p>
        </w:tc>
        <w:tc>
          <w:tcPr>
            <w:tcW w:w="10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238,628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234,064</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4,305,497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4,394,927</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4,544,125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4,628,991</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26,850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52,526</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104,901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110,167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192,558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200,178</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839,718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776,705</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1,032,276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976,883</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685"/>
        <w:spacing w:after="0" w:line="268" w:lineRule="auto"/>
        <w:rPr>
          <w:sz w:val="20"/>
          <w:szCs w:val="20"/>
          <w:color w:val="auto"/>
        </w:rPr>
      </w:pPr>
      <w:r>
        <w:rPr>
          <w:rFonts w:ascii="Arial" w:cs="Arial" w:eastAsia="Arial" w:hAnsi="Arial"/>
          <w:sz w:val="18"/>
          <w:szCs w:val="18"/>
          <w:color w:val="auto"/>
        </w:rPr>
        <w:t>A summary of investment securities that as of December 31, 2012 and 2011 had been in a continuous unrealized loss position for less than twelve months and those that had been in a continuous unrealized loss position for twelve months or longer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Less Than 12 Months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12 Months or More</w:t>
            </w:r>
          </w:p>
        </w:tc>
        <w:tc>
          <w:tcPr>
            <w:tcW w:w="0" w:type="dxa"/>
            <w:vAlign w:val="bottom"/>
          </w:tcPr>
          <w:p>
            <w:pPr>
              <w:spacing w:after="0"/>
              <w:rPr>
                <w:sz w:val="1"/>
                <w:szCs w:val="1"/>
                <w:color w:val="auto"/>
              </w:rPr>
            </w:pPr>
          </w:p>
        </w:tc>
      </w:tr>
      <w:tr>
        <w:trPr>
          <w:trHeight w:val="129"/>
        </w:trPr>
        <w:tc>
          <w:tcPr>
            <w:tcW w:w="7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Losses</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14"/>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Privately issued residential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121,487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773,409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(124,955)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Privately issued commercial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139,295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(155,199)</w:t>
            </w:r>
          </w:p>
        </w:tc>
        <w:tc>
          <w:tcPr>
            <w:tcW w:w="0" w:type="dxa"/>
            <w:vAlign w:val="bottom"/>
          </w:tcPr>
          <w:p>
            <w:pPr>
              <w:spacing w:after="0"/>
              <w:rPr>
                <w:sz w:val="1"/>
                <w:szCs w:val="1"/>
                <w:color w:val="auto"/>
              </w:rPr>
            </w:pPr>
          </w:p>
        </w:tc>
      </w:tr>
      <w:tr>
        <w:trPr>
          <w:trHeight w:val="221"/>
        </w:trPr>
        <w:tc>
          <w:tcPr>
            <w:tcW w:w="71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(94,900)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(94,922)</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140,321</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1,039,330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(250,121)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Privately issued residential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297,133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(14,188)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751,077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(225,300)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Privately issued commercial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(29,096)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(264,768)</w:t>
            </w:r>
          </w:p>
        </w:tc>
        <w:tc>
          <w:tcPr>
            <w:tcW w:w="0" w:type="dxa"/>
            <w:vAlign w:val="bottom"/>
          </w:tcPr>
          <w:p>
            <w:pPr>
              <w:spacing w:after="0"/>
              <w:rPr>
                <w:sz w:val="1"/>
                <w:szCs w:val="1"/>
                <w:color w:val="auto"/>
              </w:rPr>
            </w:pPr>
          </w:p>
        </w:tc>
      </w:tr>
      <w:tr>
        <w:trPr>
          <w:trHeight w:val="221"/>
        </w:trPr>
        <w:tc>
          <w:tcPr>
            <w:tcW w:w="71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(98,548)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425,983</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(29,692)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1,020,418</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(363,340)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685"/>
        <w:spacing w:after="0" w:line="298" w:lineRule="auto"/>
        <w:rPr>
          <w:sz w:val="20"/>
          <w:szCs w:val="20"/>
          <w:color w:val="auto"/>
        </w:rPr>
      </w:pPr>
      <w:r>
        <w:rPr>
          <w:rFonts w:ascii="Arial" w:cs="Arial" w:eastAsia="Arial" w:hAnsi="Arial"/>
          <w:sz w:val="16"/>
          <w:szCs w:val="16"/>
          <w:color w:val="auto"/>
        </w:rPr>
        <w:t>The Company owned 249 individual investment securities with aggregate gross unrealized losses of $252 million at December 31, 2012. Approximately $221 million of the unrealized losses pertain to privately issued mortgage-backed securities with a cost basis of $1.3 billion. The Company also had $28 million of unrealized losses on available-for-sale trust preferred securities issued by financial institutions and securities backed by trust preferred securities having a cost basis of $130 million. Based on a review of each of the remaining securities in the investment securities portfolio at December 31, 2012, with the exception of the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aforementioned securities for which other-than-temporary impairment losses were recognized, the Company concluded that it expected to recover the amortized cost basis of its investment. As of December 31, 2012, the Company does not intend to sell nor is it anticipated that it would be required to sell any of its impaired investment securities. At December 31, 2012, the Company has not identified events or changes in circumstances which may have a significant adverse effect on the fair value of the $303 million of cost method investment securities.</w:t>
      </w:r>
    </w:p>
    <w:p>
      <w:pPr>
        <w:spacing w:after="0" w:line="1"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At December 31, 2012, investment securities with a carrying value of $4,297,092,000, including $3,372,409,000 of investment securities available for sale, were pledged to secure borrowings from various FHLBs, repurchase agreements, governmental deposits, interest rate swap agreements and available lines of credit as described in note 9.</w:t>
      </w:r>
    </w:p>
    <w:p>
      <w:pPr>
        <w:spacing w:after="0" w:line="1"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Investment securities pledged by the Company to secure obligations whereby the secured party is permitted by contract or custom to sell or repledge such collateral totaled $1,801,842,000 at December 31, 2012. The pledged securities included securities of the U.S. Treasury and federal agencies and mortgage-backed securities.</w:t>
      </w:r>
    </w:p>
    <w:p>
      <w:pPr>
        <w:spacing w:after="0" w:line="1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Loans and leases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Total loans and leases outstanding were comprised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80" w:type="dxa"/>
            <w:vAlign w:val="bottom"/>
            <w:gridSpan w:val="4"/>
          </w:tcPr>
          <w:p>
            <w:pPr>
              <w:jc w:val="right"/>
              <w:ind w:right="63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Commercial, financial, etc</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$ 16,500,202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$ 14,419,490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11,161,323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7,889,569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22,333,036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20,312,648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3,772,413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4,203,324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8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11,550,274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12,020,229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65,317,248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58,845,260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8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66,790,186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60,377,875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unearned discount</w:t>
            </w:r>
          </w:p>
        </w:tc>
        <w:tc>
          <w:tcPr>
            <w:tcW w:w="28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(219,229)</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(281,870)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 net of unearned discount</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$ 66,570,957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$ 60,096,005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One-to-four family residential mortgage loans held for sale were $1.2 billion at December 31, 2012 and $210 million at December 31,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Commercial mortgage loans held for sale were $200 million at December 31, 2012 and $161 million at December 31, 2011.</w:t>
      </w:r>
    </w:p>
    <w:p>
      <w:pPr>
        <w:spacing w:after="0" w:line="9"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As of December 31, 2012, approximately $2.0 billion of commercial mortgage loan balances serviced for others had been sold with recourse in conjunction with the Company’s participation in the Fannie Mae Delegated Underwriting and Servicing (“DUS”) program. At December 31, 2012, the Company estimated that the recourse obligations described above were not material to the Company’s consolidated financial position. There have been no material losses incurred as a result of those credit recourse arrangements.</w:t>
      </w:r>
    </w:p>
    <w:p>
      <w:pPr>
        <w:spacing w:after="0" w:line="2" w:lineRule="exact"/>
        <w:rPr>
          <w:sz w:val="20"/>
          <w:szCs w:val="20"/>
          <w:color w:val="auto"/>
        </w:rPr>
      </w:pPr>
    </w:p>
    <w:p>
      <w:pPr>
        <w:ind w:right="140" w:firstLine="685"/>
        <w:spacing w:after="0" w:line="295" w:lineRule="auto"/>
        <w:rPr>
          <w:sz w:val="20"/>
          <w:szCs w:val="20"/>
          <w:color w:val="auto"/>
        </w:rPr>
      </w:pPr>
      <w:r>
        <w:rPr>
          <w:rFonts w:ascii="Arial" w:cs="Arial" w:eastAsia="Arial" w:hAnsi="Arial"/>
          <w:sz w:val="16"/>
          <w:szCs w:val="16"/>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which are recorded as a reduction of mortgage banking revenues, were $28 million, $23 million and $30 million in 2012, 2011 and 2010, respectively.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0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2012</w:t>
            </w:r>
          </w:p>
        </w:tc>
        <w:tc>
          <w:tcPr>
            <w:tcW w:w="13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0" w:type="dxa"/>
            <w:vAlign w:val="bottom"/>
            <w:gridSpan w:val="3"/>
          </w:tcPr>
          <w:p>
            <w:pPr>
              <w:jc w:val="right"/>
              <w:ind w:right="5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$ 6,705,120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$ 9,203,366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Carrying amount:</w:t>
            </w:r>
          </w:p>
        </w:tc>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928,107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1,331,198</w:t>
            </w: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2,567,050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3,879,518</w:t>
            </w: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707,309</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915,371</w:t>
            </w:r>
          </w:p>
        </w:tc>
      </w:tr>
      <w:tr>
        <w:trPr>
          <w:trHeight w:val="223"/>
        </w:trPr>
        <w:tc>
          <w:tcPr>
            <w:tcW w:w="5900" w:type="dxa"/>
            <w:vAlign w:val="bottom"/>
          </w:tcPr>
          <w:p>
            <w:pPr>
              <w:ind w:left="220"/>
              <w:spacing w:after="0"/>
              <w:rPr>
                <w:sz w:val="20"/>
                <w:szCs w:val="20"/>
                <w:color w:val="auto"/>
              </w:rPr>
            </w:pPr>
            <w:r>
              <w:rPr>
                <w:rFonts w:ascii="Arial" w:cs="Arial" w:eastAsia="Arial" w:hAnsi="Arial"/>
                <w:sz w:val="18"/>
                <w:szCs w:val="18"/>
                <w:color w:val="auto"/>
              </w:rPr>
              <w:t>Consumer</w:t>
            </w:r>
          </w:p>
        </w:tc>
        <w:tc>
          <w:tcPr>
            <w:tcW w:w="3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1,637,887</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2,033,700</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$ 5,840,353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$ 8,159,787</w:t>
            </w:r>
          </w:p>
        </w:tc>
      </w:tr>
      <w:tr>
        <w:trPr>
          <w:trHeight w:val="20"/>
        </w:trPr>
        <w:tc>
          <w:tcPr>
            <w:tcW w:w="5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Purchased impaired loans included in the table above totaled $447 million at December 31, 2012 and $653 million at December 31, 2011, representing less than 1% of the Company’s assets as of each date. A summary of changes in the accretable yield for acquired loans for the years ended December 31, 2012, 2011 and 2010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For Year Ended December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2011</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60" w:type="dxa"/>
            <w:vAlign w:val="bottom"/>
            <w:tcBorders>
              <w:top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20"/>
              <w:spacing w:after="0" w:line="136" w:lineRule="exact"/>
              <w:rPr>
                <w:sz w:val="20"/>
                <w:szCs w:val="20"/>
                <w:color w:val="auto"/>
              </w:rPr>
            </w:pPr>
            <w:r>
              <w:rPr>
                <w:rFonts w:ascii="Arial" w:cs="Arial" w:eastAsia="Arial" w:hAnsi="Arial"/>
                <w:sz w:val="14"/>
                <w:szCs w:val="14"/>
                <w:b w:val="1"/>
                <w:bCs w:val="1"/>
                <w:color w:val="auto"/>
                <w:w w:val="86"/>
              </w:rPr>
              <w:t>Purchased</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20"/>
              <w:spacing w:after="0" w:line="136"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140"/>
              <w:spacing w:after="0" w:line="136"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1"/>
                <w:szCs w:val="11"/>
                <w:color w:val="auto"/>
              </w:rPr>
            </w:pPr>
          </w:p>
        </w:tc>
        <w:tc>
          <w:tcPr>
            <w:tcW w:w="74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rPr>
              <w:t>Purchased</w:t>
            </w: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Impaired</w:t>
            </w:r>
          </w:p>
        </w:tc>
        <w:tc>
          <w:tcPr>
            <w:tcW w:w="4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Acquired</w:t>
            </w:r>
          </w:p>
        </w:tc>
        <w:tc>
          <w:tcPr>
            <w:tcW w:w="2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Impaired</w:t>
            </w:r>
          </w:p>
        </w:tc>
        <w:tc>
          <w:tcPr>
            <w:tcW w:w="4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Acquired</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Impaired</w:t>
            </w:r>
          </w:p>
        </w:tc>
        <w:tc>
          <w:tcPr>
            <w:tcW w:w="4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3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$ 30,805</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$ 807,960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$ 447,505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4,318</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$ 531,546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39,358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648,631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4,922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13,747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(40,551)</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(295,654)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(26,221)</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(268,315)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(5,826)</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(171,207)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Reclassifications from (to) nonaccretable balance, net</w:t>
            </w:r>
          </w:p>
        </w:tc>
        <w:tc>
          <w:tcPr>
            <w:tcW w:w="660" w:type="dxa"/>
            <w:vAlign w:val="bottom"/>
          </w:tcPr>
          <w:p>
            <w:pPr>
              <w:jc w:val="right"/>
              <w:spacing w:after="0"/>
              <w:rPr>
                <w:sz w:val="20"/>
                <w:szCs w:val="20"/>
                <w:color w:val="auto"/>
              </w:rPr>
            </w:pPr>
            <w:r>
              <w:rPr>
                <w:rFonts w:ascii="Arial" w:cs="Arial" w:eastAsia="Arial" w:hAnsi="Arial"/>
                <w:sz w:val="18"/>
                <w:szCs w:val="18"/>
                <w:color w:val="auto"/>
              </w:rPr>
              <w:t>51,998</w:t>
            </w:r>
          </w:p>
        </w:tc>
        <w:tc>
          <w:tcPr>
            <w:tcW w:w="10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148,490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8,629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5,831</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(21,661)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39,419</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$ 42,252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$ 638,272</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30,805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$ 807,960</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9,245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$ 447,505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current, past due and nonaccrual loans as of December 31, 2012 and 2011 were as follows: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jc w:val="right"/>
              <w:ind w:right="560"/>
              <w:spacing w:after="0" w:line="153" w:lineRule="exact"/>
              <w:rPr>
                <w:sz w:val="20"/>
                <w:szCs w:val="20"/>
                <w:color w:val="auto"/>
              </w:rPr>
            </w:pPr>
            <w:r>
              <w:rPr>
                <w:rFonts w:ascii="Arial" w:cs="Arial" w:eastAsia="Arial" w:hAnsi="Arial"/>
                <w:sz w:val="14"/>
                <w:szCs w:val="14"/>
                <w:b w:val="1"/>
                <w:bCs w:val="1"/>
                <w:color w:val="auto"/>
                <w:w w:val="97"/>
              </w:rPr>
              <w:t>90 Days or More Past</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7"/>
              </w:rPr>
              <w:t>30-89 Days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Due and Accruing</w:t>
            </w: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Current</w:t>
            </w:r>
          </w:p>
        </w:tc>
        <w:tc>
          <w:tcPr>
            <w:tcW w:w="8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Non-</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Nonaccrual</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3"/>
              </w:rPr>
              <w:t>Past Due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5"/>
              </w:rPr>
              <w:t>acquired</w:t>
            </w:r>
          </w:p>
        </w:tc>
        <w:tc>
          <w:tcPr>
            <w:tcW w:w="160" w:type="dxa"/>
            <w:vAlign w:val="bottom"/>
          </w:tcPr>
          <w:p>
            <w:pPr>
              <w:spacing w:after="0"/>
              <w:rPr>
                <w:sz w:val="12"/>
                <w:szCs w:val="12"/>
                <w:color w:val="auto"/>
              </w:rPr>
            </w:pP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Acquired(a)</w:t>
            </w:r>
          </w:p>
        </w:tc>
        <w:tc>
          <w:tcPr>
            <w:tcW w:w="9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Impaired (b)</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6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140"/>
              <w:spacing w:after="0" w:line="13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w w:val="83"/>
              </w:rPr>
              <w:t>$ 17,511,052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62,479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23,490</w:t>
            </w:r>
          </w:p>
        </w:tc>
        <w:tc>
          <w:tcPr>
            <w:tcW w:w="16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10,587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17,437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151,908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$ 17,776,953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21,759,997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118,249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54,995</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132,962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193,859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22,273,173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builder and developer</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757,311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23,909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187,764</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181,865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2,379,953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9,572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68,971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36,812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9,811,956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337,969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45,124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36,769</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249,314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Residential Alt-A</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331,021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95,808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6,199,591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20,318</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58,071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2,442,502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25,107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2,661,432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1,798</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20,432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2,729,106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$ 63,854,815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730,901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358,397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166,554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447,114</w:t>
            </w:r>
          </w:p>
        </w:tc>
        <w:tc>
          <w:tcPr>
            <w:tcW w:w="2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1,013,176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$ 66,570,957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$ 15,493,803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23,762</w:t>
            </w:r>
          </w:p>
        </w:tc>
        <w:tc>
          <w:tcPr>
            <w:tcW w:w="2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163,598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$ 15,734,436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19,658,761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172,641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54,148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192,804</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171,111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20,259,448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845,680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21,116</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297,005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281,576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2,393,304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23,582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78,105</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106,325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6,626,182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256,017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250,472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37,982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172,681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7,400,075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383,834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105,179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6,570,675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15,409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4,635</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47,150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Automobile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2,644,330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26,835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2,720,108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2,551,225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23,126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2,625,797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3"/>
              </w:rPr>
              <w:t>$ 57,167,794</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725,654</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287,876</w:t>
            </w:r>
          </w:p>
        </w:tc>
        <w:tc>
          <w:tcPr>
            <w:tcW w:w="16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163,738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653,362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1,097,581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$ 60,096,005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113" w:lineRule="exact"/>
        <w:rPr>
          <w:rFonts w:ascii="Arial" w:cs="Arial" w:eastAsia="Arial" w:hAnsi="Arial"/>
          <w:sz w:val="16"/>
          <w:szCs w:val="16"/>
          <w:i w:val="1"/>
          <w:iCs w:val="1"/>
          <w:color w:val="auto"/>
        </w:rPr>
      </w:pPr>
    </w:p>
    <w:p>
      <w:pPr>
        <w:ind w:left="460" w:hanging="452"/>
        <w:spacing w:after="0"/>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90" w:lineRule="exact"/>
        <w:rPr>
          <w:sz w:val="20"/>
          <w:szCs w:val="20"/>
          <w:color w:val="auto"/>
        </w:rPr>
      </w:pPr>
    </w:p>
    <w:p>
      <w:pPr>
        <w:jc w:val="both"/>
        <w:ind w:right="20" w:firstLine="685"/>
        <w:spacing w:after="0" w:line="259" w:lineRule="auto"/>
        <w:rPr>
          <w:sz w:val="20"/>
          <w:szCs w:val="20"/>
          <w:color w:val="auto"/>
        </w:rPr>
      </w:pPr>
      <w:r>
        <w:rPr>
          <w:rFonts w:ascii="Arial" w:cs="Arial" w:eastAsia="Arial" w:hAnsi="Arial"/>
          <w:sz w:val="18"/>
          <w:szCs w:val="18"/>
          <w:color w:val="auto"/>
        </w:rPr>
        <w:t>If nonaccrual and renegotiated loans had been accruing interest at their originally contracted terms, interest income on such loans would have amounted to $69,054,000 in 2012, $80,278,000 in 2011 and $90,351,000 in 2010. The actual amounts included in interest income during 2012, 2011 and 2010 on such loans were $30,484,000, $31,301,000 and $40,139,000, respectively.</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6"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7"/>
              </w:rPr>
              <w:t>Pre-</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modifica-</w:t>
            </w:r>
          </w:p>
        </w:tc>
        <w:tc>
          <w:tcPr>
            <w:tcW w:w="5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modifica-</w:t>
            </w:r>
          </w:p>
        </w:tc>
        <w:tc>
          <w:tcPr>
            <w:tcW w:w="100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22,456</w:t>
            </w:r>
          </w:p>
        </w:tc>
        <w:tc>
          <w:tcPr>
            <w:tcW w:w="3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Commercial</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Interest rate reduction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Residential builder and developer</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(2,128)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36,148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79,312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(1,750)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Interest rate reduction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256,681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251,018</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(5,663)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16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95"/>
              </w:rPr>
              <w:t>Pre-</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79"/>
              </w:rPr>
              <w:t>Post-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modifica-</w:t>
            </w:r>
          </w:p>
        </w:tc>
        <w:tc>
          <w:tcPr>
            <w:tcW w:w="52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modifica-</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Number</w:t>
            </w:r>
          </w:p>
        </w:tc>
        <w:tc>
          <w:tcPr>
            <w:tcW w:w="100" w:type="dxa"/>
            <w:vAlign w:val="bottom"/>
          </w:tcPr>
          <w:p>
            <w:pPr>
              <w:spacing w:after="0"/>
              <w:rPr>
                <w:sz w:val="14"/>
                <w:szCs w:val="14"/>
                <w:color w:val="auto"/>
              </w:rPr>
            </w:pPr>
          </w:p>
        </w:tc>
        <w:tc>
          <w:tcPr>
            <w:tcW w:w="560" w:type="dxa"/>
            <w:vAlign w:val="bottom"/>
          </w:tcPr>
          <w:p>
            <w:pPr>
              <w:jc w:val="center"/>
              <w:ind w:right="14"/>
              <w:spacing w:after="0"/>
              <w:rPr>
                <w:sz w:val="20"/>
                <w:szCs w:val="20"/>
                <w:color w:val="auto"/>
              </w:rPr>
            </w:pPr>
            <w:r>
              <w:rPr>
                <w:rFonts w:ascii="Arial" w:cs="Arial" w:eastAsia="Arial" w:hAnsi="Arial"/>
                <w:sz w:val="14"/>
                <w:szCs w:val="14"/>
                <w:b w:val="1"/>
                <w:bCs w:val="1"/>
                <w:color w:val="auto"/>
                <w:w w:val="85"/>
              </w:rPr>
              <w:t>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10,778</w:t>
            </w:r>
          </w:p>
        </w:tc>
        <w:tc>
          <w:tcPr>
            <w:tcW w:w="40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118,114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110,156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65,813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60,973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332,160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313,827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(18,333)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685"/>
        <w:spacing w:after="0" w:line="251"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December 31, 2012 and 2011 and for which there was a subsequent payment default during the respective period were not material.</w:t>
      </w:r>
    </w:p>
    <w:p>
      <w:pPr>
        <w:spacing w:after="0" w:line="4"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Borrowings by directors and certain officers of M&amp;T and its banking subsidiaries, and by associates of such persons, exclusive of loans aggregating less than $120,000 amounted to $99,532,000 and $96,523,000 at December 31, 2012 and 2011, respectively. During 2012, new borrowings by such persons amounted to $16,026,000 (including any borrowings of new directors or officers that were outstanding at the time of their election) and repayments and other reductions (including reductions resulting from retirements) were $13,017,000.</w:t>
      </w:r>
    </w:p>
    <w:p>
      <w:pPr>
        <w:spacing w:after="0" w:line="2"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At December 31, 2012, approximately $8.0 billion of commercial loans and leases, $9.6 billion of commercial real estate loans, $5.9 billion of one-to-four family residential real estate loans, $4.2 billion of home equity loans and lines of credit and $3.1 billion of other consumer loans were pledged to secure outstanding borrowings from the FHLB of New York and available lines of credit as described in note 9.</w:t>
      </w:r>
    </w:p>
    <w:p>
      <w:pPr>
        <w:spacing w:after="0" w:line="2" w:lineRule="exact"/>
        <w:rPr>
          <w:sz w:val="20"/>
          <w:szCs w:val="20"/>
          <w:color w:val="auto"/>
        </w:rPr>
      </w:pPr>
    </w:p>
    <w:p>
      <w:pPr>
        <w:ind w:right="640" w:firstLine="685"/>
        <w:spacing w:after="0" w:line="323" w:lineRule="auto"/>
        <w:rPr>
          <w:sz w:val="20"/>
          <w:szCs w:val="20"/>
          <w:color w:val="auto"/>
        </w:rPr>
      </w:pPr>
      <w:r>
        <w:rPr>
          <w:rFonts w:ascii="Arial" w:cs="Arial" w:eastAsia="Arial" w:hAnsi="Arial"/>
          <w:sz w:val="16"/>
          <w:szCs w:val="16"/>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right"/>
              <w:ind w:right="5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Direct financings: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payments receivable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1,106,434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1,137,310</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96,468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96,479</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(134,428)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(153,704)</w:t>
            </w:r>
          </w:p>
        </w:tc>
      </w:tr>
      <w:tr>
        <w:trPr>
          <w:trHeight w:val="222"/>
        </w:trPr>
        <w:tc>
          <w:tcPr>
            <w:tcW w:w="6420" w:type="dxa"/>
            <w:vAlign w:val="bottom"/>
          </w:tcPr>
          <w:p>
            <w:pPr>
              <w:ind w:left="660"/>
              <w:spacing w:after="0"/>
              <w:rPr>
                <w:sz w:val="20"/>
                <w:szCs w:val="20"/>
                <w:color w:val="auto"/>
              </w:rPr>
            </w:pPr>
            <w:r>
              <w:rPr>
                <w:rFonts w:ascii="Arial" w:cs="Arial" w:eastAsia="Arial" w:hAnsi="Arial"/>
                <w:sz w:val="18"/>
                <w:szCs w:val="18"/>
                <w:color w:val="auto"/>
              </w:rPr>
              <w:t>Investment in direct financings</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1,068,474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1,080,085</w:t>
            </w:r>
          </w:p>
        </w:tc>
        <w:tc>
          <w:tcPr>
            <w:tcW w:w="120" w:type="dxa"/>
            <w:vAlign w:val="bottom"/>
          </w:tcPr>
          <w:p>
            <w:pPr>
              <w:spacing w:after="0"/>
              <w:rPr>
                <w:sz w:val="19"/>
                <w:szCs w:val="19"/>
                <w:color w:val="auto"/>
              </w:rPr>
            </w:pPr>
          </w:p>
        </w:tc>
      </w:tr>
      <w:tr>
        <w:trPr>
          <w:trHeight w:val="217"/>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Leveraged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Lease payments receivable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132,466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154,551</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137,570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144,275</w:t>
            </w:r>
          </w:p>
        </w:tc>
        <w:tc>
          <w:tcPr>
            <w:tcW w:w="120" w:type="dxa"/>
            <w:vAlign w:val="bottom"/>
            <w:shd w:val="clear" w:color="auto" w:fill="CCEEFF"/>
          </w:tcPr>
          <w:p>
            <w:pPr>
              <w:spacing w:after="0"/>
              <w:rPr>
                <w:sz w:val="18"/>
                <w:szCs w:val="18"/>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(50,378)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(53,847)</w:t>
            </w:r>
          </w:p>
        </w:tc>
      </w:tr>
      <w:tr>
        <w:trPr>
          <w:trHeight w:val="216"/>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 in leveraged leases</w:t>
            </w: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244,979</w:t>
            </w:r>
          </w:p>
        </w:tc>
        <w:tc>
          <w:tcPr>
            <w:tcW w:w="12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investment in leases.</w:t>
            </w:r>
          </w:p>
        </w:tc>
        <w:tc>
          <w:tcPr>
            <w:tcW w:w="2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1,288,132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1,325,064</w:t>
            </w:r>
          </w:p>
        </w:tc>
        <w:tc>
          <w:tcPr>
            <w:tcW w:w="1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payable arising from leveraged leases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172,026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180,731</w:t>
            </w:r>
          </w:p>
        </w:tc>
        <w:tc>
          <w:tcPr>
            <w:tcW w:w="12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right="60" w:firstLine="685"/>
        <w:spacing w:after="0" w:line="298" w:lineRule="auto"/>
        <w:rPr>
          <w:sz w:val="20"/>
          <w:szCs w:val="20"/>
          <w:color w:val="auto"/>
        </w:rPr>
      </w:pPr>
      <w:r>
        <w:rPr>
          <w:rFonts w:ascii="Arial" w:cs="Arial" w:eastAsia="Arial" w:hAnsi="Arial"/>
          <w:sz w:val="16"/>
          <w:szCs w:val="16"/>
          <w:color w:val="auto"/>
        </w:rPr>
        <w:t>Included within the estimated residual value of leased assets at December 31, 2012 and 2011 were $54 million and $52 million, respectively, in residual value associated with direct financing leases that are guaranteed by the lessees. The Company is indemnified from loss by AIB on a portion of leveraged leases obtained in the acquisition of a former subsidiary of AIB on April 1, 2003. Amounts in the leveraged lease section of the table subject to such indemnification included estimated residual value of leased assets of $7 million and $13 million as of December 31, 2012 and 2011,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2012, the minimum future lease payments to be received from lease financings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10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279,758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85,699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Later years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5"/>
          </w:tcPr>
          <w:p>
            <w:pPr>
              <w:jc w:val="right"/>
              <w:ind w:right="20"/>
              <w:spacing w:after="0"/>
              <w:rPr>
                <w:sz w:val="20"/>
                <w:szCs w:val="20"/>
                <w:color w:val="auto"/>
              </w:rPr>
            </w:pPr>
            <w:r>
              <w:rPr>
                <w:rFonts w:ascii="Arial" w:cs="Arial" w:eastAsia="Arial" w:hAnsi="Arial"/>
                <w:sz w:val="18"/>
                <w:szCs w:val="18"/>
                <w:color w:val="auto"/>
              </w:rPr>
              <w:t>$ 1,238,900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Allowance for credit losses</w:t>
            </w: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0" w:type="dxa"/>
            <w:vAlign w:val="bottom"/>
            <w:gridSpan w:val="13"/>
          </w:tcPr>
          <w:p>
            <w:pPr>
              <w:spacing w:after="0"/>
              <w:rPr>
                <w:sz w:val="20"/>
                <w:szCs w:val="20"/>
                <w:color w:val="auto"/>
              </w:rPr>
            </w:pPr>
            <w:r>
              <w:rPr>
                <w:rFonts w:ascii="Arial" w:cs="Arial" w:eastAsia="Arial" w:hAnsi="Arial"/>
                <w:sz w:val="18"/>
                <w:szCs w:val="18"/>
                <w:color w:val="auto"/>
                <w:w w:val="97"/>
              </w:rPr>
              <w:t>Changes in the allowance for credit losses for the years ended December 31, 2012, 2011 and 2010 were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460" w:type="dxa"/>
            <w:vAlign w:val="bottom"/>
            <w:gridSpan w:val="5"/>
            <w:vMerge w:val="restart"/>
          </w:tcPr>
          <w:p>
            <w:pPr>
              <w:jc w:val="right"/>
              <w:ind w:right="1180"/>
              <w:spacing w:after="0"/>
              <w:rPr>
                <w:sz w:val="20"/>
                <w:szCs w:val="20"/>
                <w:color w:val="auto"/>
              </w:rPr>
            </w:pPr>
            <w:r>
              <w:rPr>
                <w:rFonts w:ascii="Arial" w:cs="Arial" w:eastAsia="Arial" w:hAnsi="Arial"/>
                <w:sz w:val="14"/>
                <w:szCs w:val="14"/>
                <w:b w:val="1"/>
                <w:bCs w:val="1"/>
                <w:color w:val="auto"/>
              </w:rPr>
              <w:t>Real Estate</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Financial,</w:t>
            </w:r>
          </w:p>
        </w:tc>
        <w:tc>
          <w:tcPr>
            <w:tcW w:w="2460" w:type="dxa"/>
            <w:vAlign w:val="bottom"/>
            <w:gridSpan w:val="5"/>
            <w:vMerge w:val="continue"/>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2012</w:t>
            </w:r>
          </w:p>
        </w:tc>
        <w:tc>
          <w:tcPr>
            <w:tcW w:w="1300" w:type="dxa"/>
            <w:vAlign w:val="bottom"/>
            <w:gridSpan w:val="3"/>
            <w:vMerge w:val="continue"/>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4220" w:type="dxa"/>
            <w:vAlign w:val="bottom"/>
            <w:gridSpan w:val="3"/>
            <w:vMerge w:val="continue"/>
          </w:tcPr>
          <w:p>
            <w:pPr>
              <w:spacing w:after="0"/>
              <w:rPr>
                <w:sz w:val="13"/>
                <w:szCs w:val="13"/>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Leasing, etc.</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Commercial</w:t>
            </w:r>
          </w:p>
        </w:tc>
        <w:tc>
          <w:tcPr>
            <w:tcW w:w="240" w:type="dxa"/>
            <w:vAlign w:val="bottom"/>
          </w:tcPr>
          <w:p>
            <w:pPr>
              <w:spacing w:after="0"/>
              <w:rPr>
                <w:sz w:val="13"/>
                <w:szCs w:val="13"/>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Residential</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Consumer</w:t>
            </w:r>
          </w:p>
        </w:tc>
        <w:tc>
          <w:tcPr>
            <w:tcW w:w="240" w:type="dxa"/>
            <w:vAlign w:val="bottom"/>
          </w:tcPr>
          <w:p>
            <w:pPr>
              <w:spacing w:after="0"/>
              <w:rPr>
                <w:sz w:val="13"/>
                <w:szCs w:val="13"/>
                <w:color w:val="auto"/>
              </w:rPr>
            </w:pPr>
          </w:p>
        </w:tc>
        <w:tc>
          <w:tcPr>
            <w:tcW w:w="13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Unallocated</w:t>
            </w:r>
          </w:p>
        </w:tc>
        <w:tc>
          <w:tcPr>
            <w:tcW w:w="8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820"/>
              <w:spacing w:after="0" w:line="14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234,022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$ 367,637</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$ 91,915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$ 143,121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71,595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$ 908,290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42,510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5,211</w:t>
            </w:r>
          </w:p>
        </w:tc>
        <w:tc>
          <w:tcPr>
            <w:tcW w:w="30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34,864</w:t>
            </w:r>
          </w:p>
        </w:tc>
        <w:tc>
          <w:tcPr>
            <w:tcW w:w="720" w:type="dxa"/>
            <w:vAlign w:val="bottom"/>
          </w:tcPr>
          <w:p>
            <w:pPr>
              <w:jc w:val="right"/>
              <w:spacing w:after="0"/>
              <w:rPr>
                <w:sz w:val="20"/>
                <w:szCs w:val="20"/>
                <w:color w:val="auto"/>
              </w:rPr>
            </w:pPr>
            <w:r>
              <w:rPr>
                <w:rFonts w:ascii="Arial" w:cs="Arial" w:eastAsia="Arial" w:hAnsi="Arial"/>
                <w:sz w:val="18"/>
                <w:szCs w:val="18"/>
                <w:color w:val="auto"/>
              </w:rPr>
              <w:t>119,235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(41,148)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(41,945)</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(44,314)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(103,348)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(29,773)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(35,747)</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(37,972)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(82,938)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246,759</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$ 337,101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$ 88,807</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$ 179,418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73,775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$ 925,860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2011</w:t>
            </w: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gridSpan w:val="2"/>
            <w:vMerge w:val="continue"/>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212,579</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$ 400,562</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$ 86,351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$ 133,067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70,382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$ 902,941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66,240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44,404</w:t>
            </w:r>
          </w:p>
        </w:tc>
        <w:tc>
          <w:tcPr>
            <w:tcW w:w="30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57,081</w:t>
            </w:r>
          </w:p>
        </w:tc>
        <w:tc>
          <w:tcPr>
            <w:tcW w:w="720" w:type="dxa"/>
            <w:vAlign w:val="bottom"/>
          </w:tcPr>
          <w:p>
            <w:pPr>
              <w:jc w:val="right"/>
              <w:spacing w:after="0"/>
              <w:rPr>
                <w:sz w:val="20"/>
                <w:szCs w:val="20"/>
                <w:color w:val="auto"/>
              </w:rPr>
            </w:pPr>
            <w:r>
              <w:rPr>
                <w:rFonts w:ascii="Arial" w:cs="Arial" w:eastAsia="Arial" w:hAnsi="Arial"/>
                <w:sz w:val="18"/>
                <w:szCs w:val="18"/>
                <w:color w:val="auto"/>
              </w:rPr>
              <w:t>101,062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(55,021)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(86,869)</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(58,351)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(109,246)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(309,487)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(44,797)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(77,329)</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(51,517)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(91,008)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234,022</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$ 367,637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$ 91,915</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$ 143,121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71,595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$ 908,290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219,170</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$ 359,770</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$ 91,582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$ 137,124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70,376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$ 878,022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58,438</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159,023</w:t>
            </w:r>
          </w:p>
        </w:tc>
        <w:tc>
          <w:tcPr>
            <w:tcW w:w="30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52,960</w:t>
            </w:r>
          </w:p>
        </w:tc>
        <w:tc>
          <w:tcPr>
            <w:tcW w:w="720" w:type="dxa"/>
            <w:vAlign w:val="bottom"/>
          </w:tcPr>
          <w:p>
            <w:pPr>
              <w:jc w:val="right"/>
              <w:spacing w:after="0"/>
              <w:rPr>
                <w:sz w:val="20"/>
                <w:szCs w:val="20"/>
                <w:color w:val="auto"/>
              </w:rPr>
            </w:pPr>
            <w:r>
              <w:rPr>
                <w:rFonts w:ascii="Arial" w:cs="Arial" w:eastAsia="Arial" w:hAnsi="Arial"/>
                <w:sz w:val="18"/>
                <w:szCs w:val="18"/>
                <w:color w:val="auto"/>
              </w:rPr>
              <w:t>97,573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of loan securitization trust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2,752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(91,650)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(124,087)</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(71,016)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(125,593)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26,621</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10,073</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(65,029)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(118,231)</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(60,943)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(101,630)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(345,833)</w:t>
            </w:r>
          </w:p>
        </w:tc>
        <w:tc>
          <w:tcPr>
            <w:tcW w:w="0" w:type="dxa"/>
            <w:vAlign w:val="bottom"/>
          </w:tcPr>
          <w:p>
            <w:pPr>
              <w:spacing w:after="0"/>
              <w:rPr>
                <w:sz w:val="1"/>
                <w:szCs w:val="1"/>
                <w:color w:val="auto"/>
              </w:rPr>
            </w:pPr>
          </w:p>
        </w:tc>
      </w:tr>
      <w:tr>
        <w:trPr>
          <w:trHeight w:val="222"/>
        </w:trPr>
        <w:tc>
          <w:tcPr>
            <w:tcW w:w="42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212,579</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$ 400,562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$ 86,351</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$ 133,067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70,382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$ 902,941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loan or lease type.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685"/>
        <w:spacing w:after="0" w:line="268"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December 31, 2012 and 2011 and for the years ended December 31, 2012, 2011 and 2010.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0"/>
              </w:rPr>
              <w:t>December 31, 2012</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1"/>
              </w:rPr>
              <w:t>December 31, 2011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2"/>
              </w:rPr>
              <w:t>Unpaid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Unpaid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Recorded</w:t>
            </w:r>
          </w:p>
        </w:tc>
        <w:tc>
          <w:tcPr>
            <w:tcW w:w="4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Principal</w:t>
            </w: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6"/>
              </w:rPr>
              <w:t>Related</w:t>
            </w:r>
          </w:p>
        </w:tc>
        <w:tc>
          <w:tcPr>
            <w:tcW w:w="40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Recorded</w:t>
            </w:r>
          </w:p>
        </w:tc>
        <w:tc>
          <w:tcPr>
            <w:tcW w:w="40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Principal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Investment</w:t>
            </w:r>
          </w:p>
        </w:tc>
        <w:tc>
          <w:tcPr>
            <w:tcW w:w="40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Balance</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6"/>
              </w:rPr>
              <w:t>Allowance</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Investment</w:t>
            </w:r>
          </w:p>
        </w:tc>
        <w:tc>
          <w:tcPr>
            <w:tcW w:w="4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 an allowance recorded:</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760" w:type="dxa"/>
            <w:vAlign w:val="bottom"/>
            <w:gridSpan w:val="2"/>
          </w:tcPr>
          <w:p>
            <w:pPr>
              <w:ind w:left="16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127,282</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149,534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33,829</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118,538</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145,510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48,674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121,542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143,846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23,641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102,886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128,456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17,651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115,306</w:t>
            </w: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216,218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159,293</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280,869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73,544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76,869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6,836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20,234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24,639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103,451</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121,819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101,882</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119,498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128,891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141,940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150,396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162,978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12,360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13,567</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2,254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9,385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10,670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49,210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49,210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14,273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14,408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14,408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5,667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745,994</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927,411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132,682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724,725</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934,731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With no related allowance recorded:</w:t>
            </w:r>
          </w:p>
        </w:tc>
        <w:tc>
          <w:tcPr>
            <w:tcW w:w="1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32,631</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42,199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53,104</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60,778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Real estate:</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78,380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100,337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71,636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91,118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74,307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105,438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133,156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177,277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23,018</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23,532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86,652</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89,862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86,342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96,448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19,686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25,625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31,354</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58,768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34,356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60,942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326,032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426,722</w:t>
            </w: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398,590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505,602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760" w:type="dxa"/>
            <w:vAlign w:val="bottom"/>
            <w:gridSpan w:val="2"/>
          </w:tcPr>
          <w:p>
            <w:pPr>
              <w:ind w:left="16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159,913</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191,733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33,829</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171,642</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206,288</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48,674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199,922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244,183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23,641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174,522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219,574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17,651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189,613</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321,656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292,449</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458,146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96,562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100,401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6,836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106,886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114,501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189,793</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218,267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121,568</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145,123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160,245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200,708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184,752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223,920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12,360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13,567</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2,254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9,385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10,670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49,210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49,210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14,273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14,408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14,408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5,667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60" w:type="dxa"/>
            <w:vAlign w:val="bottom"/>
            <w:gridSpan w:val="2"/>
            <w:shd w:val="clear" w:color="auto" w:fill="CCEEFF"/>
          </w:tcPr>
          <w:p>
            <w:pPr>
              <w:ind w:left="16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1,072,026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1,354,133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132,682</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1,123,315</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3"/>
              </w:rPr>
              <w:t>1,440,333</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88"/>
              </w:rPr>
              <w:t>December 31, 2012</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4"/>
          </w:tcPr>
          <w:p>
            <w:pPr>
              <w:jc w:val="right"/>
              <w:ind w:right="297"/>
              <w:spacing w:after="0" w:line="129" w:lineRule="exact"/>
              <w:rPr>
                <w:sz w:val="20"/>
                <w:szCs w:val="20"/>
                <w:color w:val="auto"/>
              </w:rPr>
            </w:pPr>
            <w:r>
              <w:rPr>
                <w:rFonts w:ascii="Arial" w:cs="Arial" w:eastAsia="Arial" w:hAnsi="Arial"/>
                <w:sz w:val="14"/>
                <w:szCs w:val="14"/>
                <w:b w:val="1"/>
                <w:bCs w:val="1"/>
                <w:color w:val="auto"/>
              </w:rPr>
              <w:t>Interest Income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5"/>
          </w:tcPr>
          <w:p>
            <w:pPr>
              <w:jc w:val="right"/>
              <w:ind w:right="314"/>
              <w:spacing w:after="0" w:line="129" w:lineRule="exact"/>
              <w:rPr>
                <w:sz w:val="20"/>
                <w:szCs w:val="20"/>
                <w:color w:val="auto"/>
              </w:rPr>
            </w:pPr>
            <w:r>
              <w:rPr>
                <w:rFonts w:ascii="Arial" w:cs="Arial" w:eastAsia="Arial" w:hAnsi="Arial"/>
                <w:sz w:val="14"/>
                <w:szCs w:val="14"/>
                <w:b w:val="1"/>
                <w:bCs w:val="1"/>
                <w:color w:val="auto"/>
              </w:rPr>
              <w:t>Interest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Recognized</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Recognized</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Recorded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3"/>
              </w:rPr>
              <w:t>Cash</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Recorded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94"/>
              <w:spacing w:after="0" w:line="129" w:lineRule="exact"/>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Investment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Investment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Basis</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6"/>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151,314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163,485</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189,837</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249,191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317,296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105,947</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132,888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99,107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4,271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7,175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196,161</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11,428</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51,650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56,862</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1,063,782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29,419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18,520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1,145,129</w:t>
            </w:r>
          </w:p>
        </w:tc>
        <w:tc>
          <w:tcPr>
            <w:tcW w:w="40" w:type="dxa"/>
            <w:vAlign w:val="bottom"/>
          </w:tcPr>
          <w:p>
            <w:pPr>
              <w:spacing w:after="0"/>
              <w:rPr>
                <w:sz w:val="19"/>
                <w:szCs w:val="19"/>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8"/>
                <w:szCs w:val="18"/>
                <w:color w:val="auto"/>
              </w:rPr>
              <w:t>$ 25,028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8"/>
              </w:rPr>
              <w:t>$ 12,313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7"/>
              </w:rPr>
              <w:t>December 31,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Recognized</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Recorded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Investment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4,834</w:t>
            </w: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1,983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252,229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3,028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8,397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3,684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1,149,341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25,046</w:t>
            </w:r>
          </w:p>
        </w:tc>
        <w:tc>
          <w:tcPr>
            <w:tcW w:w="4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12,649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685"/>
        <w:spacing w:after="0" w:line="291" w:lineRule="auto"/>
        <w:rPr>
          <w:sz w:val="20"/>
          <w:szCs w:val="20"/>
          <w:color w:val="auto"/>
        </w:rPr>
      </w:pPr>
      <w:r>
        <w:rPr>
          <w:rFonts w:ascii="Arial" w:cs="Arial" w:eastAsia="Arial" w:hAnsi="Arial"/>
          <w:sz w:val="16"/>
          <w:szCs w:val="16"/>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Commercial,</w:t>
            </w: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Real Estate</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Residential</w:t>
            </w:r>
          </w:p>
        </w:tc>
        <w:tc>
          <w:tcPr>
            <w:tcW w:w="54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Financial,</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Builder and</w:t>
            </w:r>
          </w:p>
        </w:tc>
        <w:tc>
          <w:tcPr>
            <w:tcW w:w="5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Commercial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Leasing, etc</w:t>
            </w:r>
          </w:p>
        </w:tc>
        <w:tc>
          <w:tcPr>
            <w:tcW w:w="54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Developer</w:t>
            </w:r>
          </w:p>
        </w:tc>
        <w:tc>
          <w:tcPr>
            <w:tcW w:w="5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$ 16,889,753</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$ 21,275,182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922,141</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$ 2,307,436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735,292</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804,132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151,908</w:t>
            </w:r>
          </w:p>
        </w:tc>
        <w:tc>
          <w:tcPr>
            <w:tcW w:w="5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193,859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181,865</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36,812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$ 17,776,953</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$ 22,273,173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1,189,526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$ 2,531,091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$ 14,869,636</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$ 19,089,252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1,085,970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$ 2,254,609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701,202</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999,085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140,787</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282,399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163,598</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171,111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106,325</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$ 15,734,436</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$ 20,259,448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1,508,333</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$ 2,643,333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the original balance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5" w:lineRule="exact"/>
        <w:rPr>
          <w:sz w:val="20"/>
          <w:szCs w:val="20"/>
          <w:color w:val="auto"/>
        </w:rPr>
      </w:pPr>
    </w:p>
    <w:p>
      <w:pPr>
        <w:ind w:right="80" w:firstLine="685"/>
        <w:spacing w:after="0" w:line="286"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Commercial,</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76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w w:val="95"/>
              </w:rPr>
              <w:t>Financial,</w:t>
            </w: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Leasing, etc.</w:t>
            </w:r>
          </w:p>
        </w:tc>
        <w:tc>
          <w:tcPr>
            <w:tcW w:w="4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Residential</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Consumer</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33,669</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55,291</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$ 20,502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22,194</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$131,656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212,930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280,789</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66,684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156,661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Purchased impaired</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246,759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337,101</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$ 88,807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179,418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852,085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73,775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925,860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71,784</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$ 29,420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185,048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291,271</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60,742</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126,613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663,674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234,022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367,637</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$ 91,915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143,121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908,290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5"/>
          </w:tcPr>
          <w:p>
            <w:pPr>
              <w:ind w:left="8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vMerge w:val="restart"/>
          </w:tcPr>
          <w:p>
            <w:pPr>
              <w:jc w:val="right"/>
              <w:ind w:right="92"/>
              <w:spacing w:after="0"/>
              <w:rPr>
                <w:sz w:val="20"/>
                <w:szCs w:val="20"/>
                <w:color w:val="auto"/>
              </w:rPr>
            </w:pPr>
            <w:r>
              <w:rPr>
                <w:rFonts w:ascii="Arial" w:cs="Arial" w:eastAsia="Arial" w:hAnsi="Arial"/>
                <w:sz w:val="14"/>
                <w:szCs w:val="14"/>
                <w:b w:val="1"/>
                <w:bCs w:val="1"/>
                <w:color w:val="auto"/>
              </w:rPr>
              <w:t>Real Estate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Financial,</w:t>
            </w: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5"/>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5"/>
          </w:tcPr>
          <w:p>
            <w:pPr>
              <w:ind w:left="100"/>
              <w:spacing w:after="0"/>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8"/>
              </w:rPr>
              <w:t>Residential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Consumer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159,761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480,335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349,477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75,978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17,599,755</w:t>
            </w:r>
          </w:p>
        </w:tc>
        <w:tc>
          <w:tcPr>
            <w:tcW w:w="4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25,123,758</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10,854,591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11,480,188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65,058,292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Purchased impaired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389,697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36,769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$ 17,776,953</w:t>
            </w:r>
          </w:p>
        </w:tc>
        <w:tc>
          <w:tcPr>
            <w:tcW w:w="4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$ 25,993,790</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$ 11,240,837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11,559,377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66,570,957</w:t>
            </w: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120" w:type="dxa"/>
            <w:vAlign w:val="bottom"/>
            <w:gridSpan w:val="3"/>
          </w:tcPr>
          <w:p>
            <w:pPr>
              <w:ind w:left="100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171,442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561,615</w:t>
            </w:r>
          </w:p>
        </w:tc>
        <w:tc>
          <w:tcPr>
            <w:tcW w:w="4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306,320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71,496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15,539,232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23,281,585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7"/>
              </w:rPr>
              <w:t>7,560,104</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11,950,849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58,331,770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Purchased impaired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23,762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567,914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56,741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653,362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$ 15,734,436</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$ 24,411,114</w:t>
            </w:r>
          </w:p>
        </w:tc>
        <w:tc>
          <w:tcPr>
            <w:tcW w:w="4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w w:val="96"/>
              </w:rPr>
              <w:t>$ 7,923,165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12,027,290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60,096,005</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130</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detail of premises and equipment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9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86,120</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Buildings — owned</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393,527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365,087</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Buildings — capital leases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198,498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198,379</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 owned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436,203</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Furniture and equipment — capital leases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1,160,729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1,096,327</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Owned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512,399</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Capital leases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566,077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514,892</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594,652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581,435</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685"/>
        <w:spacing w:after="0" w:line="332" w:lineRule="auto"/>
        <w:rPr>
          <w:sz w:val="20"/>
          <w:szCs w:val="20"/>
          <w:color w:val="auto"/>
        </w:rPr>
      </w:pPr>
      <w:r>
        <w:rPr>
          <w:rFonts w:ascii="Arial" w:cs="Arial" w:eastAsia="Arial" w:hAnsi="Arial"/>
          <w:sz w:val="16"/>
          <w:szCs w:val="16"/>
          <w:color w:val="auto"/>
        </w:rPr>
        <w:t>Net lease expense for all operating leases totaled $102,924,000 in 2012, $97,098,000 in 2011 and $94,646,000 in 2010. Minimum lease payments under noncancelable operating leases are presented in note 21. Minimum lease payments required under capital leases are not material.</w:t>
      </w:r>
    </w:p>
    <w:p>
      <w:pPr>
        <w:spacing w:after="0" w:line="79"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servicing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capitalized servicing assets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Small-Balance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2340" w:type="dxa"/>
            <w:vAlign w:val="bottom"/>
            <w:gridSpan w:val="8"/>
          </w:tcPr>
          <w:p>
            <w:pPr>
              <w:jc w:val="right"/>
              <w:spacing w:after="0"/>
              <w:rPr>
                <w:sz w:val="20"/>
                <w:szCs w:val="20"/>
                <w:color w:val="auto"/>
              </w:rPr>
            </w:pPr>
            <w:r>
              <w:rPr>
                <w:rFonts w:ascii="Arial" w:cs="Arial" w:eastAsia="Arial" w:hAnsi="Arial"/>
                <w:sz w:val="14"/>
                <w:szCs w:val="14"/>
                <w:b w:val="1"/>
                <w:bCs w:val="1"/>
                <w:color w:val="auto"/>
              </w:rPr>
              <w:t>Residential Mortgage Loans</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Commercial Mortgage Loans</w:t>
            </w:r>
          </w:p>
        </w:tc>
        <w:tc>
          <w:tcPr>
            <w:tcW w:w="0" w:type="dxa"/>
            <w:vAlign w:val="bottom"/>
          </w:tcPr>
          <w:p>
            <w:pPr>
              <w:spacing w:after="0"/>
              <w:rPr>
                <w:sz w:val="1"/>
                <w:szCs w:val="1"/>
                <w:color w:val="auto"/>
              </w:rPr>
            </w:pPr>
          </w:p>
        </w:tc>
      </w:tr>
      <w:tr>
        <w:trPr>
          <w:trHeight w:val="136"/>
        </w:trPr>
        <w:tc>
          <w:tcPr>
            <w:tcW w:w="5180" w:type="dxa"/>
            <w:vAlign w:val="bottom"/>
            <w:gridSpan w:val="2"/>
            <w:vMerge w:val="continue"/>
          </w:tcPr>
          <w:p>
            <w:pPr>
              <w:spacing w:after="0"/>
              <w:rPr>
                <w:sz w:val="11"/>
                <w:szCs w:val="11"/>
                <w:color w:val="auto"/>
              </w:rPr>
            </w:pPr>
          </w:p>
        </w:tc>
        <w:tc>
          <w:tcPr>
            <w:tcW w:w="6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Borders>
              <w:top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$131,264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101,155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15,678</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$ 26,197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$ 40,251</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14,577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13,920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Consolidation of loan securitization trusts (note 19)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(36,364)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(35,269)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(7,535)</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(10,519)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(14,054)</w:t>
            </w: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131,264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92,066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Ending balance, net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100,355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129,464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92,066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$ 15,678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20" w:type="dxa"/>
            <w:vAlign w:val="bottom"/>
          </w:tcPr>
          <w:p>
            <w:pPr>
              <w:spacing w:after="0"/>
              <w:rPr>
                <w:sz w:val="14"/>
                <w:szCs w:val="14"/>
                <w:color w:val="auto"/>
              </w:rPr>
            </w:pPr>
          </w:p>
        </w:tc>
        <w:tc>
          <w:tcPr>
            <w:tcW w:w="31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Commercial Mortgage Loans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1"/>
                <w:szCs w:val="11"/>
                <w:color w:val="auto"/>
              </w:rPr>
            </w:pPr>
          </w:p>
        </w:tc>
        <w:tc>
          <w:tcPr>
            <w:tcW w:w="6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Borders>
              <w:top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jc w:val="right"/>
              <w:ind w:right="820"/>
              <w:spacing w:after="0" w:line="149"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$ 51,250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$42,613</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$32,896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$198,192</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$160,876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$174,302</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19,653</w:t>
            </w:r>
          </w:p>
        </w:tc>
        <w:tc>
          <w:tcPr>
            <w:tcW w:w="4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17,613</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16,976</w:t>
            </w:r>
          </w:p>
        </w:tc>
        <w:tc>
          <w:tcPr>
            <w:tcW w:w="680" w:type="dxa"/>
            <w:vAlign w:val="bottom"/>
          </w:tcPr>
          <w:p>
            <w:pPr>
              <w:jc w:val="right"/>
              <w:spacing w:after="0"/>
              <w:rPr>
                <w:sz w:val="20"/>
                <w:szCs w:val="20"/>
                <w:color w:val="auto"/>
              </w:rPr>
            </w:pPr>
            <w:r>
              <w:rPr>
                <w:rFonts w:ascii="Arial" w:cs="Arial" w:eastAsia="Arial" w:hAnsi="Arial"/>
                <w:sz w:val="18"/>
                <w:szCs w:val="18"/>
                <w:color w:val="auto"/>
              </w:rPr>
              <w:t>34,230</w:t>
            </w:r>
          </w:p>
        </w:tc>
        <w:tc>
          <w:tcPr>
            <w:tcW w:w="4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31,533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44,406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61,642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Consolidation of loan securitization trusts (note 19)</w:t>
            </w:r>
          </w:p>
        </w:tc>
        <w:tc>
          <w:tcPr>
            <w:tcW w:w="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(10,925)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(8,976)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(7,259)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(59,555)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(55,859)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(56,582)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59,978</w:t>
            </w:r>
          </w:p>
        </w:tc>
        <w:tc>
          <w:tcPr>
            <w:tcW w:w="4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51,250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42,613</w:t>
            </w:r>
          </w:p>
        </w:tc>
        <w:tc>
          <w:tcPr>
            <w:tcW w:w="680" w:type="dxa"/>
            <w:vAlign w:val="bottom"/>
          </w:tcPr>
          <w:p>
            <w:pPr>
              <w:jc w:val="right"/>
              <w:spacing w:after="0"/>
              <w:rPr>
                <w:sz w:val="20"/>
                <w:szCs w:val="20"/>
                <w:color w:val="auto"/>
              </w:rPr>
            </w:pPr>
            <w:r>
              <w:rPr>
                <w:rFonts w:ascii="Arial" w:cs="Arial" w:eastAsia="Arial" w:hAnsi="Arial"/>
                <w:sz w:val="18"/>
                <w:szCs w:val="18"/>
                <w:color w:val="auto"/>
              </w:rPr>
              <w:t>172,976</w:t>
            </w:r>
          </w:p>
        </w:tc>
        <w:tc>
          <w:tcPr>
            <w:tcW w:w="4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198,192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160,876</w:t>
            </w:r>
          </w:p>
        </w:tc>
        <w:tc>
          <w:tcPr>
            <w:tcW w:w="0" w:type="dxa"/>
            <w:vAlign w:val="bottom"/>
          </w:tcPr>
          <w:p>
            <w:pPr>
              <w:spacing w:after="0"/>
              <w:rPr>
                <w:sz w:val="1"/>
                <w:szCs w:val="1"/>
                <w:color w:val="auto"/>
              </w:rPr>
            </w:pPr>
          </w:p>
        </w:tc>
      </w:tr>
      <w:tr>
        <w:trPr>
          <w:trHeight w:val="218"/>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Ending balance, net</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$ 59,978</w:t>
            </w:r>
          </w:p>
        </w:tc>
        <w:tc>
          <w:tcPr>
            <w:tcW w:w="4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51,250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42,613</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168,476</w:t>
            </w:r>
          </w:p>
        </w:tc>
        <w:tc>
          <w:tcPr>
            <w:tcW w:w="4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196,392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160,876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80" w:firstLine="685"/>
        <w:spacing w:after="0" w:line="252" w:lineRule="auto"/>
        <w:rPr>
          <w:sz w:val="20"/>
          <w:szCs w:val="20"/>
          <w:color w:val="auto"/>
        </w:rPr>
      </w:pPr>
      <w:r>
        <w:rPr>
          <w:rFonts w:ascii="Arial" w:cs="Arial" w:eastAsia="Arial" w:hAnsi="Arial"/>
          <w:sz w:val="18"/>
          <w:szCs w:val="18"/>
          <w:color w:val="auto"/>
        </w:rPr>
        <w:t>Residential mortgage loans serviced for others were $32.1 billion at December 31, 2012, $36.3 billion at December 31, 2011 and $15.9 billion at December 31, 2010. Small-balance commercial mortgage loans serviced for others were $3.8 billion, $4.4 billion and $5.2 billion at December 31, 2012, 2011 and 2010, respectively. Commercial mortgage loans serviced for others were $10.6 billion, $9.0 billion and $8.1 billion at December 31, 2012, 2011 and 2010, respectively.</w:t>
      </w:r>
    </w:p>
    <w:p>
      <w:pPr>
        <w:spacing w:after="0" w:line="1"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Changes in the valuation allowance for capitalized residential mortgage servicing assets were not significant in 2012, 2011 or 2010. The estimated fair value of capitalized residential mortgage loan servicing assets was approximately $138 million at December 31, 2012 and $168 million at December 31, 2011. The fair value of capitalized residential mortgage loan servicing assets was estimated using weighted-average discount rates of 10.6% and 10.4% at December 31, 2012 and 2011, respectively, and contemporaneous prepayment assumptions that vary by loan type. At December 31, 2012 and 2011, the discount rate represented a weighted-average option-adjusted spread (“OAS”) of 929 basis points (hundredths of one percent) and 978 basis points, respectively, over market implied forward London Interbank Offered Rates. The estimated fair value of capitalized small-balance commercial mortgage loan servicing assets was approximately $43 million at December 31, 2012 and $49 million at December 31, 2011. The fair value of capitalized small-balance commercial loan servicing assets was estimated using weighted-average discount rates of 19.4% and 19.2% at December 31, 2012 and 2011, respectively, and contemporaneous prepayment assumptions that vary by loan type. At December 31, 2012 and 2011, the discount rate represented a weighted-average OAS of 1,791 basis points and 1,783 basis points, respectively, over market implied forward London Interbank Offered Rates. The estimated fair value of capitalized residential and small-balance commercial mortgage loan servicing rights may vary significantly in subsequent periods due to changing interest rates and the effect thereof on prepayment speeds. The estimated fair value of capitalized commercial mortgage loan servicing assets was approximately $71 million and $60 million at December 31, 2012 and 2011, respectively. An 18% discount rate was used to estimate the fair value of capitalized commercial mortgage loan servicing rights at December 31, 2012 and 2011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11"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The key economic assumptions used to determine the fair value of capitalized servicing rights at December 31, 2012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any other assumption. In reality, changes in one factor may result in changes in another which may magnify or counteract the sensitivities. The changes in assumptions are presumed to be instantaneous.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Small-Balance</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Residential</w:t>
            </w:r>
          </w:p>
        </w:tc>
        <w:tc>
          <w:tcPr>
            <w:tcW w:w="7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Commercial</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prepayment speeds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19.50%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(8,924,000)</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$(1,814,000)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(16,880,000)</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(3,480,000)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Weighted-average OAS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9.29%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17.91%</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(2,857,000)</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$(1,468,000)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10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(5,577,000)</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(2,832,000)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$(3,078,000)</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(5,940,000)</w:t>
            </w:r>
          </w:p>
        </w:tc>
      </w:tr>
    </w:tbl>
    <w:p>
      <w:pPr>
        <w:spacing w:after="0" w:line="229"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7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42"/>
        </w:trPr>
        <w:tc>
          <w:tcPr>
            <w:tcW w:w="77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$755,794</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670,940</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84,854</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177,268</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146,359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30,909</w:t>
            </w:r>
          </w:p>
        </w:tc>
        <w:tc>
          <w:tcPr>
            <w:tcW w:w="100" w:type="dxa"/>
            <w:vAlign w:val="bottom"/>
            <w:shd w:val="clear" w:color="auto" w:fill="CCEEFF"/>
          </w:tcPr>
          <w:p>
            <w:pPr>
              <w:spacing w:after="0"/>
              <w:rPr>
                <w:sz w:val="18"/>
                <w:szCs w:val="18"/>
                <w:color w:val="auto"/>
              </w:rPr>
            </w:pPr>
          </w:p>
        </w:tc>
      </w:tr>
      <w:tr>
        <w:trPr>
          <w:trHeight w:val="222"/>
        </w:trPr>
        <w:tc>
          <w:tcPr>
            <w:tcW w:w="7780" w:type="dxa"/>
            <w:vAlign w:val="bottom"/>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933,062</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817,299</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115,763</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$755,794</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626,453</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129,341</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177,268</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130,215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100" w:type="dxa"/>
            <w:vAlign w:val="bottom"/>
            <w:shd w:val="clear" w:color="auto" w:fill="CCEEFF"/>
          </w:tcPr>
          <w:p>
            <w:pPr>
              <w:spacing w:after="0"/>
              <w:rPr>
                <w:sz w:val="18"/>
                <w:szCs w:val="18"/>
                <w:color w:val="auto"/>
              </w:rPr>
            </w:pPr>
          </w:p>
        </w:tc>
      </w:tr>
      <w:tr>
        <w:trPr>
          <w:trHeight w:val="222"/>
        </w:trPr>
        <w:tc>
          <w:tcPr>
            <w:tcW w:w="7780" w:type="dxa"/>
            <w:vAlign w:val="bottom"/>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933,062</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756,668</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176,394</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of core deposit and other intangible assets was generally computed using accelerated methods over original amortization periods of five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ten years. The weighted-average original amortization period was approximately eight years. The remaining weighted-average amortization period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was approximately four years. Amortization expense for core deposit and other intangible assets was $60,631,000, $61,617,000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$58,103,000 for the years ended December 31, 2012, 2011 and 2010, respectively. Estimated amortization expense in future years for such intangible assets is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46,912</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33,825</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20,938</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115,763</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In accordance with GAAP, the Company completed annual goodwill impairment tests as of October 1, 2012, 2011 and 2010.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27" w:lineRule="exact"/>
        <w:rPr>
          <w:sz w:val="20"/>
          <w:szCs w:val="20"/>
          <w:color w:val="auto"/>
        </w:rPr>
      </w:pPr>
    </w:p>
    <w:p>
      <w:pPr>
        <w:ind w:right="740" w:firstLine="685"/>
        <w:spacing w:after="0" w:line="268" w:lineRule="auto"/>
        <w:rPr>
          <w:sz w:val="20"/>
          <w:szCs w:val="20"/>
          <w:color w:val="auto"/>
        </w:rPr>
      </w:pPr>
      <w:r>
        <w:rPr>
          <w:rFonts w:ascii="Arial" w:cs="Arial" w:eastAsia="Arial" w:hAnsi="Arial"/>
          <w:sz w:val="18"/>
          <w:szCs w:val="18"/>
          <w:color w:val="auto"/>
        </w:rPr>
        <w:t>A summary of goodwill assigned to each of the Company’s reportable segments as of December 31, 2012 and 2011 for purposes of testing for impairment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428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Commercial Banking</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Retail Banking</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1,144,404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4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4280" w:type="dxa"/>
            <w:vAlign w:val="bottom"/>
            <w:gridSpan w:val="2"/>
          </w:tcPr>
          <w:p>
            <w:pPr>
              <w:ind w:left="4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3,524,625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134</w:t>
            </w:r>
          </w:p>
        </w:tc>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320" w:type="dxa"/>
            <w:vAlign w:val="bottom"/>
            <w:vMerge w:val="continue"/>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Borrowings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interest rates of short-term borrowings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16"/>
              <w:spacing w:after="0"/>
              <w:rPr>
                <w:sz w:val="20"/>
                <w:szCs w:val="20"/>
                <w:color w:val="auto"/>
              </w:rPr>
            </w:pPr>
            <w:r>
              <w:rPr>
                <w:rFonts w:ascii="Arial" w:cs="Arial" w:eastAsia="Arial" w:hAnsi="Arial"/>
                <w:sz w:val="14"/>
                <w:szCs w:val="14"/>
                <w:b w:val="1"/>
                <w:bCs w:val="1"/>
                <w:color w:val="auto"/>
                <w:w w:val="88"/>
              </w:rPr>
              <w:t>Federal</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85"/>
              </w:rPr>
              <w:t>Funds</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7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86"/>
              </w:rPr>
              <w:t>Purchased</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7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88"/>
              </w:rPr>
              <w:t>and</w:t>
            </w:r>
          </w:p>
        </w:tc>
        <w:tc>
          <w:tcPr>
            <w:tcW w:w="540" w:type="dxa"/>
            <w:vAlign w:val="bottom"/>
          </w:tcPr>
          <w:p>
            <w:pPr>
              <w:spacing w:after="0"/>
              <w:rPr>
                <w:sz w:val="12"/>
                <w:szCs w:val="12"/>
                <w:color w:val="auto"/>
              </w:rPr>
            </w:pPr>
          </w:p>
        </w:tc>
        <w:tc>
          <w:tcPr>
            <w:tcW w:w="1080" w:type="dxa"/>
            <w:vAlign w:val="bottom"/>
          </w:tcPr>
          <w:p>
            <w:pPr>
              <w:jc w:val="right"/>
              <w:ind w:right="593"/>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7480" w:type="dxa"/>
            <w:vAlign w:val="bottom"/>
          </w:tcPr>
          <w:p>
            <w:pPr>
              <w:spacing w:after="0"/>
              <w:rPr>
                <w:sz w:val="12"/>
                <w:szCs w:val="12"/>
                <w:color w:val="auto"/>
              </w:rPr>
            </w:pPr>
          </w:p>
        </w:tc>
        <w:tc>
          <w:tcPr>
            <w:tcW w:w="1100" w:type="dxa"/>
            <w:vAlign w:val="bottom"/>
            <w:gridSpan w:val="2"/>
          </w:tcPr>
          <w:p>
            <w:pPr>
              <w:jc w:val="center"/>
              <w:ind w:right="216"/>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2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Short-term</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7480" w:type="dxa"/>
            <w:vAlign w:val="bottom"/>
          </w:tcPr>
          <w:p>
            <w:pPr>
              <w:spacing w:after="0"/>
              <w:rPr>
                <w:sz w:val="14"/>
                <w:szCs w:val="14"/>
                <w:color w:val="auto"/>
              </w:rPr>
            </w:pPr>
          </w:p>
        </w:tc>
        <w:tc>
          <w:tcPr>
            <w:tcW w:w="1100" w:type="dxa"/>
            <w:vAlign w:val="bottom"/>
            <w:gridSpan w:val="2"/>
          </w:tcPr>
          <w:p>
            <w:pPr>
              <w:jc w:val="center"/>
              <w:ind w:right="196"/>
              <w:spacing w:after="0"/>
              <w:rPr>
                <w:sz w:val="20"/>
                <w:szCs w:val="20"/>
                <w:color w:val="auto"/>
              </w:rPr>
            </w:pPr>
            <w:r>
              <w:rPr>
                <w:rFonts w:ascii="Arial" w:cs="Arial" w:eastAsia="Arial" w:hAnsi="Arial"/>
                <w:sz w:val="14"/>
                <w:szCs w:val="14"/>
                <w:b w:val="1"/>
                <w:bCs w:val="1"/>
                <w:color w:val="auto"/>
                <w:w w:val="86"/>
              </w:rPr>
              <w:t>Agreements</w:t>
            </w:r>
          </w:p>
        </w:tc>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rPr>
              <w:t>Borrowings</w:t>
            </w:r>
          </w:p>
        </w:tc>
        <w:tc>
          <w:tcPr>
            <w:tcW w:w="3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42"/>
        </w:trPr>
        <w:tc>
          <w:tcPr>
            <w:tcW w:w="7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6"/>
              <w:spacing w:after="0"/>
              <w:rPr>
                <w:sz w:val="20"/>
                <w:szCs w:val="20"/>
                <w:color w:val="auto"/>
              </w:rPr>
            </w:pPr>
            <w:r>
              <w:rPr>
                <w:rFonts w:ascii="Arial" w:cs="Arial" w:eastAsia="Arial" w:hAnsi="Arial"/>
                <w:sz w:val="18"/>
                <w:szCs w:val="18"/>
                <w:color w:val="auto"/>
                <w:w w:val="84"/>
              </w:rPr>
              <w:t>1,074,482</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1,074,482</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0.11%</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For the year ended December 31, 2012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4"/>
              </w:rPr>
              <w:t>1,224,194</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50,016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100" w:type="dxa"/>
            <w:vAlign w:val="bottom"/>
          </w:tcPr>
          <w:p>
            <w:pPr>
              <w:spacing w:after="0"/>
              <w:rPr>
                <w:sz w:val="18"/>
                <w:szCs w:val="18"/>
                <w:color w:val="auto"/>
              </w:rPr>
            </w:pPr>
          </w:p>
        </w:tc>
        <w:tc>
          <w:tcPr>
            <w:tcW w:w="1000" w:type="dxa"/>
            <w:vAlign w:val="bottom"/>
          </w:tcPr>
          <w:p>
            <w:pPr>
              <w:jc w:val="right"/>
              <w:ind w:right="216"/>
              <w:spacing w:after="0"/>
              <w:rPr>
                <w:sz w:val="20"/>
                <w:szCs w:val="20"/>
                <w:color w:val="auto"/>
              </w:rPr>
            </w:pPr>
            <w:r>
              <w:rPr>
                <w:rFonts w:ascii="Arial" w:cs="Arial" w:eastAsia="Arial" w:hAnsi="Arial"/>
                <w:sz w:val="18"/>
                <w:szCs w:val="18"/>
                <w:color w:val="auto"/>
              </w:rPr>
              <w:t>822,859</w:t>
            </w:r>
          </w:p>
        </w:tc>
        <w:tc>
          <w:tcPr>
            <w:tcW w:w="54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16,043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838,902</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At December 31, 2011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732,059</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50,023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782,082</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10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8"/>
                <w:szCs w:val="18"/>
                <w:color w:val="auto"/>
              </w:rPr>
            </w:pP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0.70%</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Highest amount at a month-end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6"/>
              <w:spacing w:after="0"/>
              <w:rPr>
                <w:sz w:val="20"/>
                <w:szCs w:val="20"/>
                <w:color w:val="auto"/>
              </w:rPr>
            </w:pPr>
            <w:r>
              <w:rPr>
                <w:rFonts w:ascii="Arial" w:cs="Arial" w:eastAsia="Arial" w:hAnsi="Arial"/>
                <w:sz w:val="18"/>
                <w:szCs w:val="18"/>
                <w:color w:val="auto"/>
                <w:w w:val="84"/>
              </w:rPr>
              <w:t>1,389,237</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3"/>
              <w:spacing w:after="0"/>
              <w:rPr>
                <w:sz w:val="20"/>
                <w:szCs w:val="20"/>
                <w:color w:val="auto"/>
              </w:rPr>
            </w:pPr>
            <w:r>
              <w:rPr>
                <w:rFonts w:ascii="Arial" w:cs="Arial" w:eastAsia="Arial" w:hAnsi="Arial"/>
                <w:sz w:val="18"/>
                <w:szCs w:val="18"/>
                <w:color w:val="auto"/>
                <w:w w:val="86"/>
              </w:rPr>
              <w:t>142,927</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Daily-average amount outstanding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706,749</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6"/>
              </w:rPr>
              <w:t>120,059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826,808</w:t>
            </w: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10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0.11%</w:t>
            </w:r>
          </w:p>
        </w:tc>
        <w:tc>
          <w:tcPr>
            <w:tcW w:w="540" w:type="dxa"/>
            <w:vAlign w:val="bottom"/>
          </w:tcPr>
          <w:p>
            <w:pPr>
              <w:spacing w:after="0"/>
              <w:rPr>
                <w:sz w:val="18"/>
                <w:szCs w:val="18"/>
                <w:color w:val="auto"/>
              </w:rPr>
            </w:pP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0.18%</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6"/>
              <w:spacing w:after="0"/>
              <w:rPr>
                <w:sz w:val="20"/>
                <w:szCs w:val="20"/>
                <w:color w:val="auto"/>
              </w:rPr>
            </w:pPr>
            <w:r>
              <w:rPr>
                <w:rFonts w:ascii="Arial" w:cs="Arial" w:eastAsia="Arial" w:hAnsi="Arial"/>
                <w:sz w:val="18"/>
                <w:szCs w:val="18"/>
                <w:color w:val="auto"/>
              </w:rPr>
              <w:t>866,555</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80,877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947,432</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0.19%</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For the year ended December 31, 2010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4"/>
              </w:rPr>
              <w:t>2,612,727</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6"/>
              </w:rPr>
              <w:t>236,842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100" w:type="dxa"/>
            <w:vAlign w:val="bottom"/>
          </w:tcPr>
          <w:p>
            <w:pPr>
              <w:spacing w:after="0"/>
              <w:rPr>
                <w:sz w:val="18"/>
                <w:szCs w:val="18"/>
                <w:color w:val="auto"/>
              </w:rPr>
            </w:pPr>
          </w:p>
        </w:tc>
        <w:tc>
          <w:tcPr>
            <w:tcW w:w="1000" w:type="dxa"/>
            <w:vAlign w:val="bottom"/>
          </w:tcPr>
          <w:p>
            <w:pPr>
              <w:jc w:val="right"/>
              <w:ind w:right="216"/>
              <w:spacing w:after="0"/>
              <w:rPr>
                <w:sz w:val="20"/>
                <w:szCs w:val="20"/>
                <w:color w:val="auto"/>
              </w:rPr>
            </w:pPr>
            <w:r>
              <w:rPr>
                <w:rFonts w:ascii="Arial" w:cs="Arial" w:eastAsia="Arial" w:hAnsi="Arial"/>
                <w:sz w:val="18"/>
                <w:szCs w:val="18"/>
                <w:color w:val="auto"/>
                <w:w w:val="84"/>
              </w:rPr>
              <w:t>1,749,525</w:t>
            </w:r>
          </w:p>
        </w:tc>
        <w:tc>
          <w:tcPr>
            <w:tcW w:w="54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8"/>
                <w:szCs w:val="18"/>
                <w:color w:val="auto"/>
                <w:w w:val="86"/>
              </w:rPr>
              <w:t>104,508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1,854,033</w:t>
            </w: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bl>
    <w:p>
      <w:pPr>
        <w:spacing w:after="0" w:line="73" w:lineRule="exact"/>
        <w:rPr>
          <w:sz w:val="20"/>
          <w:szCs w:val="20"/>
          <w:color w:val="auto"/>
        </w:rPr>
      </w:pPr>
    </w:p>
    <w:p>
      <w:pPr>
        <w:ind w:right="100" w:firstLine="685"/>
        <w:spacing w:after="0" w:line="284" w:lineRule="auto"/>
        <w:rPr>
          <w:sz w:val="20"/>
          <w:szCs w:val="20"/>
          <w:color w:val="auto"/>
        </w:rPr>
      </w:pPr>
      <w:r>
        <w:rPr>
          <w:rFonts w:ascii="Arial" w:cs="Arial" w:eastAsia="Arial" w:hAnsi="Arial"/>
          <w:sz w:val="16"/>
          <w:szCs w:val="16"/>
          <w:color w:val="auto"/>
        </w:rPr>
        <w:t>Short-term borrowings have a stated maturity of one year or less at the date the Company enters into the obligation. In general, federal funds purchased and short-term repurchase agreements outstanding at December 31, 2012 matured on the next business day following year-end. Other short-term borrowings at December 31, 2011 included $50 million of borrowings from FHLBs. There were no similar borrowings at December 31, 2012.</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2012, the Company had lines of credit under formal agreements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w w:val="99"/>
              </w:rPr>
              <w:t>Wilmington</w:t>
            </w:r>
          </w:p>
        </w:tc>
      </w:t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rPr>
              <w:t>M&amp;T</w:t>
            </w:r>
          </w:p>
        </w:tc>
        <w:tc>
          <w:tcPr>
            <w:tcW w:w="540" w:type="dxa"/>
            <w:vAlign w:val="bottom"/>
          </w:tcPr>
          <w:p>
            <w:pPr>
              <w:spacing w:after="0"/>
              <w:rPr>
                <w:sz w:val="14"/>
                <w:szCs w:val="14"/>
                <w:color w:val="auto"/>
              </w:rPr>
            </w:pPr>
          </w:p>
        </w:tc>
        <w:tc>
          <w:tcPr>
            <w:tcW w:w="1260" w:type="dxa"/>
            <w:vAlign w:val="bottom"/>
          </w:tcPr>
          <w:p>
            <w:pPr>
              <w:jc w:val="right"/>
              <w:ind w:right="499"/>
              <w:spacing w:after="0"/>
              <w:rPr>
                <w:sz w:val="20"/>
                <w:szCs w:val="20"/>
                <w:color w:val="auto"/>
              </w:rPr>
            </w:pPr>
            <w:r>
              <w:rPr>
                <w:rFonts w:ascii="Arial" w:cs="Arial" w:eastAsia="Arial" w:hAnsi="Arial"/>
                <w:sz w:val="14"/>
                <w:szCs w:val="14"/>
                <w:b w:val="1"/>
                <w:bCs w:val="1"/>
                <w:color w:val="auto"/>
                <w:w w:val="96"/>
              </w:rPr>
              <w:t>M&amp;T Bank</w:t>
            </w:r>
          </w:p>
        </w:tc>
        <w:tc>
          <w:tcPr>
            <w:tcW w:w="1200" w:type="dxa"/>
            <w:vAlign w:val="bottom"/>
            <w:gridSpan w:val="3"/>
          </w:tcPr>
          <w:p>
            <w:pPr>
              <w:ind w:left="44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7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359"/>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Outstanding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29,586</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Unused</w:t>
            </w:r>
          </w:p>
        </w:tc>
        <w:tc>
          <w:tcPr>
            <w:tcW w:w="10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8"/>
                <w:szCs w:val="18"/>
                <w:color w:val="auto"/>
                <w:w w:val="83"/>
              </w:rPr>
              <w:t>30,000</w:t>
            </w:r>
          </w:p>
        </w:tc>
        <w:tc>
          <w:tcPr>
            <w:tcW w:w="540" w:type="dxa"/>
            <w:vAlign w:val="bottom"/>
          </w:tcPr>
          <w:p>
            <w:pPr>
              <w:spacing w:after="0"/>
              <w:rPr>
                <w:sz w:val="19"/>
                <w:szCs w:val="19"/>
                <w:color w:val="auto"/>
              </w:rPr>
            </w:pPr>
          </w:p>
        </w:tc>
        <w:tc>
          <w:tcPr>
            <w:tcW w:w="1260" w:type="dxa"/>
            <w:vAlign w:val="bottom"/>
          </w:tcPr>
          <w:p>
            <w:pPr>
              <w:jc w:val="right"/>
              <w:ind w:right="379"/>
              <w:spacing w:after="0"/>
              <w:rPr>
                <w:sz w:val="20"/>
                <w:szCs w:val="20"/>
                <w:color w:val="auto"/>
              </w:rPr>
            </w:pPr>
            <w:r>
              <w:rPr>
                <w:rFonts w:ascii="Arial" w:cs="Arial" w:eastAsia="Arial" w:hAnsi="Arial"/>
                <w:sz w:val="18"/>
                <w:szCs w:val="18"/>
                <w:color w:val="auto"/>
                <w:w w:val="86"/>
              </w:rPr>
              <w:t>21,127,615</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309,658</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360" w:firstLine="685"/>
        <w:spacing w:after="0" w:line="294" w:lineRule="auto"/>
        <w:rPr>
          <w:sz w:val="20"/>
          <w:szCs w:val="20"/>
          <w:color w:val="auto"/>
        </w:rPr>
      </w:pPr>
      <w:r>
        <w:rPr>
          <w:rFonts w:ascii="Arial" w:cs="Arial" w:eastAsia="Arial" w:hAnsi="Arial"/>
          <w:sz w:val="16"/>
          <w:szCs w:val="16"/>
          <w:color w:val="auto"/>
        </w:rPr>
        <w:t>M&amp;T has a revolving credit agreement with an unaffiliated commercial bank whereby M&amp;T may borrow up to $30 million at its discretion through November 25, 2013. At December 31, 2012, M&amp;T Bank had borrowing facilities available with the FHLBs whereby M&amp;T Bank could borrow up to approximately $9.8 billion. Additionally, M&amp;T Bank and Wilmington Trust, National Association (“Wilmington Trust, N.A.”), a wholly owned subsidiary of M&amp;T, had available lines of credit with the Federal Reserve Bank of New York totaling approximately $11.7 billion at December 31, 2012. M&amp;T Bank and Wilmington Trust, N.A. are required to pledge loans and investment securities as collateral for these borrowing facilities.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borrowings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right"/>
              <w:ind w:right="59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of M&amp;T — 5.375% due 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299,991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Advances from FHLB:</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1,000,000</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Fixed rates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30,066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398,407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Agreements to repurchase securities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1,400,000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1,400,000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Subordinated notes of Wilmington Trust Corporation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wholly owned subsidiary of M&amp;T):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4.875% due 2013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251,298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255,839</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 due 2018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237,194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Subordinated notes of M&amp;T Bank:</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3.85% due 2013, variable rate commenced in 2008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6.625% due 2017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455,439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452,655</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 due 2018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5.585% due 2020, variable rate commencing 2015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385,669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378,917</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5.629% due 2021, variable rate commencing 2016</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583,097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589,516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Junior subordinated debentures of M&amp;T associated with preferred capital securities: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 — 8.234%,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154,640</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M&amp;T Capital Trust II — 8.277%, due 2027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103,093</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III — 9.25%,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66,434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66,759</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 — 8.125%, due 2028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15,542</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Provident Trust I — 8.29%, due 2028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24,746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24,483</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Statutory Trust I — 10.60%, due 2030</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6,474</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IV — 8.50%, due 2068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350,010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350,010</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First Maryland Capital I —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144,102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143,564</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Maryland Capital II — due 2027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144,638</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Allfirst Asset Trust — due 2029</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95,913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95,768</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III — due 2033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Provident Trust III — due 2033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51,244</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Capital Trust III — due 2033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44,405</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4,607,758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6,686,226</w:t>
            </w:r>
          </w:p>
        </w:tc>
      </w:tr>
      <w:tr>
        <w:trPr>
          <w:trHeight w:val="20"/>
        </w:trPr>
        <w:tc>
          <w:tcPr>
            <w:tcW w:w="7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685"/>
        <w:spacing w:after="0" w:line="283" w:lineRule="auto"/>
        <w:rPr>
          <w:sz w:val="20"/>
          <w:szCs w:val="20"/>
          <w:color w:val="auto"/>
        </w:rPr>
      </w:pPr>
      <w:r>
        <w:rPr>
          <w:rFonts w:ascii="Arial" w:cs="Arial" w:eastAsia="Arial" w:hAnsi="Arial"/>
          <w:sz w:val="16"/>
          <w:szCs w:val="16"/>
          <w:color w:val="auto"/>
        </w:rPr>
        <w:t>Long-term variable rate advances from the FHLB had contractual interest rates that ranged from 0.26% to 0.36% at December 31, 2011. The weighted-average contractual interest rate was 0.29% at December 31, 2011. Long-term fixed rate advances from the FHLB had contractual interest rates ranging from 3.48% to 7.32% at December 31, 2012 and 0.79% to 7.32% at December 31, 2011. The weighted-average contractual interest rates payable were 4.64% at December 31, 2012 and 3.52% at December 31, 2011. Advances from the FHLB mature at various dates through 2035 and are secured by residential real estate loans, commercial real estate loans and investment securities.</w:t>
      </w:r>
    </w:p>
    <w:p>
      <w:pPr>
        <w:spacing w:after="0" w:line="2" w:lineRule="exact"/>
        <w:rPr>
          <w:sz w:val="20"/>
          <w:szCs w:val="20"/>
          <w:color w:val="auto"/>
        </w:rPr>
      </w:pPr>
    </w:p>
    <w:p>
      <w:pPr>
        <w:ind w:right="60" w:firstLine="685"/>
        <w:spacing w:after="0" w:line="361" w:lineRule="auto"/>
        <w:rPr>
          <w:sz w:val="20"/>
          <w:szCs w:val="20"/>
          <w:color w:val="auto"/>
        </w:rPr>
      </w:pPr>
      <w:r>
        <w:rPr>
          <w:rFonts w:ascii="Arial" w:cs="Arial" w:eastAsia="Arial" w:hAnsi="Arial"/>
          <w:sz w:val="15"/>
          <w:szCs w:val="15"/>
          <w:color w:val="auto"/>
        </w:rPr>
        <w:t>Long-term agreements to repurchase securities had contractual interest rates that ranged from 3.61% to 4.30% at December 31, 2012 and 2011. The weighted-average contractual interest rates were 3.90% at each of those dates. The agreements outstanding at December 31, 2012 reflect various repurchase dates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through 2017, however, the contractual maturities of the underlying investment securities extend beyond such repurchase dates.</w:t>
      </w:r>
    </w:p>
    <w:p>
      <w:pPr>
        <w:spacing w:after="0" w:line="15" w:lineRule="exact"/>
        <w:rPr>
          <w:sz w:val="20"/>
          <w:szCs w:val="20"/>
          <w:color w:val="auto"/>
        </w:rPr>
      </w:pPr>
    </w:p>
    <w:p>
      <w:pPr>
        <w:ind w:right="320" w:firstLine="685"/>
        <w:spacing w:after="0" w:line="281" w:lineRule="auto"/>
        <w:rPr>
          <w:sz w:val="20"/>
          <w:szCs w:val="20"/>
          <w:color w:val="auto"/>
        </w:rPr>
      </w:pPr>
      <w:r>
        <w:rPr>
          <w:rFonts w:ascii="Arial" w:cs="Arial" w:eastAsia="Arial" w:hAnsi="Arial"/>
          <w:sz w:val="16"/>
          <w:szCs w:val="16"/>
          <w:color w:val="auto"/>
        </w:rPr>
        <w:t>The subordinated notes of M&amp;T Bank and Wilmington Trust Corporation are unsecured and are subordinate to the claims of other creditors of those entities. On July 2, 2012, M&amp;T Bank redeemed $400 million of subordinated capital notes that were due to mature in 2013.</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fixed and floating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as of December 31, 2012. However, the Dodd-Frank Wall Street Reform and Consumer Protection Act that was signed into law on July 21, 2010 provides for a three-year phase-in related to the exclusion of trust preferred capital securities from Tier 1 capital for large financial institutions, including M&amp;T. That phase-in period began on January 1, 2013. The variable rate Junior Subordinated Debentures pay interest quarterly at rates that are indexed to the three-month LIBOR. Those rates ranged from 1.16% to 3.69% at December 31, 2012 and from 1.28% to 3.92% at December 31, 2011. The weighted-average variable rates payable on those Junior Subordinated Debentures were 1.75% and 1.87% at December 31, 2012 and 2011, respectively.</w:t>
      </w:r>
    </w:p>
    <w:p>
      <w:pPr>
        <w:spacing w:after="0" w:line="7"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7" w:lineRule="exact"/>
        <w:rPr>
          <w:sz w:val="20"/>
          <w:szCs w:val="20"/>
          <w:color w:val="auto"/>
        </w:rPr>
      </w:pPr>
    </w:p>
    <w:p>
      <w:pPr>
        <w:ind w:right="220" w:firstLine="685"/>
        <w:spacing w:after="0" w:line="252"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80" w:type="dxa"/>
            <w:vAlign w:val="bottom"/>
          </w:tcPr>
          <w:p>
            <w:pPr>
              <w:ind w:left="700"/>
              <w:spacing w:after="0"/>
              <w:rPr>
                <w:sz w:val="20"/>
                <w:szCs w:val="20"/>
                <w:color w:val="auto"/>
              </w:rPr>
            </w:pPr>
            <w:r>
              <w:rPr>
                <w:rFonts w:ascii="Arial" w:cs="Arial" w:eastAsia="Arial" w:hAnsi="Arial"/>
                <w:sz w:val="18"/>
                <w:szCs w:val="18"/>
                <w:color w:val="auto"/>
              </w:rPr>
              <w:t>Long-term borrowings at December 31, 2012 mature as follows: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1048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258,102</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805,129</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1,059,716</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2,456,591</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4,607,758</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50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December 31, 2012</w:t>
            </w:r>
          </w:p>
        </w:tc>
        <w:tc>
          <w:tcPr>
            <w:tcW w:w="20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6840" w:type="dxa"/>
            <w:vAlign w:val="bottom"/>
          </w:tcPr>
          <w:p>
            <w:pPr>
              <w:spacing w:after="0"/>
              <w:rPr>
                <w:sz w:val="11"/>
                <w:szCs w:val="11"/>
                <w:color w:val="auto"/>
              </w:rPr>
            </w:pPr>
          </w:p>
        </w:tc>
        <w:tc>
          <w:tcPr>
            <w:tcW w:w="1000" w:type="dxa"/>
            <w:vAlign w:val="bottom"/>
            <w:tcBorders>
              <w:top w:val="single" w:sz="8" w:color="auto"/>
            </w:tcBorders>
          </w:tcPr>
          <w:p>
            <w:pPr>
              <w:jc w:val="center"/>
              <w:ind w:right="184"/>
              <w:spacing w:after="0" w:line="12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Borders>
              <w:top w:val="single" w:sz="8" w:color="auto"/>
            </w:tcBorders>
          </w:tcPr>
          <w:p>
            <w:pPr>
              <w:jc w:val="center"/>
              <w:ind w:right="204"/>
              <w:spacing w:after="0" w:line="12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8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4"/>
              </w:rPr>
              <w:t>Issued and</w:t>
            </w:r>
          </w:p>
        </w:tc>
        <w:tc>
          <w:tcPr>
            <w:tcW w:w="15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Carrying</w:t>
            </w:r>
          </w:p>
        </w:tc>
        <w:tc>
          <w:tcPr>
            <w:tcW w:w="10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4"/>
              </w:rPr>
              <w:t>Issued and</w:t>
            </w:r>
          </w:p>
        </w:tc>
        <w:tc>
          <w:tcPr>
            <w:tcW w:w="1060" w:type="dxa"/>
            <w:vAlign w:val="bottom"/>
            <w:gridSpan w:val="2"/>
          </w:tcPr>
          <w:p>
            <w:pPr>
              <w:jc w:val="center"/>
              <w:ind w:left="8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6840" w:type="dxa"/>
            <w:vAlign w:val="bottom"/>
          </w:tcPr>
          <w:p>
            <w:pPr>
              <w:spacing w:after="0"/>
              <w:rPr>
                <w:sz w:val="14"/>
                <w:szCs w:val="14"/>
                <w:color w:val="auto"/>
              </w:rPr>
            </w:pPr>
          </w:p>
        </w:tc>
        <w:tc>
          <w:tcPr>
            <w:tcW w:w="1000" w:type="dxa"/>
            <w:vAlign w:val="bottom"/>
          </w:tcPr>
          <w:p>
            <w:pPr>
              <w:jc w:val="center"/>
              <w:ind w:right="204"/>
              <w:spacing w:after="0"/>
              <w:rPr>
                <w:sz w:val="20"/>
                <w:szCs w:val="20"/>
                <w:color w:val="auto"/>
              </w:rPr>
            </w:pPr>
            <w:r>
              <w:rPr>
                <w:rFonts w:ascii="Arial" w:cs="Arial" w:eastAsia="Arial" w:hAnsi="Arial"/>
                <w:sz w:val="14"/>
                <w:szCs w:val="14"/>
                <w:b w:val="1"/>
                <w:bCs w:val="1"/>
                <w:color w:val="auto"/>
                <w:w w:val="87"/>
              </w:rPr>
              <w:t>Outstanding</w:t>
            </w: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1020" w:type="dxa"/>
            <w:vAlign w:val="bottom"/>
          </w:tcPr>
          <w:p>
            <w:pPr>
              <w:jc w:val="center"/>
              <w:ind w:right="184"/>
              <w:spacing w:after="0"/>
              <w:rPr>
                <w:sz w:val="20"/>
                <w:szCs w:val="20"/>
                <w:color w:val="auto"/>
              </w:rPr>
            </w:pPr>
            <w:r>
              <w:rPr>
                <w:rFonts w:ascii="Arial" w:cs="Arial" w:eastAsia="Arial" w:hAnsi="Arial"/>
                <w:sz w:val="14"/>
                <w:szCs w:val="14"/>
                <w:b w:val="1"/>
                <w:bCs w:val="1"/>
                <w:color w:val="auto"/>
                <w:w w:val="87"/>
              </w:rPr>
              <w:t>Outstanding</w:t>
            </w:r>
          </w:p>
        </w:tc>
        <w:tc>
          <w:tcPr>
            <w:tcW w:w="106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68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3"/>
          </w:tcPr>
          <w:p>
            <w:pPr>
              <w:jc w:val="right"/>
              <w:ind w:right="564"/>
              <w:spacing w:after="0" w:line="142" w:lineRule="exact"/>
              <w:rPr>
                <w:sz w:val="20"/>
                <w:szCs w:val="20"/>
                <w:color w:val="auto"/>
              </w:rPr>
            </w:pPr>
            <w:r>
              <w:rPr>
                <w:rFonts w:ascii="Arial" w:cs="Arial" w:eastAsia="Arial" w:hAnsi="Arial"/>
                <w:sz w:val="14"/>
                <w:szCs w:val="14"/>
                <w:b w:val="1"/>
                <w:bCs w:val="1"/>
                <w:color w:val="auto"/>
              </w:rPr>
              <w:t>(Dollars in thousands)</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A (a)(b)</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w w:val="95"/>
              </w:rPr>
              <w:t>Fixed Rate Cumulative Perpetual Preferred Stock, Series A, $1,000 liquidation preference</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0" w:type="dxa"/>
            <w:vAlign w:val="bottom"/>
          </w:tcPr>
          <w:p>
            <w:pPr>
              <w:jc w:val="right"/>
              <w:ind w:right="184"/>
              <w:spacing w:after="0"/>
              <w:rPr>
                <w:sz w:val="20"/>
                <w:szCs w:val="20"/>
                <w:color w:val="auto"/>
              </w:rPr>
            </w:pPr>
            <w:r>
              <w:rPr>
                <w:rFonts w:ascii="Arial" w:cs="Arial" w:eastAsia="Arial" w:hAnsi="Arial"/>
                <w:sz w:val="18"/>
                <w:szCs w:val="18"/>
                <w:color w:val="auto"/>
              </w:rPr>
              <w:t>230,000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$ 226,965</w:t>
            </w:r>
          </w:p>
        </w:tc>
        <w:tc>
          <w:tcPr>
            <w:tcW w:w="1020" w:type="dxa"/>
            <w:vAlign w:val="bottom"/>
          </w:tcPr>
          <w:p>
            <w:pPr>
              <w:jc w:val="right"/>
              <w:ind w:right="204"/>
              <w:spacing w:after="0"/>
              <w:rPr>
                <w:sz w:val="20"/>
                <w:szCs w:val="20"/>
                <w:color w:val="auto"/>
              </w:rPr>
            </w:pPr>
            <w:r>
              <w:rPr>
                <w:rFonts w:ascii="Arial" w:cs="Arial" w:eastAsia="Arial" w:hAnsi="Arial"/>
                <w:sz w:val="18"/>
                <w:szCs w:val="18"/>
                <w:color w:val="auto"/>
              </w:rPr>
              <w:t>230,000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$ 224,277</w:t>
            </w: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w w:val="95"/>
              </w:rPr>
              <w:t>Fixed Rate Cumulative Perpetual Preferred Stock, Series C, $1,000 liquidation preference</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0" w:type="dxa"/>
            <w:vAlign w:val="bottom"/>
          </w:tcPr>
          <w:p>
            <w:pPr>
              <w:jc w:val="right"/>
              <w:ind w:right="184"/>
              <w:spacing w:after="0"/>
              <w:rPr>
                <w:sz w:val="20"/>
                <w:szCs w:val="20"/>
                <w:color w:val="auto"/>
              </w:rPr>
            </w:pPr>
            <w:r>
              <w:rPr>
                <w:rFonts w:ascii="Arial" w:cs="Arial" w:eastAsia="Arial" w:hAnsi="Arial"/>
                <w:sz w:val="18"/>
                <w:szCs w:val="18"/>
                <w:color w:val="auto"/>
              </w:rPr>
              <w:t>151,500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145,535</w:t>
            </w:r>
          </w:p>
        </w:tc>
        <w:tc>
          <w:tcPr>
            <w:tcW w:w="1020" w:type="dxa"/>
            <w:vAlign w:val="bottom"/>
          </w:tcPr>
          <w:p>
            <w:pPr>
              <w:jc w:val="right"/>
              <w:ind w:right="204"/>
              <w:spacing w:after="0"/>
              <w:rPr>
                <w:sz w:val="20"/>
                <w:szCs w:val="20"/>
                <w:color w:val="auto"/>
              </w:rPr>
            </w:pPr>
            <w:r>
              <w:rPr>
                <w:rFonts w:ascii="Arial" w:cs="Arial" w:eastAsia="Arial" w:hAnsi="Arial"/>
                <w:sz w:val="18"/>
                <w:szCs w:val="18"/>
                <w:color w:val="auto"/>
              </w:rPr>
              <w:t>151,500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140,308</w:t>
            </w: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D (d)</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rPr>
              <w:t>Fixed Rate Non-cumulative Perpetual Preferred Stock, Series D, $10,000 liquidation</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preference per share</w:t>
            </w:r>
          </w:p>
        </w:tc>
        <w:tc>
          <w:tcPr>
            <w:tcW w:w="1000" w:type="dxa"/>
            <w:vAlign w:val="bottom"/>
          </w:tcPr>
          <w:p>
            <w:pPr>
              <w:jc w:val="right"/>
              <w:ind w:right="184"/>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500,000</w:t>
            </w:r>
          </w:p>
        </w:tc>
        <w:tc>
          <w:tcPr>
            <w:tcW w:w="1020" w:type="dxa"/>
            <w:vAlign w:val="bottom"/>
          </w:tcPr>
          <w:p>
            <w:pPr>
              <w:jc w:val="right"/>
              <w:ind w:right="204"/>
              <w:spacing w:after="0"/>
              <w:rPr>
                <w:sz w:val="20"/>
                <w:szCs w:val="20"/>
                <w:color w:val="auto"/>
              </w:rPr>
            </w:pPr>
            <w:r>
              <w:rPr>
                <w:rFonts w:ascii="Arial" w:cs="Arial" w:eastAsia="Arial" w:hAnsi="Arial"/>
                <w:sz w:val="18"/>
                <w:szCs w:val="18"/>
                <w:color w:val="auto"/>
              </w:rPr>
              <w:t>50,000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right="100" w:hanging="452"/>
        <w:spacing w:after="0" w:line="289" w:lineRule="auto"/>
        <w:tabs>
          <w:tab w:leader="none" w:pos="46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issued as part of the TARP of the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were scheduled to increase to 9% per year. In August 2012, the U.S. Treasury sold its holdings of M&amp;T’s Series A and Series C preferred stock to the public, which allowed M&amp;T to exit the TARP. Certain modifications were made to the terms of the Series A and Series C preferred stock, subject to M&amp;T common shareholder approval. Such modifications included a change in the dividend rate on November 15, 2013 to 6.375% (rather than the original 9% noted above) and a provision that M&amp;T will not redeem the preferred shares until on or after November 15, 2018. In December 2012, the U.S. Treasury sold to other investors the Series A warrants for $26.50 per warrant.</w:t>
      </w:r>
    </w:p>
    <w:p>
      <w:pPr>
        <w:spacing w:after="0" w:line="37" w:lineRule="exact"/>
        <w:rPr>
          <w:rFonts w:ascii="Arial" w:cs="Arial" w:eastAsia="Arial" w:hAnsi="Arial"/>
          <w:sz w:val="16"/>
          <w:szCs w:val="16"/>
          <w:i w:val="1"/>
          <w:iCs w:val="1"/>
          <w:color w:val="auto"/>
        </w:rPr>
      </w:pPr>
    </w:p>
    <w:p>
      <w:pPr>
        <w:ind w:left="460" w:right="660" w:hanging="452"/>
        <w:spacing w:after="0" w:line="268"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On May 18, 2011, M&amp;T redeemed and retired 370,000 shares of the Series A Preferred Stock. Accelerated amortization of preferred stock discount associated with the redemption was $11.2 million.</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90" w:lineRule="exact"/>
        <w:rPr>
          <w:rFonts w:ascii="Arial" w:cs="Arial" w:eastAsia="Arial" w:hAnsi="Arial"/>
          <w:sz w:val="18"/>
          <w:szCs w:val="18"/>
          <w:i w:val="1"/>
          <w:iCs w:val="1"/>
          <w:color w:val="auto"/>
        </w:rPr>
      </w:pPr>
    </w:p>
    <w:p>
      <w:pPr>
        <w:ind w:left="460" w:right="20" w:hanging="452"/>
        <w:spacing w:after="0" w:line="259"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to the Series A and Series C warrants mentioned in (a) above, a ten-year warrant to purchase 95,383 shares of M&amp;T common stock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$518.96 per share was outstanding at each of December 31, 2012 and 2011. That warrant was issued by Wilmington Trust in December 2008 as part of the TARP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U.S. Treasury along with $330 million of fixed rate cumulative perpetual preferred stock, which was redeemed by M&amp;T immediately prior to the May 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 acquisition of Wilmington Trust.</w:t>
      </w:r>
    </w:p>
    <w:p>
      <w:pPr>
        <w:spacing w:after="0" w:line="159"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Stock-based compensation expense was $57 million in 2012, $56 million in 2011 and $54 million in 2010. The Company recognized income tax benefits related to stock-based compensation of $30 million in 2012, $22 million in 2011 and $20 million in 2010.</w:t>
      </w:r>
    </w:p>
    <w:p>
      <w:pPr>
        <w:spacing w:after="0" w:line="1" w:lineRule="exact"/>
        <w:rPr>
          <w:sz w:val="20"/>
          <w:szCs w:val="20"/>
          <w:color w:val="auto"/>
        </w:rPr>
      </w:pPr>
    </w:p>
    <w:p>
      <w:pPr>
        <w:ind w:right="300" w:firstLine="685"/>
        <w:spacing w:after="0" w:line="295" w:lineRule="auto"/>
        <w:rPr>
          <w:sz w:val="20"/>
          <w:szCs w:val="20"/>
          <w:color w:val="auto"/>
        </w:rPr>
      </w:pPr>
      <w:r>
        <w:rPr>
          <w:rFonts w:ascii="Arial" w:cs="Arial" w:eastAsia="Arial" w:hAnsi="Arial"/>
          <w:sz w:val="16"/>
          <w:szCs w:val="16"/>
          <w:color w:val="auto"/>
        </w:rPr>
        <w:t>The Company’s equity incentive compensation plan allows for the issuance of various forms of stock-based compensation, including stock options, restricted stock, restricted stock units and performance-based awards. Through December 31, 2012, only stock-based compensation awards, including stock options, restricted stock and restricted stock units, that vest with the passage of time as service is provided have been issued. At December 31, 2012 and 2011, respectively, there were 5,307,228 and 5,619,632 shares available for future grant under the Company’s equity incentive compensation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awards are comprised of restricted stock and restricted stock units. Restricted stock awards generally vest over four years. Unrecognized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expense associated with restricted stock was $28 million as of December 31, 2012 and is expected to be recognized over a weighted-average period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1.5 years. The Company generally will issue restricted shares from treasury stock to the extent available, but may also issue new shares. During 2012, 2011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2010, the number of restricted shares issued was 453,908, 451,248 and 423,002, respectively, with a weighted-average grant date fair value of $36,969,000,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$38,369,000 and $31,880,000, respectively. Unrecognized compensation expense associated with restricted stock units was $7 million as of December 31,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is expected to be recognized over a weighted-average period of 1.3 years. During 2012, 2011 and 2010 the number of restricted stock units issued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278,505, 242,282 and 231,037, respectively, with a weighted-average grant date fair value of $22,139,000, $20,921,000 and $17,039,000, respectively.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and restricted stock unit activity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Restricted</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Weighted-</w:t>
            </w:r>
          </w:p>
        </w:tc>
        <w:tc>
          <w:tcPr>
            <w:tcW w:w="6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Restricted</w:t>
            </w:r>
          </w:p>
        </w:tc>
        <w:tc>
          <w:tcPr>
            <w:tcW w:w="24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Grant Price</w:t>
            </w:r>
          </w:p>
        </w:tc>
        <w:tc>
          <w:tcPr>
            <w:tcW w:w="6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Grant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January 1, 2012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801,463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1,091,365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278,505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79.50</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453,908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(408,232)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Cancelled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70.00</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(41,410)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1,095,631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Stock options issued generally vest over four years and are exercisable over terms not exceeding ten years and one day. The Company used an option pricing model to estimate the grant date present value of stock options granted. Stock options granted in 2012, 2011 and 2010 were not significant.</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Weighted-Average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r>
      <w:tr>
        <w:trPr>
          <w:trHeight w:val="129"/>
        </w:trPr>
        <w:tc>
          <w:tcPr>
            <w:tcW w:w="6420" w:type="dxa"/>
            <w:vAlign w:val="bottom"/>
          </w:tcPr>
          <w:p>
            <w:pPr>
              <w:spacing w:after="0"/>
              <w:rPr>
                <w:sz w:val="11"/>
                <w:szCs w:val="11"/>
                <w:color w:val="auto"/>
              </w:rPr>
            </w:pPr>
          </w:p>
        </w:tc>
        <w:tc>
          <w:tcPr>
            <w:tcW w:w="11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Exercise</w:t>
            </w:r>
          </w:p>
        </w:tc>
        <w:tc>
          <w:tcPr>
            <w:tcW w:w="7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Life</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Intrinsic Value</w:t>
            </w:r>
          </w:p>
        </w:tc>
      </w:tr>
      <w:tr>
        <w:trPr>
          <w:trHeight w:val="161"/>
        </w:trPr>
        <w:tc>
          <w:tcPr>
            <w:tcW w:w="64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Price</w:t>
            </w:r>
          </w:p>
        </w:tc>
        <w:tc>
          <w:tcPr>
            <w:tcW w:w="7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(In Years)</w:t>
            </w:r>
          </w:p>
        </w:tc>
        <w:tc>
          <w:tcPr>
            <w:tcW w:w="3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9,839,948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79.74</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(2,432,316)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94.76</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(372,559)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107.93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7,033,359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103.30</w:t>
            </w:r>
          </w:p>
        </w:tc>
        <w:tc>
          <w:tcPr>
            <w:tcW w:w="1660" w:type="dxa"/>
            <w:vAlign w:val="bottom"/>
            <w:gridSpan w:val="3"/>
          </w:tcPr>
          <w:p>
            <w:pPr>
              <w:jc w:val="right"/>
              <w:ind w:right="360"/>
              <w:spacing w:after="0"/>
              <w:rPr>
                <w:sz w:val="20"/>
                <w:szCs w:val="20"/>
                <w:color w:val="auto"/>
              </w:rPr>
            </w:pPr>
            <w:r>
              <w:rPr>
                <w:rFonts w:ascii="Arial" w:cs="Arial" w:eastAsia="Arial" w:hAnsi="Arial"/>
                <w:sz w:val="18"/>
                <w:szCs w:val="18"/>
                <w:color w:val="auto"/>
              </w:rPr>
              <w:t>3.4</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26,212</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7,007,472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103.53</w:t>
            </w:r>
          </w:p>
        </w:tc>
        <w:tc>
          <w:tcPr>
            <w:tcW w:w="1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24,761</w:t>
            </w:r>
          </w:p>
        </w:tc>
        <w:tc>
          <w:tcPr>
            <w:tcW w:w="10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20" w:firstLine="685"/>
        <w:spacing w:after="0" w:line="286" w:lineRule="auto"/>
        <w:rPr>
          <w:sz w:val="20"/>
          <w:szCs w:val="20"/>
          <w:color w:val="auto"/>
        </w:rPr>
      </w:pPr>
      <w:r>
        <w:rPr>
          <w:rFonts w:ascii="Arial" w:cs="Arial" w:eastAsia="Arial" w:hAnsi="Arial"/>
          <w:sz w:val="16"/>
          <w:szCs w:val="16"/>
          <w:color w:val="auto"/>
        </w:rPr>
        <w:t>For 2012, 2011 and 2010, M&amp;T received $153 million, $28 million and $55 million, respectively, in cash and realized tax benefits from the exercise of stock options of $8 million, $3 million and $7 million, respectively. The intrinsic value of stock options exercised during those periods was $21 million,</w:t>
      </w:r>
    </w:p>
    <w:p>
      <w:pPr>
        <w:jc w:val="both"/>
        <w:ind w:right="180"/>
        <w:spacing w:after="0" w:line="302" w:lineRule="auto"/>
        <w:rPr>
          <w:sz w:val="20"/>
          <w:szCs w:val="20"/>
          <w:color w:val="auto"/>
        </w:rPr>
      </w:pPr>
      <w:r>
        <w:rPr>
          <w:rFonts w:ascii="Arial" w:cs="Arial" w:eastAsia="Arial" w:hAnsi="Arial"/>
          <w:sz w:val="16"/>
          <w:szCs w:val="16"/>
          <w:color w:val="auto"/>
        </w:rPr>
        <w:t>$7 million and $21 million, respectively. As of December 31, 2012, the amount of unrecognized compensation cost related to non-vested stock options was not significant. The total grant date fair value of stock options vested during 2012, 2011 and 2010 was $17 million, $29 million and $38 million, respectively. Upon the exercise of stock options, the Company generally issues shares from treasury stock to the extent available, but may also issue new shares.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stock purchase plan provides eligible employees of the Company with the right to purchase shares of M&amp;T common stock at a discount through accumulated payroll deductions. In connection with the employee stock purchase plan, 1,000,000 shares of M&amp;T common stock were authorized for issuance, of which 719,900 shares have been issued. There were 151,014 shares issued in 2012, no shares issued in 2011 and 170,405 shares issued in 2010. For 2012 and 2010, respectively, M&amp;T received $10,117,000 and $8,998,000 in cash for shares purchased through the employee stock purchase plan. Compensation expense recognized for the stock purchase plan was not significant in 2012, 2011 or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plan</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38,593 and 48,136 at December 31, 2012 and 2011, respectively. The obligation to issue shares is included in “common stock issuable” in the consolidated balance sheet. Through December 31, 2012, 133,051 shares have been issued in connection with the deferred bonus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stock plan</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2012, 182,433 shares had been issued in connection with the directors’ stock plan.</w:t>
      </w:r>
    </w:p>
    <w:p>
      <w:pPr>
        <w:jc w:val="both"/>
        <w:ind w:right="500" w:firstLine="685"/>
        <w:spacing w:after="0" w:line="255" w:lineRule="auto"/>
        <w:rPr>
          <w:sz w:val="20"/>
          <w:szCs w:val="20"/>
          <w:color w:val="auto"/>
        </w:rPr>
      </w:pPr>
      <w:r>
        <w:rPr>
          <w:rFonts w:ascii="Arial" w:cs="Arial" w:eastAsia="Arial" w:hAnsi="Arial"/>
          <w:sz w:val="18"/>
          <w:szCs w:val="18"/>
          <w:color w:val="auto"/>
        </w:rPr>
        <w:t>Through acquisitions, the Company assumed obligations to issue shares of M&amp;T common stock related to deferred directors compensation plans. Shares of common stock issuable under such plans were 18,816 and 20,084 at December 31, 2012 and 2011, respectively. The obligation to issue shares is included in “common stock issuable” in the consolidated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 and other postretirement benefits</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pension expense for defined benefit plans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center"/>
              <w:ind w:left="18"/>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5"/>
          </w:tcPr>
          <w:p>
            <w:pPr>
              <w:jc w:val="center"/>
              <w:ind w:right="4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$ 29,549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$ 28,828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58,545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47,905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(70,511)</w:t>
            </w: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(60,700)</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(6,559)</w:t>
            </w:r>
          </w:p>
        </w:tc>
        <w:tc>
          <w:tcPr>
            <w:tcW w:w="4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(6,559)</w:t>
            </w:r>
          </w:p>
        </w:tc>
        <w:tc>
          <w:tcPr>
            <w:tcW w:w="28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color w:val="auto"/>
              </w:rPr>
              <w:t>Net periodic pension expense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$ 51,902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$ 40,644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$ 23,723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40"/>
              <w:spacing w:after="0"/>
              <w:rPr>
                <w:sz w:val="20"/>
                <w:szCs w:val="20"/>
                <w:color w:val="auto"/>
              </w:rPr>
            </w:pPr>
            <w:r>
              <w:rPr>
                <w:rFonts w:ascii="Arial" w:cs="Arial" w:eastAsia="Arial" w:hAnsi="Arial"/>
                <w:sz w:val="18"/>
                <w:szCs w:val="18"/>
                <w:color w:val="auto"/>
              </w:rPr>
              <w:t>Net other postretirement benefits expense for defined benefit plans consisted of the following:</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9"/>
          </w:tcPr>
          <w:p>
            <w:pPr>
              <w:jc w:val="center"/>
              <w:ind w:right="62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1020" w:type="dxa"/>
            <w:vAlign w:val="bottom"/>
            <w:tcBorders>
              <w:top w:val="single" w:sz="8" w:color="auto"/>
              <w:bottom w:val="single" w:sz="8" w:color="auto"/>
            </w:tcBorders>
            <w:gridSpan w:val="4"/>
          </w:tcPr>
          <w:p>
            <w:pPr>
              <w:jc w:val="center"/>
              <w:ind w:left="438"/>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center"/>
              <w:ind w:left="8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3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535</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3,737</w:t>
            </w:r>
          </w:p>
        </w:tc>
        <w:tc>
          <w:tcPr>
            <w:tcW w:w="1300" w:type="dxa"/>
            <w:vAlign w:val="bottom"/>
            <w:gridSpan w:val="5"/>
          </w:tcPr>
          <w:p>
            <w:pPr>
              <w:jc w:val="right"/>
              <w:ind w:right="280"/>
              <w:spacing w:after="0"/>
              <w:rPr>
                <w:sz w:val="20"/>
                <w:szCs w:val="20"/>
                <w:color w:val="auto"/>
              </w:rPr>
            </w:pPr>
            <w:r>
              <w:rPr>
                <w:rFonts w:ascii="Arial" w:cs="Arial" w:eastAsia="Arial" w:hAnsi="Arial"/>
                <w:sz w:val="18"/>
                <w:szCs w:val="18"/>
                <w:color w:val="auto"/>
              </w:rPr>
              <w:t>3,761</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Recognized net actuarial loss (gain)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530</w:t>
            </w:r>
          </w:p>
        </w:tc>
        <w:tc>
          <w:tcPr>
            <w:tcW w:w="520" w:type="dxa"/>
            <w:vAlign w:val="bottom"/>
            <w:gridSpan w:val="2"/>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other postretirement benefits expense</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4,956</w:t>
            </w:r>
          </w:p>
        </w:tc>
        <w:tc>
          <w:tcPr>
            <w:tcW w:w="13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4,439</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the funding position of the defined benefit plans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4"/>
                <w:szCs w:val="14"/>
                <w:color w:val="auto"/>
              </w:rPr>
            </w:pPr>
          </w:p>
        </w:tc>
        <w:tc>
          <w:tcPr>
            <w:tcW w:w="18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1,496,490</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947,993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90,104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28,828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62,037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58,545</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3,737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participants’ contributions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Amendments</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(13,313)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194,622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Settlements/curtailments</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combinations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315,210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Medicare Part D reimbursement</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(59,426)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(48,708)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(10,731)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00"/>
              <w:spacing w:after="0"/>
              <w:rPr>
                <w:sz w:val="20"/>
                <w:szCs w:val="20"/>
                <w:color w:val="auto"/>
              </w:rPr>
            </w:pPr>
            <w:r>
              <w:rPr>
                <w:rFonts w:ascii="Arial" w:cs="Arial" w:eastAsia="Arial" w:hAnsi="Arial"/>
                <w:sz w:val="18"/>
                <w:szCs w:val="18"/>
                <w:color w:val="auto"/>
              </w:rPr>
              <w:t>Benefit obligation at end of year</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1,644,567</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1,496,490</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74,966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1,117,972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838,465</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207,115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75,600</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6,048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combinations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259,250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Plan participants’ contributions</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3,765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Medicare Part D reimbursement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and other payments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(59,426)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(48,708)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(10,731)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00"/>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1,408,771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1,117,972</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(235,796)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(378,518)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(74,966)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(90,104)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Assets and liabilities recognized in the consolidated balance sheet were: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prepaid asset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(235,796)</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(381,396)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(74,966)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(90,104)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accumulated other comprehensive income (“AOCI”) were: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480,084</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474,153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12,134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prior service cost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(23,455)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(13,173)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00"/>
              <w:spacing w:after="0"/>
              <w:rPr>
                <w:sz w:val="20"/>
                <w:szCs w:val="20"/>
                <w:color w:val="auto"/>
              </w:rPr>
            </w:pPr>
            <w:r>
              <w:rPr>
                <w:rFonts w:ascii="Arial" w:cs="Arial" w:eastAsia="Arial" w:hAnsi="Arial"/>
                <w:sz w:val="18"/>
                <w:szCs w:val="18"/>
                <w:color w:val="auto"/>
              </w:rPr>
              <w:t>Pre-tax adjustment to AOCI</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456,629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444,139</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(179,227)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(174,324)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00"/>
              <w:spacing w:after="0"/>
              <w:rPr>
                <w:sz w:val="20"/>
                <w:szCs w:val="20"/>
                <w:color w:val="auto"/>
              </w:rPr>
            </w:pPr>
            <w:r>
              <w:rPr>
                <w:rFonts w:ascii="Arial" w:cs="Arial" w:eastAsia="Arial" w:hAnsi="Arial"/>
                <w:sz w:val="18"/>
                <w:szCs w:val="18"/>
                <w:color w:val="auto"/>
              </w:rPr>
              <w:t>Net adjustment to AOCI.</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277,402</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269,815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The Company has an unfunded supplemental pension plan for certain key executives. The projected benefit obligation and accumulated benefit obligation included in the preceding data related to such plan were $130,745,000 as of December 31, 2012 and $124,877,000 and $123,085,000, respectively, as of December 31, 2011.</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52" w:lineRule="auto"/>
        <w:rPr>
          <w:sz w:val="20"/>
          <w:szCs w:val="20"/>
          <w:color w:val="auto"/>
        </w:rPr>
      </w:pPr>
      <w:r>
        <w:rPr>
          <w:rFonts w:ascii="Arial" w:cs="Arial" w:eastAsia="Arial" w:hAnsi="Arial"/>
          <w:sz w:val="18"/>
          <w:szCs w:val="18"/>
          <w:color w:val="auto"/>
        </w:rPr>
        <w:t>The accumulated benefit obligation for all defined benefit pension plans was $1,618,119,000 and $1,472,140,000 at December 31, 2012 and 2011, respectively. As of December 31, 2012, the accumulated benefit obligation for all defined benefit pension plans exceeded plan assets. As of December 31, 2011, the accumulated benefit obligation for those defined benefit pension plans in which such obligation exceeded plan assets totaled $1,422,958,000 (including $123,085,000 related to the unfunded supplemental pension plan).</w:t>
      </w:r>
    </w:p>
    <w:p>
      <w:pPr>
        <w:spacing w:after="0" w:line="1" w:lineRule="exact"/>
        <w:rPr>
          <w:sz w:val="20"/>
          <w:szCs w:val="20"/>
          <w:color w:val="auto"/>
        </w:rPr>
      </w:pPr>
    </w:p>
    <w:p>
      <w:pPr>
        <w:ind w:right="20" w:firstLine="685"/>
        <w:spacing w:after="0" w:line="305" w:lineRule="auto"/>
        <w:rPr>
          <w:sz w:val="20"/>
          <w:szCs w:val="20"/>
          <w:color w:val="auto"/>
        </w:rPr>
      </w:pPr>
      <w:r>
        <w:rPr>
          <w:rFonts w:ascii="Arial" w:cs="Arial" w:eastAsia="Arial" w:hAnsi="Arial"/>
          <w:sz w:val="15"/>
          <w:szCs w:val="15"/>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expense, are recognized as a component of other comprehensive income. As indicated in the preceding table, as of December 31, 2012 the Company recorded a minimum liability adjustment of $455,590,000 ($456,629,000 related to pension plans and $(1,039,000) related to other postretirement benefits) with a corresponding reduction of shareholders’ equity, net of applicable deferred taxes, of $276,771,000. In aggregate, the benefit plans realized a net gain during 2012 that resulted from actual experience differing from the plan assumptions utilized, from changes in actuarial assumptions and from plan amendments. The main factors contributing to that gain were actual investment returns from assets in the qualified defined benefit pension plan that exceeded expected returns plus an amendment to the postretirement medical plan to conform the benefits of former employees of Wilmington Trust with those of other employees of the Company. However, those gains were almost entirely offset by the impact of a reduction in the discount rate used to measure the benefit obligations at December 31, 2012 to 3.75% from the 4.25% rate used at December 31, 2011. As a result, the Company decreased its minimum liability adjustment from that which was recorded at December 31, 2011 by $1,555,000 with a corresponding increase to shareholders’ equity that, net of applicable deferred taxes, was $945,000. The table below reflects the changes in plan assets and benefit obligations recognized in other comprehensive income related to the Company’s postretirement benefit plans.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Postretirement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Pr>
          <w:p>
            <w:pPr>
              <w:spacing w:after="0"/>
              <w:rPr>
                <w:sz w:val="14"/>
                <w:szCs w:val="1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Benefit Plans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2012</w:t>
            </w:r>
          </w:p>
        </w:tc>
        <w:tc>
          <w:tcPr>
            <w:tcW w:w="54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Net loss (gain)</w:t>
            </w:r>
          </w:p>
        </w:tc>
        <w:tc>
          <w:tcPr>
            <w:tcW w:w="200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43,318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 (credit)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Amortization of prior service (cost) credit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6,559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loss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(37,916)</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3"/>
            <w:vMerge w:val="continue"/>
          </w:tcPr>
          <w:p>
            <w:pPr>
              <w:spacing w:after="0"/>
              <w:rPr>
                <w:sz w:val="19"/>
                <w:szCs w:val="19"/>
                <w:color w:val="auto"/>
              </w:rPr>
            </w:pPr>
          </w:p>
        </w:tc>
        <w:tc>
          <w:tcPr>
            <w:tcW w:w="200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12,491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(14,046)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2011</w:t>
            </w:r>
          </w:p>
        </w:tc>
        <w:tc>
          <w:tcPr>
            <w:tcW w:w="54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000" w:type="dxa"/>
            <w:vAlign w:val="bottom"/>
            <w:tcBorders>
              <w:top w:val="single" w:sz="8" w:color="CCEEFF"/>
            </w:tcBorders>
            <w:gridSpan w:val="2"/>
          </w:tcPr>
          <w:p>
            <w:pPr>
              <w:ind w:left="18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w w:val="95"/>
              </w:rPr>
              <w:t>261,957</w:t>
            </w:r>
          </w:p>
        </w:tc>
        <w:tc>
          <w:tcPr>
            <w:tcW w:w="4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10,303</w:t>
            </w: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6"/>
              </w:rPr>
              <w:t>272,260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Amortization of loss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(20,530)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200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247,986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258,146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685"/>
        <w:spacing w:after="0" w:line="268" w:lineRule="auto"/>
        <w:rPr>
          <w:sz w:val="20"/>
          <w:szCs w:val="20"/>
          <w:color w:val="auto"/>
        </w:rPr>
      </w:pPr>
      <w:r>
        <w:rPr>
          <w:rFonts w:ascii="Arial" w:cs="Arial" w:eastAsia="Arial" w:hAnsi="Arial"/>
          <w:sz w:val="18"/>
          <w:szCs w:val="18"/>
          <w:color w:val="auto"/>
        </w:rPr>
        <w:t>The following table reflects the amortization of amounts in accumulated other comprehensive income expected to be recognized as components of net periodic benefit expense during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r>
      <w:tr>
        <w:trPr>
          <w:trHeight w:val="149"/>
        </w:trPr>
        <w:tc>
          <w:tcPr>
            <w:tcW w:w="6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gridSpan w:val="3"/>
          </w:tcPr>
          <w:p>
            <w:pPr>
              <w:jc w:val="center"/>
              <w:ind w:left="206"/>
              <w:spacing w:after="0" w:line="149" w:lineRule="exact"/>
              <w:rPr>
                <w:sz w:val="20"/>
                <w:szCs w:val="20"/>
                <w:color w:val="auto"/>
              </w:rPr>
            </w:pPr>
            <w:r>
              <w:rPr>
                <w:rFonts w:ascii="Arial" w:cs="Arial" w:eastAsia="Arial" w:hAnsi="Arial"/>
                <w:sz w:val="14"/>
                <w:szCs w:val="14"/>
                <w:b w:val="1"/>
                <w:bCs w:val="1"/>
                <w:color w:val="auto"/>
                <w:w w:val="84"/>
              </w:rPr>
              <w:t>Postretirement</w:t>
            </w:r>
          </w:p>
        </w:tc>
      </w:tr>
      <w:tr>
        <w:trPr>
          <w:trHeight w:val="161"/>
        </w:trPr>
        <w:tc>
          <w:tcPr>
            <w:tcW w:w="6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1360" w:type="dxa"/>
            <w:vAlign w:val="bottom"/>
            <w:gridSpan w:val="3"/>
          </w:tcPr>
          <w:p>
            <w:pPr>
              <w:jc w:val="center"/>
              <w:ind w:left="206"/>
              <w:spacing w:after="0"/>
              <w:rPr>
                <w:sz w:val="20"/>
                <w:szCs w:val="20"/>
                <w:color w:val="auto"/>
              </w:rPr>
            </w:pPr>
            <w:r>
              <w:rPr>
                <w:rFonts w:ascii="Arial" w:cs="Arial" w:eastAsia="Arial" w:hAnsi="Arial"/>
                <w:sz w:val="14"/>
                <w:szCs w:val="14"/>
                <w:b w:val="1"/>
                <w:bCs w:val="1"/>
                <w:color w:val="auto"/>
                <w:w w:val="85"/>
              </w:rPr>
              <w:t>Benefit Plans</w:t>
            </w:r>
          </w:p>
        </w:tc>
      </w:tr>
      <w:tr>
        <w:trPr>
          <w:trHeight w:val="142"/>
        </w:trPr>
        <w:tc>
          <w:tcPr>
            <w:tcW w:w="6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86"/>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prior service cost (credit)</w:t>
            </w:r>
          </w:p>
        </w:tc>
        <w:tc>
          <w:tcPr>
            <w:tcW w:w="300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(6,559)</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79"/>
              <w:spacing w:after="0"/>
              <w:rPr>
                <w:sz w:val="20"/>
                <w:szCs w:val="20"/>
                <w:color w:val="auto"/>
              </w:rPr>
            </w:pPr>
            <w:r>
              <w:rPr>
                <w:rFonts w:ascii="Arial" w:cs="Arial" w:eastAsia="Arial" w:hAnsi="Arial"/>
                <w:sz w:val="18"/>
                <w:szCs w:val="18"/>
                <w:color w:val="auto"/>
              </w:rPr>
              <w:t>41,593</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452"/>
        </w:trPr>
        <w:tc>
          <w:tcPr>
            <w:tcW w:w="6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143</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2012, 2011 and 2010 associated with the defined contribution pension plan was approximately $17 million, $13 million and $14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assumed weighted-average rates used to determine benefit obligations at December 31 were: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1"/>
              </w:rPr>
              <w:t>Pension</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Benefits</w:t>
            </w:r>
          </w:p>
        </w:tc>
        <w:tc>
          <w:tcPr>
            <w:tcW w:w="3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3.75%</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3"/>
              </w:rPr>
              <w:t>3.75%</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4.25%</w:t>
            </w: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Rate of increase in future compensation levels</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assumed weighted-average rates used to determine net benefit expense for the years ended December 31 were: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w w:val="89"/>
              </w:rPr>
              <w:t>Pension Benefits</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Postretirement Benefits</w:t>
            </w:r>
          </w:p>
        </w:tc>
      </w:tr>
      <w:tr>
        <w:trPr>
          <w:trHeight w:val="142"/>
        </w:trPr>
        <w:tc>
          <w:tcPr>
            <w:tcW w:w="70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5.25%</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4.25%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5.25%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5.75%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6.50%</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6.50%</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6.50%</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 in future compensation levels</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4.50%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4.50%</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both"/>
        <w:ind w:right="60" w:firstLine="685"/>
        <w:spacing w:after="0" w:line="286" w:lineRule="auto"/>
        <w:rPr>
          <w:sz w:val="20"/>
          <w:szCs w:val="20"/>
          <w:color w:val="auto"/>
        </w:rPr>
      </w:pPr>
      <w:r>
        <w:rPr>
          <w:rFonts w:ascii="Arial" w:cs="Arial" w:eastAsia="Arial" w:hAnsi="Arial"/>
          <w:sz w:val="16"/>
          <w:szCs w:val="16"/>
          <w:color w:val="auto"/>
        </w:rPr>
        <w:t>On May 16, 2011 pension and other postretirement benefit obligations were assumed as a result of the acquisition of Wilmington Trust. Initial liabilities and net costs were determined using a 5.25% discount rate, a 4.0% increase in compensation and a 6.50% expected return on assets.</w:t>
      </w:r>
    </w:p>
    <w:p>
      <w:pPr>
        <w:ind w:right="60" w:firstLine="685"/>
        <w:spacing w:after="0" w:line="300" w:lineRule="auto"/>
        <w:rPr>
          <w:sz w:val="20"/>
          <w:szCs w:val="20"/>
          <w:color w:val="auto"/>
        </w:rPr>
      </w:pPr>
      <w:r>
        <w:rPr>
          <w:rFonts w:ascii="Arial" w:cs="Arial" w:eastAsia="Arial" w:hAnsi="Arial"/>
          <w:sz w:val="15"/>
          <w:szCs w:val="15"/>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1" w:lineRule="exact"/>
        <w:rPr>
          <w:sz w:val="20"/>
          <w:szCs w:val="20"/>
          <w:color w:val="auto"/>
        </w:rPr>
      </w:pPr>
    </w:p>
    <w:p>
      <w:pPr>
        <w:ind w:right="180" w:firstLine="685"/>
        <w:spacing w:after="0" w:line="255" w:lineRule="auto"/>
        <w:rPr>
          <w:sz w:val="20"/>
          <w:szCs w:val="20"/>
          <w:color w:val="auto"/>
        </w:rPr>
      </w:pPr>
      <w:r>
        <w:rPr>
          <w:rFonts w:ascii="Arial" w:cs="Arial" w:eastAsia="Arial" w:hAnsi="Arial"/>
          <w:sz w:val="18"/>
          <w:szCs w:val="18"/>
          <w:color w:val="auto"/>
        </w:rPr>
        <w:t>For measurement of other postretirement benefits, an 8% annual rate of increase in the per capita cost of covered health care benefits was assumed for 2013. The rate was assumed to decrease to 5% over 30 years. A one-percentage point change in assumed health care cost trend rates would have had the following effects: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+1%</w:t>
            </w: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r>
      <w:tr>
        <w:trPr>
          <w:trHeight w:val="142"/>
        </w:trPr>
        <w:tc>
          <w:tcPr>
            <w:tcW w:w="952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Service and interest cost</w:t>
            </w:r>
          </w:p>
        </w:tc>
        <w:tc>
          <w:tcPr>
            <w:tcW w:w="860" w:type="dxa"/>
            <w:vAlign w:val="bottom"/>
          </w:tcPr>
          <w:p>
            <w:pPr>
              <w:jc w:val="right"/>
              <w:ind w:right="282"/>
              <w:spacing w:after="0"/>
              <w:rPr>
                <w:sz w:val="20"/>
                <w:szCs w:val="20"/>
                <w:color w:val="auto"/>
              </w:rPr>
            </w:pPr>
            <w:r>
              <w:rPr>
                <w:rFonts w:ascii="Arial" w:cs="Arial" w:eastAsia="Arial" w:hAnsi="Arial"/>
                <w:sz w:val="18"/>
                <w:szCs w:val="18"/>
                <w:color w:val="auto"/>
                <w:w w:val="95"/>
              </w:rPr>
              <w:t>$  141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w:t>
            </w: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3,099</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(2,790)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 strong emphasis on the preservation of capital. The strategy attempts to maximize investment returns on assets at a level of risk deemed appropriate by the Company while complying with applicable regulations and laws. The investment strategy utilizes asset allocation as a principal determinant for establishing an appropriate risk profile. The target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allocations for plan assets are generally 55 to 70 percent equity securities, 25 to 40 percent debt securities, and 3 to 10 percent money-market funds or other short-term investments, although holdings could be more or less than these general guidelines based on market conditions at the time and actions taken or recommended by the investment managers providing advice to the Company. Equity securities include investments in large-cap and mid-cap companies located in the United States and equity mutual funds with domestic and international investments, and, to a lesser extent, direct investments in foreign-based companies. Debt securities include corporate bonds of companies from diversified industries, mortgage-backed securities guaranteed by government agencies, U.S. Treasury securities, and mutual funds that invest in debt securities. Additionally, primarily as a result of the Wilmington Trust acquisition, the Company’s defined benefit pension plan held $61,874,000 (4% of total assets) of real estate, private equity and other investments at December 31, 2012.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values of the Company’s pension plan assets at December 31, 2012, by asset category,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87"/>
              </w:rPr>
              <w:t>Fair Value Measurement of Plan Assets At December 31,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in Active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Markets</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78"/>
              </w:rPr>
              <w:t>Assets</w:t>
            </w:r>
          </w:p>
        </w:tc>
        <w:tc>
          <w:tcPr>
            <w:tcW w:w="80" w:type="dxa"/>
            <w:vAlign w:val="bottom"/>
          </w:tcPr>
          <w:p>
            <w:pPr>
              <w:spacing w:after="0"/>
              <w:rPr>
                <w:sz w:val="12"/>
                <w:szCs w:val="12"/>
                <w:color w:val="auto"/>
              </w:rPr>
            </w:pPr>
          </w:p>
        </w:tc>
        <w:tc>
          <w:tcPr>
            <w:tcW w:w="12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9"/>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(Level 1)</w:t>
            </w: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8"/>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Money-market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46,657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46,657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M&amp;T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120,914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120,914</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147,382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147,382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8,561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8,561</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188,950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188,950</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208,696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208,696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674,503</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674,503</w:t>
            </w:r>
          </w:p>
        </w:tc>
        <w:tc>
          <w:tcPr>
            <w:tcW w:w="8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Corporate(b)</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307,712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307,712</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141,224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141,224</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Domestic(c)</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107,576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107,576</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54,362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54,362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621,104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161,938</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459,166</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Diversified mutual fund</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10,415</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10,415</w:t>
            </w:r>
          </w:p>
        </w:tc>
        <w:tc>
          <w:tcPr>
            <w:tcW w:w="8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real estate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5,347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 funds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41,509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61,874</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20,415</w:t>
            </w:r>
          </w:p>
        </w:tc>
        <w:tc>
          <w:tcPr>
            <w:tcW w:w="8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1,404,138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903,513</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459,166</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pension plan assets at December 31, 2011, by asset category,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6"/>
              </w:rPr>
              <w:t>Fair Value Measurement of Plan Assets At December 31, 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Markets</w:t>
            </w: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78"/>
              </w:rPr>
              <w:t>Assets</w:t>
            </w:r>
          </w:p>
        </w:tc>
        <w:tc>
          <w:tcPr>
            <w:tcW w:w="100" w:type="dxa"/>
            <w:vAlign w:val="bottom"/>
          </w:tcPr>
          <w:p>
            <w:pPr>
              <w:spacing w:after="0"/>
              <w:rPr>
                <w:sz w:val="12"/>
                <w:szCs w:val="12"/>
                <w:color w:val="auto"/>
              </w:rPr>
            </w:pP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(Level 1)</w:t>
            </w: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left="45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Money-market funds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63,842</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63,842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M&amp;T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93,740</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93,740</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151,235</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151,235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8,264</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125,223</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125,223</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127,071</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505,533</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505,533</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Corporate(b)</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275,079</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275,079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88,261</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88,261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7,586</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7,586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Domestic(c)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72,680</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72,680</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466,840</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95,914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370,926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Diversified mutual fund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17,557</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real estate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Private equity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10,190</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 funds</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44,927</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77,351</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17,557</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1,113,566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682,846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370,926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460" w:right="500" w:hanging="452"/>
        <w:spacing w:after="0" w:line="268"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is comprised of equities of companies primarily within the mid-cap and large-cap sector of the U.S. economy and range across diverse industries.</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represents investment grade bonds of U.S. issuers from diverse industries.</w:t>
      </w:r>
    </w:p>
    <w:p>
      <w:pPr>
        <w:spacing w:after="0" w:line="90" w:lineRule="exact"/>
        <w:rPr>
          <w:rFonts w:ascii="Arial" w:cs="Arial" w:eastAsia="Arial" w:hAnsi="Arial"/>
          <w:sz w:val="18"/>
          <w:szCs w:val="18"/>
          <w:i w:val="1"/>
          <w:iCs w:val="1"/>
          <w:color w:val="auto"/>
        </w:rPr>
      </w:pPr>
    </w:p>
    <w:p>
      <w:pPr>
        <w:jc w:val="both"/>
        <w:ind w:left="460" w:right="280" w:hanging="452"/>
        <w:spacing w:after="0" w:line="259"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Approximately 40% of the mutual funds were invested in investment grade bonds of U.S. issuers and 60% in high-yielding bonds at December 31, 2012. Approximately 50% of the mutual funds were invested in investment grade bonds of U.S. issuers and 50% in high-yielding bonds at December 31, 2011. The holdings within the funds are spread across diverse industries.</w:t>
      </w:r>
    </w:p>
    <w:p>
      <w:pPr>
        <w:spacing w:after="0" w:line="59"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dividends and interest receivable totaling $4,633,000 and $4,406,000 at December 31, 2012 and 2011, respectively.</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Pension plan assets included common stock of M&amp;T with a fair value of $120,914,000 (8.6% of total plan assets) at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$93,740,000 (8.4% of total plan assets) at December 31, 2011. No investment in securities of a non-U.S. Government or government agency issuer exceeded 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percent of plan assets at December 31, 2012.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pension plan assets measured at estimated fair value on a recurring basis during the year ended December 31, 2012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Balance –</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2012</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4"/>
                <w:szCs w:val="14"/>
                <w:b w:val="1"/>
                <w:bCs w:val="1"/>
                <w:color w:val="auto"/>
                <w:w w:val="98"/>
              </w:rPr>
              <w:t>Sales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1"/>
              </w:rPr>
              <w:t>Gains (Losses)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gridSpan w:val="5"/>
          </w:tcPr>
          <w:p>
            <w:pPr>
              <w:jc w:val="right"/>
              <w:ind w:right="9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Private real estate</w:t>
            </w:r>
          </w:p>
        </w:tc>
        <w:tc>
          <w:tcPr>
            <w:tcW w:w="2740" w:type="dxa"/>
            <w:vAlign w:val="bottom"/>
            <w:gridSpan w:val="2"/>
          </w:tcPr>
          <w:p>
            <w:pPr>
              <w:ind w:left="26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4,677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(4,892)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44,927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(15,000)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59,794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(19,892)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The Company makes contributions to its funded qualified defined benefit pension plan as required by government regulation or as deemed appropriate by management after considering factors such as the fair value of plan assets, expected returns on such assets, and the present value of benefit obligations of the plan. Subject to the impact of actual events and circumstances that may occur in 2013, the Company may make contributions to the qualified defined benefit pension plan in 2013, but the amount of any such contribution has not yet been determined. The Company made cash contributions of $200 million and $70 million to the qualified defined benefit pension plan in 2012 and 2011, respectively. The Company did not make any contributions to the plan in 2010. The Company regularly funds the payment of benefit obligations for the supplemental defined benefit pension and postretirement benefit plans because such plans do not hold assets for investment. Payments made by the Company for supplemental pension benefits were $7,115,000 and $5,600,000 in 2012 and 2011, respectively. Payments made by the Company for postretirement benefits were $6,048,000 and $6,859,000 in 2012 and 2011, respectively. Payments for supplemental pension and other postretirement benefits for 2013 are not expected to differ from those made in 2012 by an amount that will be material to the Company’s consolidated financial position.</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Estimated benefits expected to be paid in future years related to the Company’s defined benefit pension and other postretirement benefits plans are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8940" w:type="dxa"/>
            <w:vAlign w:val="bottom"/>
          </w:tcPr>
          <w:p>
            <w:pPr>
              <w:spacing w:after="0"/>
              <w:rPr>
                <w:sz w:val="12"/>
                <w:szCs w:val="12"/>
                <w:color w:val="auto"/>
              </w:rPr>
            </w:pPr>
          </w:p>
        </w:tc>
        <w:tc>
          <w:tcPr>
            <w:tcW w:w="74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Pension</w:t>
            </w:r>
          </w:p>
        </w:tc>
        <w:tc>
          <w:tcPr>
            <w:tcW w:w="1740" w:type="dxa"/>
            <w:vAlign w:val="bottom"/>
            <w:gridSpan w:val="3"/>
          </w:tcPr>
          <w:p>
            <w:pPr>
              <w:jc w:val="center"/>
              <w:ind w:left="606"/>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89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4"/>
                <w:szCs w:val="14"/>
                <w:b w:val="1"/>
                <w:bCs w:val="1"/>
                <w:color w:val="auto"/>
              </w:rPr>
              <w:t>Benefits</w:t>
            </w: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Benefits</w:t>
            </w:r>
          </w:p>
        </w:tc>
      </w:tr>
      <w:tr>
        <w:trPr>
          <w:trHeight w:val="142"/>
        </w:trPr>
        <w:tc>
          <w:tcPr>
            <w:tcW w:w="89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2013</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$ 62,531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66,096</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2015</w:t>
            </w:r>
          </w:p>
        </w:tc>
        <w:tc>
          <w:tcPr>
            <w:tcW w:w="740" w:type="dxa"/>
            <w:vAlign w:val="bottom"/>
          </w:tcPr>
          <w:p>
            <w:pPr>
              <w:jc w:val="right"/>
              <w:spacing w:after="0"/>
              <w:rPr>
                <w:sz w:val="20"/>
                <w:szCs w:val="20"/>
                <w:color w:val="auto"/>
              </w:rPr>
            </w:pPr>
            <w:r>
              <w:rPr>
                <w:rFonts w:ascii="Arial" w:cs="Arial" w:eastAsia="Arial" w:hAnsi="Arial"/>
                <w:sz w:val="18"/>
                <w:szCs w:val="18"/>
                <w:color w:val="auto"/>
              </w:rPr>
              <w:t>68,838</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75,769</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2017</w:t>
            </w:r>
          </w:p>
        </w:tc>
        <w:tc>
          <w:tcPr>
            <w:tcW w:w="740" w:type="dxa"/>
            <w:vAlign w:val="bottom"/>
          </w:tcPr>
          <w:p>
            <w:pPr>
              <w:jc w:val="right"/>
              <w:spacing w:after="0"/>
              <w:rPr>
                <w:sz w:val="20"/>
                <w:szCs w:val="20"/>
                <w:color w:val="auto"/>
              </w:rPr>
            </w:pPr>
            <w:r>
              <w:rPr>
                <w:rFonts w:ascii="Arial" w:cs="Arial" w:eastAsia="Arial" w:hAnsi="Arial"/>
                <w:sz w:val="18"/>
                <w:szCs w:val="18"/>
                <w:color w:val="auto"/>
              </w:rPr>
              <w:t>78,564</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6,332</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 through 2022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450,434</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60" w:firstLine="685"/>
        <w:spacing w:after="0" w:line="294" w:lineRule="auto"/>
        <w:rPr>
          <w:sz w:val="20"/>
          <w:szCs w:val="20"/>
          <w:color w:val="auto"/>
        </w:rPr>
      </w:pPr>
      <w:r>
        <w:rPr>
          <w:rFonts w:ascii="Arial" w:cs="Arial" w:eastAsia="Arial" w:hAnsi="Arial"/>
          <w:sz w:val="16"/>
          <w:szCs w:val="16"/>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$31,305,000, $27,738,000 and $24,683,000 in 2012, 2011 and 2010, respectively.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2"/>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2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$309,156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$277,631</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$250,489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53,566</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Total current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391,170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331,197</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305,560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117,229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34,325</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Total deferred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131,858</w:t>
            </w:r>
          </w:p>
        </w:tc>
        <w:tc>
          <w:tcPr>
            <w:tcW w:w="5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33,924</w:t>
            </w:r>
          </w:p>
        </w:tc>
        <w:tc>
          <w:tcPr>
            <w:tcW w:w="4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51,068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income taxes applicable to pre-tax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523,028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365,121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356,628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685"/>
        <w:spacing w:after="0" w:line="283" w:lineRule="auto"/>
        <w:rPr>
          <w:sz w:val="20"/>
          <w:szCs w:val="20"/>
          <w:color w:val="auto"/>
        </w:rPr>
      </w:pPr>
      <w:r>
        <w:rPr>
          <w:rFonts w:ascii="Arial" w:cs="Arial" w:eastAsia="Arial" w:hAnsi="Arial"/>
          <w:sz w:val="16"/>
          <w:szCs w:val="16"/>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2012, M&amp;T Bank’s tax bad debt reserve for which no federal income taxes have been provided was $79,121,000. No actions are planned that would cause this reserve to become wholly or partially taxable.</w:t>
      </w:r>
    </w:p>
    <w:p>
      <w:pPr>
        <w:spacing w:after="0" w:line="1"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Income taxes attributable to gains or losses on bank investment securities were benefits of $18,766,000 in 2012 and $32,778,000 in 2010 and expense of $28,712,000 in 2011. No alternative minimum tax expense was recognized in 2012, 2011 or 2010.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358"/>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statutory federal income tax rate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$543,384</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$428,610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$382,476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 (decrease) in taxes:</w:t>
            </w: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income</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(33,890)</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(33,799)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(32,466)</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State and city income taxes, net of federal income tax effect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62,818</w:t>
            </w:r>
          </w:p>
        </w:tc>
        <w:tc>
          <w:tcPr>
            <w:tcW w:w="12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34,557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38,360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 income housing and other credits</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(42,074)</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(40,763)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(29,882)</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Non-taxable gain on acquisition</w:t>
            </w:r>
          </w:p>
        </w:tc>
        <w:tc>
          <w:tcPr>
            <w:tcW w:w="18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(22,725)</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(7,210)</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(759)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tcPr>
          <w:p>
            <w:pPr>
              <w:spacing w:after="0"/>
              <w:rPr>
                <w:sz w:val="19"/>
                <w:szCs w:val="19"/>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523,028</w:t>
            </w:r>
          </w:p>
        </w:tc>
        <w:tc>
          <w:tcPr>
            <w:tcW w:w="120" w:type="dxa"/>
            <w:vAlign w:val="bottom"/>
          </w:tcPr>
          <w:p>
            <w:pPr>
              <w:spacing w:after="0"/>
              <w:rPr>
                <w:sz w:val="19"/>
                <w:szCs w:val="19"/>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365,121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356,628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148</w:t>
            </w:r>
          </w:p>
        </w:tc>
        <w:tc>
          <w:tcPr>
            <w:tcW w:w="1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3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assets (liabilities) were comprised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Losses on loans and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809,033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896,219</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Postretirement and other employee benefits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34,517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39,992</w:t>
            </w:r>
          </w:p>
        </w:tc>
        <w:tc>
          <w:tcPr>
            <w:tcW w:w="3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plans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49,183</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72,278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46,965</w:t>
            </w:r>
          </w:p>
        </w:tc>
        <w:tc>
          <w:tcPr>
            <w:tcW w:w="3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91,980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147,997</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69,874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78,014</w:t>
            </w:r>
          </w:p>
        </w:tc>
        <w:tc>
          <w:tcPr>
            <w:tcW w:w="3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70,641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Unrealized investment losses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50,528</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12,130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9,563</w:t>
            </w:r>
          </w:p>
        </w:tc>
        <w:tc>
          <w:tcPr>
            <w:tcW w:w="3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99,012</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20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1,242,906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1,417,473</w:t>
            </w:r>
          </w:p>
        </w:tc>
        <w:tc>
          <w:tcPr>
            <w:tcW w:w="36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882,776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Leasing transactions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(291,524)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(294,150)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Unrealized investment gains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(23,574)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Capitalized servicing rights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(17,603)</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on subordinated note exchange</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(8,794)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(11,275)</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(48,803)</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200"/>
              <w:spacing w:after="0"/>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(405,650)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(371,831)</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(358,863)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837,256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1,045,642</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$ 523,913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believes that it is more likely than not that the deferred tax assets will be realized through taxable earnings or alternative tax strategies.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income tax credits shown in the statement of income of M&amp;T in note 25 arise principally from operating losses before dividends from subsidiaries.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beginning and ending amount of unrecognized tax benefits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Federal,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Unrecognized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State and</w:t>
            </w:r>
          </w:p>
        </w:tc>
        <w:tc>
          <w:tcPr>
            <w:tcW w:w="3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Accrued</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Income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Local Tax</w:t>
            </w:r>
          </w:p>
        </w:tc>
        <w:tc>
          <w:tcPr>
            <w:tcW w:w="30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January 1, 2010</w:t>
            </w:r>
          </w:p>
        </w:tc>
        <w:tc>
          <w:tcPr>
            <w:tcW w:w="114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28,297</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19,508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prior years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88"/>
              </w:rPr>
              <w:t>11,468</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Deceases in unrecognized tax benefits because applicable returns are no longer subject to examination</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(549)</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tax positions taken in prior years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4"/>
              </w:rPr>
              <w:t>(9,061)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(10,135)</w:t>
            </w:r>
          </w:p>
        </w:tc>
        <w:tc>
          <w:tcPr>
            <w:tcW w:w="0" w:type="dxa"/>
            <w:vAlign w:val="bottom"/>
          </w:tcPr>
          <w:p>
            <w:pPr>
              <w:spacing w:after="0"/>
              <w:rPr>
                <w:sz w:val="1"/>
                <w:szCs w:val="1"/>
                <w:color w:val="auto"/>
              </w:rPr>
            </w:pPr>
          </w:p>
        </w:tc>
      </w:tr>
      <w:tr>
        <w:trPr>
          <w:trHeight w:val="156"/>
        </w:trPr>
        <w:tc>
          <w:tcPr>
            <w:tcW w:w="7240" w:type="dxa"/>
            <w:vAlign w:val="bottom"/>
            <w:gridSpan w:val="2"/>
          </w:tcPr>
          <w:p>
            <w:pPr>
              <w:spacing w:after="0" w:line="155" w:lineRule="exact"/>
              <w:rPr>
                <w:sz w:val="20"/>
                <w:szCs w:val="20"/>
                <w:color w:val="auto"/>
              </w:rPr>
            </w:pPr>
            <w:r>
              <w:rPr>
                <w:rFonts w:ascii="Arial" w:cs="Arial" w:eastAsia="Arial" w:hAnsi="Arial"/>
                <w:sz w:val="14"/>
                <w:szCs w:val="14"/>
                <w:color w:val="auto"/>
              </w:rPr>
              <w:t>Gross unrecognized tax benefits at December 31, 2010</w:t>
            </w:r>
          </w:p>
        </w:tc>
        <w:tc>
          <w:tcPr>
            <w:tcW w:w="1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24,853</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20,696</w:t>
            </w: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45,549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2011</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4,659</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(9,742)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(5,497)</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tax positions taken in prior years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4"/>
              </w:rPr>
              <w:t>(1,645)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(8,471)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(8,201)</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tax benefits acquired in a business combination</w:t>
            </w:r>
          </w:p>
        </w:tc>
        <w:tc>
          <w:tcPr>
            <w:tcW w:w="10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7,034</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3,924</w:t>
            </w:r>
          </w:p>
        </w:tc>
        <w:tc>
          <w:tcPr>
            <w:tcW w:w="6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40" w:type="dxa"/>
            <w:vAlign w:val="bottom"/>
            <w:gridSpan w:val="2"/>
          </w:tcPr>
          <w:p>
            <w:pPr>
              <w:spacing w:after="0" w:line="155" w:lineRule="exact"/>
              <w:rPr>
                <w:sz w:val="20"/>
                <w:szCs w:val="20"/>
                <w:color w:val="auto"/>
              </w:rPr>
            </w:pPr>
            <w:r>
              <w:rPr>
                <w:rFonts w:ascii="Arial" w:cs="Arial" w:eastAsia="Arial" w:hAnsi="Arial"/>
                <w:sz w:val="14"/>
                <w:szCs w:val="14"/>
                <w:color w:val="auto"/>
              </w:rPr>
              <w:t>Gross unrecognized tax benefits at December 31, 2011</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18,333</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9,277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27,610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2012</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in prior years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4,514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(1,412)</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December 31, 2012</w:t>
            </w:r>
          </w:p>
        </w:tc>
        <w:tc>
          <w:tcPr>
            <w:tcW w:w="10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16,548</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12,379</w:t>
            </w: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Less: Federal, state and local income tax benefits</w:t>
            </w: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(9,479)</w:t>
            </w:r>
          </w:p>
        </w:tc>
        <w:tc>
          <w:tcPr>
            <w:tcW w:w="0" w:type="dxa"/>
            <w:vAlign w:val="bottom"/>
          </w:tcPr>
          <w:p>
            <w:pPr>
              <w:spacing w:after="0" w:line="20" w:lineRule="exact"/>
              <w:rPr>
                <w:sz w:val="1"/>
                <w:szCs w:val="1"/>
                <w:color w:val="auto"/>
              </w:rPr>
            </w:pPr>
          </w:p>
        </w:tc>
      </w:tr>
      <w:tr>
        <w:trPr>
          <w:trHeight w:val="150"/>
        </w:trPr>
        <w:tc>
          <w:tcPr>
            <w:tcW w:w="724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unrecognized tax benefits at December 31, 2012 that, if recognized, would impact the effective income tax rate</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685"/>
        <w:spacing w:after="0" w:line="288" w:lineRule="auto"/>
        <w:rPr>
          <w:sz w:val="20"/>
          <w:szCs w:val="20"/>
          <w:color w:val="auto"/>
        </w:rPr>
      </w:pPr>
      <w:r>
        <w:rPr>
          <w:rFonts w:ascii="Arial" w:cs="Arial" w:eastAsia="Arial" w:hAnsi="Arial"/>
          <w:sz w:val="16"/>
          <w:szCs w:val="16"/>
          <w:color w:val="auto"/>
        </w:rPr>
        <w:t>The Company’s policy is to recognize interest and penalties, if any, related to unrecognized tax benefits in income taxes in the consolidated statement of income. The balance of accrued interest at December 31, 2012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Under statute, the Company’s federal income tax returns for the years 2009, 2010, and 2011 could be adjusted by the Internal Revenue Service, although examinations for those tax years have been concluded. The Company also files income tax returns in over forty states and numerous local jurisdictions. Substantially all material state and local matters have been concluded for years through 2003. It is not reasonably possible to estimate when examinations for any subsequent years will be completed.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 except per share)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$1,029,498</w:t>
            </w: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$859,479</w:t>
            </w:r>
          </w:p>
        </w:tc>
        <w:tc>
          <w:tcPr>
            <w:tcW w:w="5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736,161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(53,450)</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(45,839)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640"/>
              <w:spacing w:after="0"/>
              <w:rPr>
                <w:sz w:val="20"/>
                <w:szCs w:val="20"/>
                <w:color w:val="auto"/>
              </w:rPr>
            </w:pPr>
            <w:r>
              <w:rPr>
                <w:rFonts w:ascii="Arial" w:cs="Arial" w:eastAsia="Arial" w:hAnsi="Arial"/>
                <w:sz w:val="18"/>
                <w:szCs w:val="18"/>
                <w:color w:val="auto"/>
              </w:rPr>
              <w:t>Amortization of preferred stock discount(a)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(20,018)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equity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968,022</w:t>
            </w: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793,622</w:t>
            </w:r>
          </w:p>
        </w:tc>
        <w:tc>
          <w:tcPr>
            <w:tcW w:w="5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685,418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(11,879)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953,390</w:t>
            </w: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$781,743</w:t>
            </w:r>
          </w:p>
        </w:tc>
        <w:tc>
          <w:tcPr>
            <w:tcW w:w="54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675,826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shares outstanding (including common stock issuable) and unvested stock-based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compensation awards</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127,793</w:t>
            </w:r>
          </w:p>
        </w:tc>
        <w:tc>
          <w:tcPr>
            <w:tcW w:w="80" w:type="dxa"/>
            <w:vAlign w:val="bottom"/>
            <w:tcBorders>
              <w:left w:val="single" w:sz="8" w:color="CCEEFF"/>
            </w:tcBorders>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124,524</w:t>
            </w:r>
          </w:p>
        </w:tc>
        <w:tc>
          <w:tcPr>
            <w:tcW w:w="54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125,864</w:t>
            </w: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122,663</w:t>
            </w:r>
          </w:p>
        </w:tc>
        <w:tc>
          <w:tcPr>
            <w:tcW w:w="5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118,191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5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auto"/>
            </w:tcBorders>
            <w:gridSpan w:val="2"/>
          </w:tcPr>
          <w:p>
            <w:pPr>
              <w:spacing w:after="0"/>
              <w:rPr>
                <w:sz w:val="15"/>
                <w:szCs w:val="15"/>
                <w:color w:val="auto"/>
              </w:rPr>
            </w:pPr>
          </w:p>
        </w:tc>
        <w:tc>
          <w:tcPr>
            <w:tcW w:w="6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8060" w:type="dxa"/>
            <w:vAlign w:val="bottom"/>
            <w:gridSpan w:val="3"/>
          </w:tcPr>
          <w:p>
            <w:pPr>
              <w:spacing w:after="0"/>
              <w:rPr>
                <w:sz w:val="20"/>
                <w:szCs w:val="20"/>
                <w:color w:val="auto"/>
              </w:rPr>
            </w:pPr>
            <w:r>
              <w:rPr>
                <w:rFonts w:ascii="Arial" w:cs="Arial" w:eastAsia="Arial" w:hAnsi="Arial"/>
                <w:sz w:val="18"/>
                <w:szCs w:val="18"/>
                <w:i w:val="1"/>
                <w:iCs w:val="1"/>
                <w:color w:val="auto"/>
              </w:rPr>
              <w:t>(a)   Including impact of not as yet declared cumulative dividends.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rPr>
              <w:t>The computations of diluted earnings per common share follow:</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8"/>
          </w:tcPr>
          <w:p>
            <w:pPr>
              <w:jc w:val="center"/>
              <w:ind w:left="397"/>
              <w:spacing w:after="0" w:line="142" w:lineRule="exact"/>
              <w:rPr>
                <w:sz w:val="20"/>
                <w:szCs w:val="20"/>
                <w:color w:val="auto"/>
              </w:rPr>
            </w:pPr>
            <w:r>
              <w:rPr>
                <w:rFonts w:ascii="Arial" w:cs="Arial" w:eastAsia="Arial" w:hAnsi="Arial"/>
                <w:sz w:val="14"/>
                <w:szCs w:val="14"/>
                <w:b w:val="1"/>
                <w:bCs w:val="1"/>
                <w:color w:val="auto"/>
                <w:w w:val="85"/>
              </w:rPr>
              <w:t>(In thousands, except per share)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968,022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$793,622</w:t>
            </w:r>
          </w:p>
        </w:tc>
        <w:tc>
          <w:tcPr>
            <w:tcW w:w="54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685,418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(14,593)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(11,857)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953,429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$781,765</w:t>
            </w:r>
          </w:p>
        </w:tc>
        <w:tc>
          <w:tcPr>
            <w:tcW w:w="54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675,853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127,793</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124,524</w:t>
            </w:r>
          </w:p>
        </w:tc>
        <w:tc>
          <w:tcPr>
            <w:tcW w:w="5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Plus: Incremental shares from assumed conversion of stock-based compensation awards and convertible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c>
          <w:tcPr>
            <w:tcW w:w="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4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126,405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123,079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118,843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54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60" w:firstLine="685"/>
        <w:spacing w:after="0" w:line="303" w:lineRule="auto"/>
        <w:rPr>
          <w:sz w:val="20"/>
          <w:szCs w:val="20"/>
          <w:color w:val="auto"/>
        </w:rPr>
      </w:pPr>
      <w:r>
        <w:rPr>
          <w:rFonts w:ascii="Arial" w:cs="Arial" w:eastAsia="Arial" w:hAnsi="Arial"/>
          <w:sz w:val="15"/>
          <w:szCs w:val="15"/>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 w:lineRule="exact"/>
        <w:rPr>
          <w:sz w:val="20"/>
          <w:szCs w:val="20"/>
          <w:color w:val="auto"/>
        </w:rPr>
      </w:pPr>
    </w:p>
    <w:p>
      <w:pPr>
        <w:ind w:right="320" w:firstLine="685"/>
        <w:spacing w:after="0" w:line="302"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common stock representing approximately 8,905,000, 11,268,000 and 11,231,000 common shares during 2012, 2011 and 2010, respectively, were not included in the computations of diluted earnings per common share because the effect on those years would have been antidilutive.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14"/>
                <w:szCs w:val="14"/>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0"/>
              </w:rPr>
              <w:t>Taxes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 the year ended December 31, 2012</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Unrealized gains (losses) on investment securities: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Available-for-sale (“AFS”) investment securities with other-than-temporary impairment (“OTTI”):</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losses, net</w:t>
            </w:r>
          </w:p>
        </w:tc>
        <w:tc>
          <w:tcPr>
            <w:tcW w:w="1160" w:type="dxa"/>
            <w:vAlign w:val="bottom"/>
            <w:gridSpan w:val="2"/>
          </w:tcPr>
          <w:p>
            <w:pPr>
              <w:ind w:left="10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59</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(42,467)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16,668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(25,799)</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4"/>
                <w:szCs w:val="14"/>
                <w:color w:val="auto"/>
              </w:rPr>
              <w:t>Net change for AFS investment securities with OTTI</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42,317</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8"/>
              </w:rPr>
              <w:t>(16,609)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25,708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AFS investment securities – all other:</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gains, net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137,922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8"/>
              </w:rPr>
              <w:t>(54,083)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4"/>
                <w:szCs w:val="14"/>
                <w:color w:val="auto"/>
              </w:rPr>
              <w:t>Net change for AFS investment securities – all other</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137,913</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8"/>
              </w:rPr>
              <w:t>(54,079)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83,834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Held-to-maturity (“HTM”) investment securities with OTTI:</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losses, net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(2,848)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reclassification to income of unrealized holding losses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(5,355)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(3,253)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for HTM investment securities with OTTI</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Reclassification to income of unrealized holding losses on investment securities previously transferred from AFS to HTM</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4,530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(1,778)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2,752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unrealized gains on investment securities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188,927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(74,102)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114,825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Reclassification to income for amortization of gains on terminated cash flow hedges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1,555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191,113</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(74,936)</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116,177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For the year ended December 31, 2011</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(losses) on investment securities: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AFS investment securities with OTTI:</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holding losses, net</w:t>
            </w:r>
          </w:p>
        </w:tc>
        <w:tc>
          <w:tcPr>
            <w:tcW w:w="116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(58,628)</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23,106</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(35,522)</w:t>
            </w: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3,814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(64,919)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25,480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(39,439)</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4"/>
                <w:szCs w:val="14"/>
                <w:color w:val="auto"/>
              </w:rPr>
              <w:t>Net change for AFS investment securities with OTTI</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2,477</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1,600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AFS investment securities — all other:</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gains, net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144,941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8"/>
              </w:rPr>
              <w:t>(56,714)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88,227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146,115</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(57,256)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4"/>
                <w:szCs w:val="14"/>
                <w:color w:val="auto"/>
              </w:rPr>
              <w:t>Net change for AFS investment securities – all other</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(1,174)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HTM investment securities with OTTI:</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losses, net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(10,317)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(6,268)</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reclassification to income of unrealized holding losses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7700" w:type="dxa"/>
            <w:vAlign w:val="bottom"/>
          </w:tcPr>
          <w:p>
            <w:pPr>
              <w:ind w:left="22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(12,116)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(7,361)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for HTM investment securities with OTTI</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2,344</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line="155" w:lineRule="exact"/>
              <w:rPr>
                <w:sz w:val="20"/>
                <w:szCs w:val="20"/>
                <w:color w:val="auto"/>
              </w:rPr>
            </w:pPr>
            <w:r>
              <w:rPr>
                <w:rFonts w:ascii="Arial" w:cs="Arial" w:eastAsia="Arial" w:hAnsi="Arial"/>
                <w:sz w:val="14"/>
                <w:szCs w:val="14"/>
                <w:color w:val="auto"/>
              </w:rPr>
              <w:t>Unrealized holding losses on investment securities previously transferred from AFS to HTM:</w:t>
            </w:r>
          </w:p>
        </w:tc>
        <w:tc>
          <w:tcPr>
            <w:tcW w:w="1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to income of unrealized holding losses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6,490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Unrealized holding losses transferred to HTM investment securities with OTTI</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for investment securities previously transferred from AFS to HTM</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4"/>
                <w:szCs w:val="14"/>
                <w:color w:val="auto"/>
              </w:rPr>
              <w:t>Net unrealized gains on investment securities</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10,717</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(4,030)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6,687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to income for amortization of gains on terminated cash flow hedges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(258,146)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101,322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(156,824)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3"/>
              </w:rPr>
              <w:t>(249,117)</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7"/>
              </w:rPr>
              <w:t>97,896</w:t>
            </w: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5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6"/>
              </w:rPr>
              <w:t>(151,221)</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152</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Before-</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tax</w:t>
            </w:r>
          </w:p>
        </w:tc>
        <w:tc>
          <w:tcPr>
            <w:tcW w:w="42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44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Taxes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 the year ended December 31, 2010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spacing w:after="0" w:line="149" w:lineRule="exact"/>
              <w:rPr>
                <w:sz w:val="20"/>
                <w:szCs w:val="20"/>
                <w:color w:val="auto"/>
              </w:rPr>
            </w:pPr>
            <w:r>
              <w:rPr>
                <w:rFonts w:ascii="Arial" w:cs="Arial" w:eastAsia="Arial" w:hAnsi="Arial"/>
                <w:sz w:val="14"/>
                <w:szCs w:val="14"/>
                <w:color w:val="auto"/>
              </w:rPr>
              <w:t>Unrealized gains (losses) on investment securities: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AFS investment securities with OTTI:</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losses, net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(104,039)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$ 40,566</w:t>
            </w:r>
          </w:p>
        </w:tc>
        <w:tc>
          <w:tcPr>
            <w:tcW w:w="6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 (63,473)</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(81,199)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31,552</w:t>
            </w:r>
          </w:p>
        </w:tc>
        <w:tc>
          <w:tcPr>
            <w:tcW w:w="6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(49,647)</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40"/>
              <w:spacing w:after="0"/>
              <w:rPr>
                <w:sz w:val="20"/>
                <w:szCs w:val="20"/>
                <w:color w:val="auto"/>
              </w:rPr>
            </w:pPr>
            <w:r>
              <w:rPr>
                <w:rFonts w:ascii="Arial" w:cs="Arial" w:eastAsia="Arial" w:hAnsi="Arial"/>
                <w:sz w:val="14"/>
                <w:szCs w:val="14"/>
                <w:color w:val="auto"/>
              </w:rPr>
              <w:t>Net change for AFS investment securities with OTTI</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(22,840)</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9,014</w:t>
            </w:r>
          </w:p>
        </w:tc>
        <w:tc>
          <w:tcPr>
            <w:tcW w:w="64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(13,826)</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AFS investment securities — all other:</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gains, net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236,167</w:t>
            </w:r>
          </w:p>
        </w:tc>
        <w:tc>
          <w:tcPr>
            <w:tcW w:w="240" w:type="dxa"/>
            <w:vAlign w:val="bottom"/>
          </w:tcPr>
          <w:p>
            <w:pPr>
              <w:spacing w:after="0"/>
              <w:rPr>
                <w:sz w:val="12"/>
                <w:szCs w:val="12"/>
                <w:color w:val="auto"/>
              </w:rPr>
            </w:pPr>
          </w:p>
        </w:tc>
        <w:tc>
          <w:tcPr>
            <w:tcW w:w="154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(92,190)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143,977</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1,581</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(610)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40"/>
              <w:spacing w:after="0"/>
              <w:rPr>
                <w:sz w:val="20"/>
                <w:szCs w:val="20"/>
                <w:color w:val="auto"/>
              </w:rPr>
            </w:pPr>
            <w:r>
              <w:rPr>
                <w:rFonts w:ascii="Arial" w:cs="Arial" w:eastAsia="Arial" w:hAnsi="Arial"/>
                <w:sz w:val="14"/>
                <w:szCs w:val="14"/>
                <w:color w:val="auto"/>
              </w:rPr>
              <w:t>Net change for AFS investment securities – all other</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234,586</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w w:val="95"/>
              </w:rPr>
              <w:t>(91,580)</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8"/>
              </w:rPr>
              <w:t>143,006</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HTM investment securities with OTTI:</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220"/>
              <w:spacing w:after="0" w:line="149" w:lineRule="exact"/>
              <w:rPr>
                <w:sz w:val="20"/>
                <w:szCs w:val="20"/>
                <w:color w:val="auto"/>
              </w:rPr>
            </w:pPr>
            <w:r>
              <w:rPr>
                <w:rFonts w:ascii="Arial" w:cs="Arial" w:eastAsia="Arial" w:hAnsi="Arial"/>
                <w:sz w:val="14"/>
                <w:szCs w:val="14"/>
                <w:color w:val="auto"/>
              </w:rPr>
              <w:t>Unrealized holding losses, net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(11,908)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4,674</w:t>
            </w:r>
          </w:p>
        </w:tc>
        <w:tc>
          <w:tcPr>
            <w:tcW w:w="6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(7,234)</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reclassification to income of unrealized holding losses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(7,984)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3,134</w:t>
            </w:r>
          </w:p>
        </w:tc>
        <w:tc>
          <w:tcPr>
            <w:tcW w:w="6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(4,850)</w:t>
            </w:r>
          </w:p>
        </w:tc>
        <w:tc>
          <w:tcPr>
            <w:tcW w:w="0" w:type="dxa"/>
            <w:vAlign w:val="bottom"/>
          </w:tcPr>
          <w:p>
            <w:pPr>
              <w:spacing w:after="0"/>
              <w:rPr>
                <w:sz w:val="1"/>
                <w:szCs w:val="1"/>
                <w:color w:val="auto"/>
              </w:rPr>
            </w:pPr>
          </w:p>
        </w:tc>
      </w:tr>
      <w:tr>
        <w:trPr>
          <w:trHeight w:val="149"/>
        </w:trPr>
        <w:tc>
          <w:tcPr>
            <w:tcW w:w="8440" w:type="dxa"/>
            <w:vAlign w:val="bottom"/>
          </w:tcPr>
          <w:p>
            <w:pPr>
              <w:ind w:left="22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(5,082)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6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for HTM investment securities with OTTI</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(455)</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4"/>
                <w:szCs w:val="14"/>
                <w:color w:val="auto"/>
              </w:rPr>
              <w:t>Reclassification to income of unrealized holding losses on investment securities previously transferred from AFS to HTM</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8,264</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(3,243)</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5,021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unrealized gains on investment securities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221,168</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5"/>
              </w:rPr>
              <w:t>(86,264)</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134,904</w:t>
            </w:r>
          </w:p>
        </w:tc>
        <w:tc>
          <w:tcPr>
            <w:tcW w:w="0" w:type="dxa"/>
            <w:vAlign w:val="bottom"/>
          </w:tcPr>
          <w:p>
            <w:pPr>
              <w:spacing w:after="0"/>
              <w:rPr>
                <w:sz w:val="1"/>
                <w:szCs w:val="1"/>
                <w:color w:val="auto"/>
              </w:rPr>
            </w:pPr>
          </w:p>
        </w:tc>
      </w:tr>
      <w:tr>
        <w:trPr>
          <w:trHeight w:val="149"/>
        </w:trPr>
        <w:tc>
          <w:tcPr>
            <w:tcW w:w="8440" w:type="dxa"/>
            <w:vAlign w:val="bottom"/>
          </w:tcPr>
          <w:p>
            <w:pPr>
              <w:spacing w:after="0" w:line="149" w:lineRule="exact"/>
              <w:rPr>
                <w:sz w:val="20"/>
                <w:szCs w:val="20"/>
                <w:color w:val="auto"/>
              </w:rPr>
            </w:pPr>
            <w:r>
              <w:rPr>
                <w:rFonts w:ascii="Arial" w:cs="Arial" w:eastAsia="Arial" w:hAnsi="Arial"/>
                <w:sz w:val="14"/>
                <w:szCs w:val="14"/>
                <w:color w:val="auto"/>
              </w:rPr>
              <w:t>Reclassification to income for amortization of gains on terminated cash flow hedges</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c>
          <w:tcPr>
            <w:tcW w:w="6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(6,331)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2,485</w:t>
            </w:r>
          </w:p>
        </w:tc>
        <w:tc>
          <w:tcPr>
            <w:tcW w:w="6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214,389</w:t>
            </w:r>
          </w:p>
        </w:tc>
        <w:tc>
          <w:tcPr>
            <w:tcW w:w="240" w:type="dxa"/>
            <w:vAlign w:val="bottom"/>
          </w:tcPr>
          <w:p>
            <w:pPr>
              <w:spacing w:after="0"/>
              <w:rPr>
                <w:sz w:val="13"/>
                <w:szCs w:val="13"/>
                <w:color w:val="auto"/>
              </w:rPr>
            </w:pPr>
          </w:p>
        </w:tc>
        <w:tc>
          <w:tcPr>
            <w:tcW w:w="1540" w:type="dxa"/>
            <w:vAlign w:val="bottom"/>
            <w:gridSpan w:val="3"/>
          </w:tcPr>
          <w:p>
            <w:pPr>
              <w:jc w:val="right"/>
              <w:ind w:right="60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(83,612)</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130,777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80" w:type="dxa"/>
            <w:vAlign w:val="bottom"/>
            <w:gridSpan w:val="6"/>
            <w:vMerge w:val="restart"/>
          </w:tcPr>
          <w:p>
            <w:pPr>
              <w:jc w:val="right"/>
              <w:ind w:right="90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Foreign</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80" w:type="dxa"/>
            <w:vAlign w:val="bottom"/>
            <w:gridSpan w:val="6"/>
            <w:vMerge w:val="continue"/>
          </w:tcPr>
          <w:p>
            <w:pPr>
              <w:spacing w:after="0"/>
              <w:rPr>
                <w:sz w:val="12"/>
                <w:szCs w:val="12"/>
                <w:color w:val="auto"/>
              </w:rPr>
            </w:pPr>
          </w:p>
        </w:tc>
        <w:tc>
          <w:tcPr>
            <w:tcW w:w="960" w:type="dxa"/>
            <w:vAlign w:val="bottom"/>
            <w:gridSpan w:val="3"/>
          </w:tcPr>
          <w:p>
            <w:pPr>
              <w:jc w:val="right"/>
              <w:ind w:right="532"/>
              <w:spacing w:after="0" w:line="148" w:lineRule="exact"/>
              <w:rPr>
                <w:sz w:val="20"/>
                <w:szCs w:val="20"/>
                <w:color w:val="auto"/>
              </w:rPr>
            </w:pPr>
            <w:r>
              <w:rPr>
                <w:rFonts w:ascii="Arial" w:cs="Arial" w:eastAsia="Arial" w:hAnsi="Arial"/>
                <w:sz w:val="14"/>
                <w:szCs w:val="14"/>
                <w:b w:val="1"/>
                <w:bCs w:val="1"/>
                <w:color w:val="auto"/>
                <w:w w:val="99"/>
              </w:rPr>
              <w:t>Cash</w:t>
            </w:r>
          </w:p>
        </w:tc>
        <w:tc>
          <w:tcPr>
            <w:tcW w:w="124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Currency</w:t>
            </w:r>
          </w:p>
        </w:tc>
        <w:tc>
          <w:tcPr>
            <w:tcW w:w="10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Defined</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3"/>
          </w:tcPr>
          <w:p>
            <w:pPr>
              <w:jc w:val="right"/>
              <w:ind w:right="532"/>
              <w:spacing w:after="0" w:line="129" w:lineRule="exact"/>
              <w:rPr>
                <w:sz w:val="20"/>
                <w:szCs w:val="20"/>
                <w:color w:val="auto"/>
              </w:rPr>
            </w:pPr>
            <w:r>
              <w:rPr>
                <w:rFonts w:ascii="Arial" w:cs="Arial" w:eastAsia="Arial" w:hAnsi="Arial"/>
                <w:sz w:val="14"/>
                <w:szCs w:val="14"/>
                <w:b w:val="1"/>
                <w:bCs w:val="1"/>
                <w:color w:val="auto"/>
              </w:rPr>
              <w:t>Flow</w:t>
            </w:r>
          </w:p>
        </w:tc>
        <w:tc>
          <w:tcPr>
            <w:tcW w:w="1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Translation</w:t>
            </w: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4"/>
              </w:rPr>
              <w:t>Benefit</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With OTTI</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All Other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Hedges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 (76,772)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(142,853)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9"/>
              </w:rPr>
              <w:t>674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(117,046)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gain (loss) during 2010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(10,281)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145,185</w:t>
            </w:r>
          </w:p>
        </w:tc>
        <w:tc>
          <w:tcPr>
            <w:tcW w:w="100" w:type="dxa"/>
            <w:vAlign w:val="bottom"/>
          </w:tcPr>
          <w:p>
            <w:pPr>
              <w:spacing w:after="0"/>
              <w:rPr>
                <w:sz w:val="18"/>
                <w:szCs w:val="18"/>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w w:val="85"/>
              </w:rPr>
              <w:t>(281)</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(3,846)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130,777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9"/>
              </w:rPr>
              <w:t>393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(120,892)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gain (loss) during 2011</w:t>
            </w:r>
          </w:p>
        </w:tc>
        <w:tc>
          <w:tcPr>
            <w:tcW w:w="660" w:type="dxa"/>
            <w:vAlign w:val="bottom"/>
          </w:tcPr>
          <w:p>
            <w:pPr>
              <w:jc w:val="right"/>
              <w:spacing w:after="0"/>
              <w:rPr>
                <w:sz w:val="20"/>
                <w:szCs w:val="20"/>
                <w:color w:val="auto"/>
              </w:rPr>
            </w:pPr>
            <w:r>
              <w:rPr>
                <w:rFonts w:ascii="Arial" w:cs="Arial" w:eastAsia="Arial" w:hAnsi="Arial"/>
                <w:sz w:val="18"/>
                <w:szCs w:val="18"/>
                <w:color w:val="auto"/>
              </w:rPr>
              <w:t>3,024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w w:val="85"/>
              </w:rPr>
              <w:t>(281)</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(803)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(156,824)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(151,221)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(84,029)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9"/>
              </w:rPr>
              <w:t>112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(277,716)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gain (loss) during 2012</w:t>
            </w:r>
          </w:p>
        </w:tc>
        <w:tc>
          <w:tcPr>
            <w:tcW w:w="660" w:type="dxa"/>
            <w:vAlign w:val="bottom"/>
          </w:tcPr>
          <w:p>
            <w:pPr>
              <w:jc w:val="right"/>
              <w:spacing w:after="0"/>
              <w:rPr>
                <w:sz w:val="20"/>
                <w:szCs w:val="20"/>
                <w:color w:val="auto"/>
              </w:rPr>
            </w:pPr>
            <w:r>
              <w:rPr>
                <w:rFonts w:ascii="Arial" w:cs="Arial" w:eastAsia="Arial" w:hAnsi="Arial"/>
                <w:sz w:val="18"/>
                <w:szCs w:val="18"/>
                <w:color w:val="auto"/>
              </w:rPr>
              <w:t>28,239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86,586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w w:val="85"/>
              </w:rPr>
              <w:t>(112)</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519</w:t>
            </w: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116,177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 (55,790)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92,581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(276,771)</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Other income and other expense</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1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8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Bank owned life insurance</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w w:val="91"/>
              </w:rPr>
              <w:t>$ 51,199</w:t>
            </w:r>
          </w:p>
        </w:tc>
        <w:tc>
          <w:tcPr>
            <w:tcW w:w="1720" w:type="dxa"/>
            <w:vAlign w:val="bottom"/>
          </w:tcPr>
          <w:p>
            <w:pPr>
              <w:jc w:val="right"/>
              <w:ind w:right="438"/>
              <w:spacing w:after="0"/>
              <w:rPr>
                <w:sz w:val="20"/>
                <w:szCs w:val="20"/>
                <w:color w:val="auto"/>
              </w:rPr>
            </w:pPr>
            <w:r>
              <w:rPr>
                <w:rFonts w:ascii="Arial" w:cs="Arial" w:eastAsia="Arial" w:hAnsi="Arial"/>
                <w:sz w:val="18"/>
                <w:szCs w:val="18"/>
                <w:color w:val="auto"/>
              </w:rPr>
              <w:t>$ 50,776</w:t>
            </w:r>
          </w:p>
        </w:tc>
        <w:tc>
          <w:tcPr>
            <w:tcW w:w="780" w:type="dxa"/>
            <w:vAlign w:val="bottom"/>
          </w:tcPr>
          <w:p>
            <w:pPr>
              <w:jc w:val="right"/>
              <w:spacing w:after="0"/>
              <w:rPr>
                <w:sz w:val="20"/>
                <w:szCs w:val="20"/>
                <w:color w:val="auto"/>
              </w:rPr>
            </w:pPr>
            <w:r>
              <w:rPr>
                <w:rFonts w:ascii="Arial" w:cs="Arial" w:eastAsia="Arial" w:hAnsi="Arial"/>
                <w:sz w:val="18"/>
                <w:szCs w:val="18"/>
                <w:color w:val="auto"/>
              </w:rPr>
              <w:t>$ 50,483</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Credit-related fee income</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68,596</w:t>
            </w: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73,886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62,294</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Letter of credit fees</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58,496</w:t>
            </w:r>
          </w:p>
        </w:tc>
        <w:tc>
          <w:tcPr>
            <w:tcW w:w="1720" w:type="dxa"/>
            <w:vAlign w:val="bottom"/>
          </w:tcPr>
          <w:p>
            <w:pPr>
              <w:jc w:val="right"/>
              <w:ind w:right="438"/>
              <w:spacing w:after="0"/>
              <w:rPr>
                <w:sz w:val="20"/>
                <w:szCs w:val="20"/>
                <w:color w:val="auto"/>
              </w:rPr>
            </w:pPr>
            <w:r>
              <w:rPr>
                <w:rFonts w:ascii="Arial" w:cs="Arial" w:eastAsia="Arial" w:hAnsi="Arial"/>
                <w:sz w:val="18"/>
                <w:szCs w:val="18"/>
                <w:color w:val="auto"/>
              </w:rPr>
              <w:t>56,247</w:t>
            </w:r>
          </w:p>
        </w:tc>
        <w:tc>
          <w:tcPr>
            <w:tcW w:w="780" w:type="dxa"/>
            <w:vAlign w:val="bottom"/>
          </w:tcPr>
          <w:p>
            <w:pPr>
              <w:jc w:val="right"/>
              <w:spacing w:after="0"/>
              <w:rPr>
                <w:sz w:val="20"/>
                <w:szCs w:val="20"/>
                <w:color w:val="auto"/>
              </w:rPr>
            </w:pPr>
            <w:r>
              <w:rPr>
                <w:rFonts w:ascii="Arial" w:cs="Arial" w:eastAsia="Arial" w:hAnsi="Arial"/>
                <w:sz w:val="18"/>
                <w:szCs w:val="18"/>
                <w:color w:val="auto"/>
              </w:rPr>
              <w:t>49,762</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Non-taxable gain from business combination</w:t>
            </w: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64,930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Other expense:</w:t>
            </w: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8"/>
              </w:rPr>
              <w:t>248,544</w:t>
            </w: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222,122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128,629</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Amortization of capitalized servicing rights</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59,555</w:t>
            </w:r>
          </w:p>
        </w:tc>
        <w:tc>
          <w:tcPr>
            <w:tcW w:w="1720" w:type="dxa"/>
            <w:vAlign w:val="bottom"/>
          </w:tcPr>
          <w:p>
            <w:pPr>
              <w:jc w:val="right"/>
              <w:ind w:right="438"/>
              <w:spacing w:after="0"/>
              <w:rPr>
                <w:sz w:val="20"/>
                <w:szCs w:val="20"/>
                <w:color w:val="auto"/>
              </w:rPr>
            </w:pPr>
            <w:r>
              <w:rPr>
                <w:rFonts w:ascii="Arial" w:cs="Arial" w:eastAsia="Arial" w:hAnsi="Arial"/>
                <w:sz w:val="18"/>
                <w:szCs w:val="18"/>
                <w:color w:val="auto"/>
              </w:rPr>
              <w:t>55,859</w:t>
            </w:r>
          </w:p>
        </w:tc>
        <w:tc>
          <w:tcPr>
            <w:tcW w:w="780" w:type="dxa"/>
            <w:vAlign w:val="bottom"/>
          </w:tcPr>
          <w:p>
            <w:pPr>
              <w:jc w:val="right"/>
              <w:spacing w:after="0"/>
              <w:rPr>
                <w:sz w:val="20"/>
                <w:szCs w:val="20"/>
                <w:color w:val="auto"/>
              </w:rPr>
            </w:pPr>
            <w:r>
              <w:rPr>
                <w:rFonts w:ascii="Arial" w:cs="Arial" w:eastAsia="Arial" w:hAnsi="Arial"/>
                <w:sz w:val="18"/>
                <w:szCs w:val="18"/>
                <w:color w:val="auto"/>
              </w:rPr>
              <w:t>56,582</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and promotion</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52,388</w:t>
            </w: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58,312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41,869</w:t>
            </w:r>
          </w:p>
        </w:tc>
        <w:tc>
          <w:tcPr>
            <w:tcW w:w="100" w:type="dxa"/>
            <w:vAlign w:val="bottom"/>
            <w:shd w:val="clear" w:color="auto" w:fill="CCEEFF"/>
          </w:tcPr>
          <w:p>
            <w:pPr>
              <w:spacing w:after="0"/>
              <w:rPr>
                <w:sz w:val="18"/>
                <w:szCs w:val="18"/>
                <w:color w:val="auto"/>
              </w:rPr>
            </w:pPr>
          </w:p>
        </w:tc>
      </w:tr>
      <w:tr>
        <w:trPr>
          <w:trHeight w:val="222"/>
        </w:trPr>
        <w:tc>
          <w:tcPr>
            <w:tcW w:w="8040" w:type="dxa"/>
            <w:vAlign w:val="bottom"/>
          </w:tcPr>
          <w:p>
            <w:pPr>
              <w:ind w:left="220"/>
              <w:spacing w:after="0"/>
              <w:rPr>
                <w:sz w:val="20"/>
                <w:szCs w:val="20"/>
                <w:color w:val="auto"/>
              </w:rPr>
            </w:pPr>
            <w:r>
              <w:rPr>
                <w:rFonts w:ascii="Arial" w:cs="Arial" w:eastAsia="Arial" w:hAnsi="Arial"/>
                <w:sz w:val="18"/>
                <w:szCs w:val="18"/>
                <w:color w:val="auto"/>
              </w:rPr>
              <w:t>Write-down of investment in Bayview Lending Group LLC (“BLG”)</w:t>
            </w:r>
          </w:p>
        </w:tc>
        <w:tc>
          <w:tcPr>
            <w:tcW w:w="780" w:type="dxa"/>
            <w:vAlign w:val="bottom"/>
          </w:tcPr>
          <w:p>
            <w:pPr>
              <w:spacing w:after="0"/>
              <w:rPr>
                <w:sz w:val="19"/>
                <w:szCs w:val="19"/>
                <w:color w:val="auto"/>
              </w:rPr>
            </w:pPr>
          </w:p>
        </w:tc>
        <w:tc>
          <w:tcPr>
            <w:tcW w:w="1720" w:type="dxa"/>
            <w:vAlign w:val="bottom"/>
          </w:tcPr>
          <w:p>
            <w:pPr>
              <w:jc w:val="right"/>
              <w:ind w:right="438"/>
              <w:spacing w:after="0"/>
              <w:rPr>
                <w:sz w:val="20"/>
                <w:szCs w:val="20"/>
                <w:color w:val="auto"/>
              </w:rPr>
            </w:pPr>
            <w:r>
              <w:rPr>
                <w:rFonts w:ascii="Arial" w:cs="Arial" w:eastAsia="Arial" w:hAnsi="Arial"/>
                <w:sz w:val="18"/>
                <w:szCs w:val="18"/>
                <w:color w:val="auto"/>
              </w:rPr>
              <w:t>79,012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International activities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engages in certain international activities consisting largely of collecting Eurodollar deposits, engaging in foreign currency trading, providing credit to support the international activities of domestic companies and holding certain loans to foreign borrowers. As a result of the Wilmington Trust acquisition, the Company offers certain trust-related services in Europe and the Cayman Islands. Revenues from providing such trust-related services were approximately $24 million in 2012 and $15 million in 2011. Net assets identified with international activities amounted to $179,433,000 and $159,579,000 at December 31, 2012 and 2011, respectively. Such assets included $148,602,000 and $128,187,000, respectively, of loans to foreign borrowers. Deposits at M&amp;T Bank’s Cayman Islands office were $1,044,519,000 and $355,927,000 at December 31, 2012 and 2011, respectively. The Company uses such deposits to facilitate customer demand and as an alternative to short-term borrowings when the costs of such deposits seem reasonable.</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Derivative financial instruments</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December 31, 2012.</w:t>
      </w:r>
    </w:p>
    <w:p>
      <w:pPr>
        <w:spacing w:after="0" w:line="3"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The net effect of interest rate swap agreements was to increase net interest income by $36 million in 2012, $38 million in 2011 and $42 million in 2010. The average notional amounts of interest rate swap agreements impacting net interest income that were entered into for interest rate risk management purposes were $900 million in each of 2012 and 2011 and $1.01 billion in 2010.</w:t>
      </w:r>
    </w:p>
    <w:p>
      <w:pPr>
        <w:spacing w:after="0" w:line="1" w:lineRule="exact"/>
        <w:rPr>
          <w:sz w:val="20"/>
          <w:szCs w:val="20"/>
          <w:color w:val="auto"/>
        </w:rPr>
      </w:pPr>
    </w:p>
    <w:p>
      <w:pPr>
        <w:ind w:right="60" w:firstLine="685"/>
        <w:spacing w:after="0" w:line="261"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2"/>
              <w:spacing w:after="0"/>
              <w:rPr>
                <w:sz w:val="20"/>
                <w:szCs w:val="20"/>
                <w:color w:val="auto"/>
              </w:rPr>
            </w:pPr>
            <w:r>
              <w:rPr>
                <w:rFonts w:ascii="Arial" w:cs="Arial" w:eastAsia="Arial" w:hAnsi="Arial"/>
                <w:sz w:val="14"/>
                <w:szCs w:val="14"/>
                <w:b w:val="1"/>
                <w:bCs w:val="1"/>
                <w:color w:val="auto"/>
                <w:w w:val="92"/>
              </w:rPr>
              <w:t>Notional</w:t>
            </w:r>
          </w:p>
        </w:tc>
        <w:tc>
          <w:tcPr>
            <w:tcW w:w="6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rPr>
              <w:t>Rate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Maturity</w:t>
            </w:r>
          </w:p>
        </w:tc>
        <w:tc>
          <w:tcPr>
            <w:tcW w:w="6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7"/>
              </w:rPr>
              <w:t>Fixed</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Variable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 Gain</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(In years)</w:t>
            </w:r>
          </w:p>
        </w:tc>
        <w:tc>
          <w:tcPr>
            <w:tcW w:w="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December 31,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Fixed rate long-term borrowings(a)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6.07%</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90"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The notional amount of interest rate swap agreements entered into for risk management purposes that were outstanding at December 31, 2012 mature in 2016 and 2017.</w:t>
      </w:r>
    </w:p>
    <w:p>
      <w:pPr>
        <w:ind w:right="140" w:firstLine="685"/>
        <w:spacing w:after="0" w:line="281"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2" w:lineRule="exact"/>
        <w:rPr>
          <w:sz w:val="20"/>
          <w:szCs w:val="20"/>
          <w:color w:val="auto"/>
        </w:rPr>
      </w:pPr>
    </w:p>
    <w:p>
      <w:pPr>
        <w:ind w:right="460" w:firstLine="685"/>
        <w:spacing w:after="0" w:line="295"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$15.5 billion and $13.9 billion at December 31, 2012 and 2011, respectively. The notional amounts of foreign currency and other option and futures contracts entered into for trading purposes aggregated $869 million and $1.4 billion at December 31, 2012 and 2011,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Asset Derivatives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Liability Derivatives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398"/>
              <w:spacing w:after="0" w:line="149" w:lineRule="exact"/>
              <w:rPr>
                <w:sz w:val="20"/>
                <w:szCs w:val="20"/>
                <w:color w:val="auto"/>
              </w:rPr>
            </w:pPr>
            <w:r>
              <w:rPr>
                <w:rFonts w:ascii="Arial" w:cs="Arial" w:eastAsia="Arial" w:hAnsi="Arial"/>
                <w:sz w:val="14"/>
                <w:szCs w:val="14"/>
                <w:b w:val="1"/>
                <w:bCs w:val="1"/>
                <w:color w:val="auto"/>
                <w:w w:val="89"/>
              </w:rPr>
              <w:t>Fair Value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4"/>
          </w:tcPr>
          <w:p>
            <w:pPr>
              <w:jc w:val="right"/>
              <w:ind w:right="418"/>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Fair value hedges: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agreements(a)</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$ 143,179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$ 147,302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Commitments to sell real estate loans(a)</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1,114</w:t>
            </w: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144,293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sale(a)</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Commitments to sell real estate loans(a)</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1,982</w:t>
            </w:r>
          </w:p>
        </w:tc>
        <w:tc>
          <w:tcPr>
            <w:tcW w:w="700" w:type="dxa"/>
            <w:vAlign w:val="bottom"/>
          </w:tcPr>
          <w:p>
            <w:pPr>
              <w:jc w:val="right"/>
              <w:spacing w:after="0"/>
              <w:rPr>
                <w:sz w:val="20"/>
                <w:szCs w:val="20"/>
                <w:color w:val="auto"/>
              </w:rPr>
            </w:pPr>
            <w:r>
              <w:rPr>
                <w:rFonts w:ascii="Arial" w:cs="Arial" w:eastAsia="Arial" w:hAnsi="Arial"/>
                <w:sz w:val="18"/>
                <w:szCs w:val="18"/>
                <w:color w:val="auto"/>
              </w:rPr>
              <w:t>1,328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6,570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Interest rate contracts(b)</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399,963</w:t>
            </w:r>
          </w:p>
        </w:tc>
        <w:tc>
          <w:tcPr>
            <w:tcW w:w="700" w:type="dxa"/>
            <w:vAlign w:val="bottom"/>
          </w:tcPr>
          <w:p>
            <w:pPr>
              <w:jc w:val="right"/>
              <w:spacing w:after="0"/>
              <w:rPr>
                <w:sz w:val="20"/>
                <w:szCs w:val="20"/>
                <w:color w:val="auto"/>
              </w:rPr>
            </w:pPr>
            <w:r>
              <w:rPr>
                <w:rFonts w:ascii="Arial" w:cs="Arial" w:eastAsia="Arial" w:hAnsi="Arial"/>
                <w:sz w:val="18"/>
                <w:szCs w:val="18"/>
                <w:color w:val="auto"/>
              </w:rPr>
              <w:t>443,033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365,616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415,836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contracts(b)</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458,726</w:t>
            </w:r>
          </w:p>
        </w:tc>
        <w:tc>
          <w:tcPr>
            <w:tcW w:w="700" w:type="dxa"/>
            <w:vAlign w:val="bottom"/>
          </w:tcPr>
          <w:p>
            <w:pPr>
              <w:jc w:val="right"/>
              <w:spacing w:after="0"/>
              <w:rPr>
                <w:sz w:val="20"/>
                <w:szCs w:val="20"/>
                <w:color w:val="auto"/>
              </w:rPr>
            </w:pPr>
            <w:r>
              <w:rPr>
                <w:rFonts w:ascii="Arial" w:cs="Arial" w:eastAsia="Arial" w:hAnsi="Arial"/>
                <w:sz w:val="18"/>
                <w:szCs w:val="18"/>
                <w:color w:val="auto"/>
              </w:rPr>
              <w:t>471,467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381,041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438,398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$ 603,019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$ 619,001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384,866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440,685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86"/>
              </w:rPr>
              <w:t>Amount of Unrealized Gain (Loss) Recognized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jc w:val="center"/>
              <w:ind w:left="197"/>
              <w:spacing w:after="0" w:line="129" w:lineRule="exact"/>
              <w:rPr>
                <w:sz w:val="20"/>
                <w:szCs w:val="20"/>
                <w:color w:val="auto"/>
              </w:rPr>
            </w:pPr>
            <w:r>
              <w:rPr>
                <w:rFonts w:ascii="Arial" w:cs="Arial" w:eastAsia="Arial" w:hAnsi="Arial"/>
                <w:sz w:val="14"/>
                <w:szCs w:val="14"/>
                <w:b w:val="1"/>
                <w:bCs w:val="1"/>
                <w:color w:val="auto"/>
                <w:w w:val="88"/>
              </w:rPr>
              <w:t>Year Ended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Year Ended</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500"/>
              <w:spacing w:after="0" w:line="129" w:lineRule="exact"/>
              <w:rPr>
                <w:sz w:val="20"/>
                <w:szCs w:val="20"/>
                <w:color w:val="auto"/>
              </w:rPr>
            </w:pPr>
            <w:r>
              <w:rPr>
                <w:rFonts w:ascii="Arial" w:cs="Arial" w:eastAsia="Arial" w:hAnsi="Arial"/>
                <w:sz w:val="14"/>
                <w:szCs w:val="14"/>
                <w:b w:val="1"/>
                <w:bCs w:val="1"/>
                <w:color w:val="auto"/>
                <w:w w:val="90"/>
              </w:rPr>
              <w:t>Year Ended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center"/>
              <w:ind w:left="197"/>
              <w:spacing w:after="0"/>
              <w:rPr>
                <w:sz w:val="20"/>
                <w:szCs w:val="20"/>
                <w:color w:val="auto"/>
              </w:rPr>
            </w:pPr>
            <w:r>
              <w:rPr>
                <w:rFonts w:ascii="Arial" w:cs="Arial" w:eastAsia="Arial" w:hAnsi="Arial"/>
                <w:sz w:val="14"/>
                <w:szCs w:val="14"/>
                <w:b w:val="1"/>
                <w:bCs w:val="1"/>
                <w:color w:val="auto"/>
                <w:w w:val="85"/>
              </w:rPr>
              <w:t>December 31, 2012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Derivative</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Hedged Item</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Derivative</w:t>
            </w:r>
          </w:p>
        </w:tc>
        <w:tc>
          <w:tcPr>
            <w:tcW w:w="5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Hedged Item</w:t>
            </w:r>
          </w:p>
        </w:tc>
        <w:tc>
          <w:tcPr>
            <w:tcW w:w="5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Derivative</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left="257"/>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Fixed rate long-term borrowings(a)</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(4,123)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3,724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50,665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(47,916)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41,628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(39,802)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(4,123)</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3,724</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50,665</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(47,916)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41,125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(39,299)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rate contracts(b)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6,130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3,760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contracts(b)</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(3,970)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w w:val="94"/>
              </w:rPr>
              <w:t>(2,649)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4,034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3,481</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55" w:lineRule="exact"/>
        <w:rPr>
          <w:sz w:val="20"/>
          <w:szCs w:val="20"/>
          <w:color w:val="auto"/>
        </w:rPr>
      </w:pPr>
    </w:p>
    <w:p>
      <w:pPr>
        <w:ind w:left="11220"/>
        <w:spacing w:after="0"/>
        <w:rPr>
          <w:sz w:val="20"/>
          <w:szCs w:val="20"/>
          <w:color w:val="auto"/>
        </w:rPr>
      </w:pPr>
      <w:r>
        <w:rPr>
          <w:rFonts w:ascii="Arial" w:cs="Arial" w:eastAsia="Arial" w:hAnsi="Arial"/>
          <w:sz w:val="11"/>
          <w:szCs w:val="11"/>
          <w:color w:val="auto"/>
        </w:rPr>
        <w:t>155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83"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$89 million and $12 million at December 31, 2012 and 2011, respectively. Changes in unrealized gains and losses are included in mortgage banking revenues and, in general, are realized in subsequent periods as the related loans are sold and commitments satisfied.</w:t>
      </w:r>
    </w:p>
    <w:p>
      <w:pPr>
        <w:spacing w:after="0" w:line="1"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aggregate fair value of derivative financial instruments in a net liability position at December 31, 2012 for which the Company was required to post collateral was $281 million. The fair value of collateral posted for such instruments was $266 million.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December 31, 2012 was $84 million, for which the Company had posted collateral of $65 million in the normal course of business. If the credit-risk-related contingent features had been triggered on December 31, 2012, the maximum amount of additional collateral the Company would have been required to post with counterparties was $19 million.</w:t>
      </w:r>
    </w:p>
    <w:p>
      <w:pPr>
        <w:spacing w:after="0" w:line="5" w:lineRule="exact"/>
        <w:rPr>
          <w:sz w:val="20"/>
          <w:szCs w:val="20"/>
          <w:color w:val="auto"/>
        </w:rPr>
      </w:pPr>
    </w:p>
    <w:p>
      <w:pPr>
        <w:ind w:right="80" w:firstLine="685"/>
        <w:spacing w:after="0" w:line="254" w:lineRule="auto"/>
        <w:rPr>
          <w:sz w:val="20"/>
          <w:szCs w:val="20"/>
          <w:color w:val="auto"/>
        </w:rPr>
      </w:pPr>
      <w:r>
        <w:rPr>
          <w:rFonts w:ascii="Arial" w:cs="Arial" w:eastAsia="Arial" w:hAnsi="Arial"/>
          <w:sz w:val="18"/>
          <w:szCs w:val="18"/>
          <w:color w:val="auto"/>
        </w:rPr>
        <w:t>The Company’s credit exposure with respect to the estimated fair value as of December 31, 2012 of interest rate swap agreements used for managing interest rate risk has been substantially mitigated through master netting arrangements with trading account interest rate contracts with the same counterparties as well as counterparty postings of $69 million of collateral with the Company. Trading account interest rate swap agreements entered into with customers are subject to the Company’s credit standards and often contain collateral provisions.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Variable interest entities and asset securitizations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2002 and 2003, the Company transferred approximately $1.9 billion of one-to-four family residential mortgage loans to qualified special-purpose trusts in two non-recourse securitization transactions. In exchange for the loans, the Company received cash, no more than 88% of the resulting securities, and the servicing rights to the loans. Through December 31, 2009, all of the retained securities were classified as investment securities available for sale as the qualified special-purpose trusts were not included in the Company’s consolidated financial statements. Effective January 1, 2010, following new accounting guidance issued by the Financial Accounting Standards Board (“FASB”) the Company determined that it was the primary beneficiary of both securitization trusts considering its role as servicer and its retained subordinated interests in the trusts. As a result, beginning January 1, 2010, the Company included the one-to-four family residential mortgage loans that were included in the two non-recourse securitization transactions in its consolidated financial statements. The effect of that consolidation on January 1, 2010 was to increase loans receivable by $424 million, decrease the amortized cost of available-for-sale investment securities by $360 million (fair value of $355 million), and increase borrowings by $65 million. The transition adjustment at January 1, 2010 as a result of the Company’s adoption of the new accounting requirements was not significant. In the second quarter of 2010, the 2002 securitization trust was terminated as the Company exercised its right to purchase the underlying mortgage loans pursuant to the clean-up call provisions of the qualified special-purpose trust. At December 31, 2012 and 2011, the carrying values of the loans in the remaining securitization trust were $151 million and $196 million, respectively. The outstanding principal amount of mortgage-backed securities issued by the qualified special purpose trust that was held by parties unrelated to M&amp;T at December 31, 2012 and 2011 was $23 million and $30 million, respectively. Because the transaction was non-recourse, the Company’s maximum exposure to loss as a result of its association with the trust at December 31, 2012 is limited to realizing the carrying value of the loans less the amount of the mortgage-backed securities held by third parties.</w:t>
      </w:r>
    </w:p>
    <w:p>
      <w:pPr>
        <w:spacing w:after="0" w:line="10" w:lineRule="exact"/>
        <w:rPr>
          <w:sz w:val="20"/>
          <w:szCs w:val="20"/>
          <w:color w:val="auto"/>
        </w:rPr>
      </w:pPr>
    </w:p>
    <w:p>
      <w:pPr>
        <w:ind w:right="320" w:firstLine="685"/>
        <w:spacing w:after="0" w:line="302" w:lineRule="auto"/>
        <w:rPr>
          <w:sz w:val="20"/>
          <w:szCs w:val="20"/>
          <w:color w:val="auto"/>
        </w:rPr>
      </w:pPr>
      <w:r>
        <w:rPr>
          <w:rFonts w:ascii="Arial" w:cs="Arial" w:eastAsia="Arial" w:hAnsi="Arial"/>
          <w:sz w:val="16"/>
          <w:szCs w:val="16"/>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2012 and 2011, the Company included the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ind w:right="40" w:firstLine="685"/>
        <w:spacing w:after="0" w:line="286"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$1.5 billion at December 31, 2012 and $1.4 billion at Deecember 31, 2011.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$270 million, including $71 million of unfunded commitments, at December 31, 2012 and $271 million, including $75 million of unfunded commitments, at December 31, 2011.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1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Fair value measurements</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December 31, 2012.</w:t>
      </w:r>
    </w:p>
    <w:p>
      <w:pPr>
        <w:ind w:firstLine="685"/>
        <w:spacing w:after="0" w:line="255"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3" w:lineRule="exact"/>
        <w:rPr>
          <w:sz w:val="20"/>
          <w:szCs w:val="20"/>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0" w:lineRule="exact"/>
        <w:rPr>
          <w:rFonts w:ascii="Arial" w:cs="Arial" w:eastAsia="Arial" w:hAnsi="Arial"/>
          <w:sz w:val="18"/>
          <w:szCs w:val="18"/>
          <w:color w:val="auto"/>
        </w:rPr>
      </w:pPr>
    </w:p>
    <w:p>
      <w:pPr>
        <w:ind w:left="660" w:right="40" w:hanging="206"/>
        <w:spacing w:after="0" w:line="33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4" w:lineRule="exact"/>
        <w:rPr>
          <w:sz w:val="20"/>
          <w:szCs w:val="20"/>
          <w:color w:val="auto"/>
        </w:rPr>
      </w:pPr>
    </w:p>
    <w:p>
      <w:pPr>
        <w:ind w:right="20" w:firstLine="685"/>
        <w:spacing w:after="0" w:line="294"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The markets for privately issued mortgage-backed securities have experienced a sharp reduction of non-agency mortgage-backed securities issuances, a reduction in trading volumes and wide bid-ask spreads.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Company supplemented its determination of fair value for many of its privately issued mortgage-backed securities by obtaining pricing indications from two independent sources at December 31, 2012 and 2011.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$1.1 billion at December 31, 2012 and $1.3 billion at December 31, 2011.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collateral valuation and loss rates.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bonds, the Company averaged the internal model valuations and the indications obtained from the two independent pricing sources, such that the weighted-average reliance on internal model pricing for the bonds modeled was 33% with a 67% average weighting placed on the values provided by the independent sources. Significant unobservable inputs used in the Company’s modeling of fair value for residential mortgage-backed securities are included in the accompanying table of significant unobservable inputs to Level 3 measurements. The Company concluded its estimate of fair value for the $1.1 billion of privately issued residential mortgage-backed securities was approximately $1.0 billion, which reflects a market yield based on reasonably likely cash flows of 6.8%. The Company determined the fair value of its privately issued commercial mortgage-backed securities held in its available-for-sale portfolio using quoted market prices obtained from third party pricing services without adjustment. Similar to privately-issued residential mortgage-backed securities, the market for commercial mortgage-backed securities has experienced significant declines in the level of market activity, resulting in the classification of such bonds as Level 3.</w:t>
      </w:r>
    </w:p>
    <w:p>
      <w:pPr>
        <w:spacing w:after="0" w:line="12"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independent pricing sources. The Company, therefore, performed internal modeling to estimate the cash flows and fair value of its portfolio of securities backed by trust preferred securities at December 31, 2012 and 2011.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11% with a weighted-average of 7% was used. Significant unobservable inputs used in the determination of estimated fair value of collateralized debt obligations are included in the accompanying table of significant unobservable inputs to Level 3 measurements. At December 31, 2012, the total amortized cost and fair value of securities backed by trust preferred securities issued by financial institutions and other entities were $43 million and $62 million, respectively, and at December 31, 2011 were $44 million and $53 million, respectively. Privately issued mortgage-backed securities and securities backed by trust preferred securities issued by financial institutions and other entities constituted all of the available-for-sale investment securities classified as Level 3 valuations as of December 31, 2012 and 2011.</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685"/>
        <w:spacing w:after="0" w:line="298" w:lineRule="auto"/>
        <w:rPr>
          <w:sz w:val="20"/>
          <w:szCs w:val="20"/>
          <w:color w:val="auto"/>
        </w:rPr>
      </w:pPr>
      <w:r>
        <w:rPr>
          <w:rFonts w:ascii="Arial" w:cs="Arial" w:eastAsia="Arial" w:hAnsi="Arial"/>
          <w:sz w:val="16"/>
          <w:szCs w:val="16"/>
          <w:color w:val="auto"/>
        </w:rPr>
        <w:t>The Company ensures an appropriate control framework is in place over the valuation processes and techniques used for Level 3 fair value measurements. Specifically, the Company attempts to obtain the market observable inputs used by third party pricing sources on a sample of bonds each quarter. Analytical procedures are performed to understand changes in fair value from period to period. Internal pricing models are subject to validation procedures including testing of mathematical constructs, review of valuation methodology and significant assumptions used.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tables present assets and liabilities at December 31, 2012 and 2011 measured at estimated fair value on a recurring basis: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Fair Value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Measurements at</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Level 1(a)</w:t>
            </w:r>
          </w:p>
        </w:tc>
        <w:tc>
          <w:tcPr>
            <w:tcW w:w="5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Level 2(a)</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4"/>
          </w:tcPr>
          <w:p>
            <w:pPr>
              <w:jc w:val="right"/>
              <w:ind w:right="120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488,966</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56,106</w:t>
            </w:r>
          </w:p>
        </w:tc>
        <w:tc>
          <w:tcPr>
            <w:tcW w:w="1860" w:type="dxa"/>
            <w:vAlign w:val="bottom"/>
            <w:tcBorders>
              <w:left w:val="single" w:sz="8" w:color="CCEEFF"/>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432,860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left w:val="single" w:sz="8" w:color="CCEEFF"/>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39,344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20,901</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20,901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3,371,041</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3,371,041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1,012,886</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1,012,886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111,950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111,950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110,446</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98,364</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12,082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4,739,437</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98,364</w:t>
            </w:r>
          </w:p>
        </w:tc>
        <w:tc>
          <w:tcPr>
            <w:tcW w:w="58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3,555,318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1,085,755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1,387,491</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1,387,491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assets(b)</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194,331</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146,275</w:t>
            </w:r>
          </w:p>
        </w:tc>
        <w:tc>
          <w:tcPr>
            <w:tcW w:w="760" w:type="dxa"/>
            <w:vAlign w:val="bottom"/>
          </w:tcPr>
          <w:p>
            <w:pPr>
              <w:jc w:val="right"/>
              <w:spacing w:after="0"/>
              <w:rPr>
                <w:sz w:val="20"/>
                <w:szCs w:val="20"/>
                <w:color w:val="auto"/>
              </w:rPr>
            </w:pPr>
            <w:r>
              <w:rPr>
                <w:rFonts w:ascii="Arial" w:cs="Arial" w:eastAsia="Arial" w:hAnsi="Arial"/>
                <w:sz w:val="18"/>
                <w:szCs w:val="18"/>
                <w:color w:val="auto"/>
              </w:rPr>
              <w:t>48,056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6,810,225</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154,470</w:t>
            </w:r>
          </w:p>
        </w:tc>
        <w:tc>
          <w:tcPr>
            <w:tcW w:w="1860" w:type="dxa"/>
            <w:vAlign w:val="bottom"/>
            <w:tcBorders>
              <w:left w:val="single" w:sz="8" w:color="CCEEFF"/>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5,521,944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1,133,811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374,274</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374,274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liabilities(b)</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384,866</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384,669</w:t>
            </w: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Fair Value</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Measurements at</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83"/>
              </w:rPr>
              <w:t>2011</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3"/>
              </w:rPr>
              <w:t>Level 1(a)</w:t>
            </w:r>
          </w:p>
        </w:tc>
        <w:tc>
          <w:tcPr>
            <w:tcW w:w="58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Level 2(a)</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Trading account 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561,834</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53,165</w:t>
            </w:r>
          </w:p>
        </w:tc>
        <w:tc>
          <w:tcPr>
            <w:tcW w:w="5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508,669</w:t>
            </w:r>
          </w:p>
        </w:tc>
        <w:tc>
          <w:tcPr>
            <w:tcW w:w="5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70,723</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40,269</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40,269</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4,521,233</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4,521,233</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1,136,256</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1,136,256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15,029</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52,500</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176,845</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176,845</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205,587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6,228,560</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205,587</w:t>
            </w: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4,819,188</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1,203,785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371,437</w:t>
            </w:r>
          </w:p>
        </w:tc>
        <w:tc>
          <w:tcPr>
            <w:tcW w:w="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371,437</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assets (b)</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156,853</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148,862</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7,318,684</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258,752</w:t>
            </w:r>
          </w:p>
        </w:tc>
        <w:tc>
          <w:tcPr>
            <w:tcW w:w="1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5,848,156</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1,211,776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434,559</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434,559</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440,685</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439,617</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There were no significant transfers between Level 1 and Level 2 of the fair value hierarchy during the years ended December 31, 2012 and 2011.</w:t>
      </w:r>
    </w:p>
    <w:p>
      <w:pPr>
        <w:spacing w:after="0" w:line="86" w:lineRule="exact"/>
        <w:rPr>
          <w:rFonts w:ascii="Arial" w:cs="Arial" w:eastAsia="Arial" w:hAnsi="Arial"/>
          <w:sz w:val="16"/>
          <w:szCs w:val="16"/>
          <w:i w:val="1"/>
          <w:iCs w:val="1"/>
          <w:color w:val="auto"/>
        </w:rPr>
      </w:pPr>
    </w:p>
    <w:p>
      <w:pPr>
        <w:ind w:left="460" w:right="700" w:hanging="452"/>
        <w:spacing w:after="0" w:line="268" w:lineRule="auto"/>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year ended December 31, 2012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6"/>
              </w:rPr>
              <w:t>Investment Securities Available for Sale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5"/>
          </w:tcPr>
          <w:p>
            <w:pPr>
              <w:jc w:val="center"/>
              <w:ind w:right="632"/>
              <w:spacing w:after="0" w:line="129" w:lineRule="exact"/>
              <w:rPr>
                <w:sz w:val="20"/>
                <w:szCs w:val="20"/>
                <w:color w:val="auto"/>
              </w:rPr>
            </w:pPr>
            <w:r>
              <w:rPr>
                <w:rFonts w:ascii="Arial" w:cs="Arial" w:eastAsia="Arial" w:hAnsi="Arial"/>
                <w:sz w:val="14"/>
                <w:szCs w:val="14"/>
                <w:b w:val="1"/>
                <w:bCs w:val="1"/>
                <w:color w:val="auto"/>
                <w:w w:val="92"/>
              </w:rPr>
              <w:t>Privately</w:t>
            </w:r>
          </w:p>
        </w:tc>
        <w:tc>
          <w:tcPr>
            <w:tcW w:w="240" w:type="dxa"/>
            <w:vAlign w:val="bottom"/>
          </w:tcPr>
          <w:p>
            <w:pPr>
              <w:spacing w:after="0"/>
              <w:rPr>
                <w:sz w:val="11"/>
                <w:szCs w:val="11"/>
                <w:color w:val="auto"/>
              </w:rPr>
            </w:pPr>
          </w:p>
        </w:tc>
        <w:tc>
          <w:tcPr>
            <w:tcW w:w="1600" w:type="dxa"/>
            <w:vAlign w:val="bottom"/>
            <w:gridSpan w:val="5"/>
          </w:tcPr>
          <w:p>
            <w:pPr>
              <w:jc w:val="center"/>
              <w:ind w:right="880"/>
              <w:spacing w:after="0" w:line="129" w:lineRule="exact"/>
              <w:rPr>
                <w:sz w:val="20"/>
                <w:szCs w:val="20"/>
                <w:color w:val="auto"/>
              </w:rPr>
            </w:pPr>
            <w:r>
              <w:rPr>
                <w:rFonts w:ascii="Arial" w:cs="Arial" w:eastAsia="Arial" w:hAnsi="Arial"/>
                <w:sz w:val="14"/>
                <w:szCs w:val="14"/>
                <w:b w:val="1"/>
                <w:bCs w:val="1"/>
                <w:color w:val="auto"/>
                <w:w w:val="89"/>
              </w:rPr>
              <w:t>Privately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832"/>
              <w:spacing w:after="0" w:line="149" w:lineRule="exact"/>
              <w:rPr>
                <w:sz w:val="20"/>
                <w:szCs w:val="20"/>
                <w:color w:val="auto"/>
              </w:rPr>
            </w:pPr>
            <w:r>
              <w:rPr>
                <w:rFonts w:ascii="Arial" w:cs="Arial" w:eastAsia="Arial" w:hAnsi="Arial"/>
                <w:sz w:val="14"/>
                <w:szCs w:val="14"/>
                <w:b w:val="1"/>
                <w:bCs w:val="1"/>
                <w:color w:val="auto"/>
                <w:w w:val="85"/>
              </w:rPr>
              <w:t>Issued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right="1020"/>
              <w:spacing w:after="0" w:line="149" w:lineRule="exact"/>
              <w:rPr>
                <w:sz w:val="20"/>
                <w:szCs w:val="20"/>
                <w:color w:val="auto"/>
              </w:rPr>
            </w:pPr>
            <w:r>
              <w:rPr>
                <w:rFonts w:ascii="Arial" w:cs="Arial" w:eastAsia="Arial" w:hAnsi="Arial"/>
                <w:sz w:val="14"/>
                <w:szCs w:val="14"/>
                <w:b w:val="1"/>
                <w:bCs w:val="1"/>
                <w:color w:val="auto"/>
                <w:w w:val="81"/>
              </w:rPr>
              <w:t>Issued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jc w:val="center"/>
              <w:ind w:right="632"/>
              <w:spacing w:after="0" w:line="149" w:lineRule="exact"/>
              <w:rPr>
                <w:sz w:val="20"/>
                <w:szCs w:val="20"/>
                <w:color w:val="auto"/>
              </w:rPr>
            </w:pPr>
            <w:r>
              <w:rPr>
                <w:rFonts w:ascii="Arial" w:cs="Arial" w:eastAsia="Arial" w:hAnsi="Arial"/>
                <w:sz w:val="14"/>
                <w:szCs w:val="14"/>
                <w:b w:val="1"/>
                <w:bCs w:val="1"/>
                <w:color w:val="auto"/>
                <w:w w:val="88"/>
              </w:rPr>
              <w:t>Residential</w:t>
            </w:r>
          </w:p>
        </w:tc>
        <w:tc>
          <w:tcPr>
            <w:tcW w:w="240" w:type="dxa"/>
            <w:vAlign w:val="bottom"/>
          </w:tcPr>
          <w:p>
            <w:pPr>
              <w:spacing w:after="0"/>
              <w:rPr>
                <w:sz w:val="12"/>
                <w:szCs w:val="12"/>
                <w:color w:val="auto"/>
              </w:rPr>
            </w:pPr>
          </w:p>
        </w:tc>
        <w:tc>
          <w:tcPr>
            <w:tcW w:w="1600" w:type="dxa"/>
            <w:vAlign w:val="bottom"/>
            <w:gridSpan w:val="5"/>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Commercial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jc w:val="center"/>
              <w:ind w:right="632"/>
              <w:spacing w:after="0" w:line="149" w:lineRule="exact"/>
              <w:rPr>
                <w:sz w:val="20"/>
                <w:szCs w:val="20"/>
                <w:color w:val="auto"/>
              </w:rPr>
            </w:pPr>
            <w:r>
              <w:rPr>
                <w:rFonts w:ascii="Arial" w:cs="Arial" w:eastAsia="Arial" w:hAnsi="Arial"/>
                <w:sz w:val="14"/>
                <w:szCs w:val="14"/>
                <w:b w:val="1"/>
                <w:bCs w:val="1"/>
                <w:color w:val="auto"/>
                <w:w w:val="91"/>
              </w:rPr>
              <w:t>Mortgage-</w:t>
            </w:r>
          </w:p>
        </w:tc>
        <w:tc>
          <w:tcPr>
            <w:tcW w:w="240" w:type="dxa"/>
            <w:vAlign w:val="bottom"/>
          </w:tcPr>
          <w:p>
            <w:pPr>
              <w:spacing w:after="0"/>
              <w:rPr>
                <w:sz w:val="12"/>
                <w:szCs w:val="12"/>
                <w:color w:val="auto"/>
              </w:rPr>
            </w:pPr>
          </w:p>
        </w:tc>
        <w:tc>
          <w:tcPr>
            <w:tcW w:w="1600" w:type="dxa"/>
            <w:vAlign w:val="bottom"/>
            <w:gridSpan w:val="5"/>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Mortgage-</w:t>
            </w: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Collateralized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73"/>
              </w:rPr>
              <w:t>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jc w:val="center"/>
              <w:ind w:right="632"/>
              <w:spacing w:after="0" w:line="149" w:lineRule="exact"/>
              <w:rPr>
                <w:sz w:val="20"/>
                <w:szCs w:val="20"/>
                <w:color w:val="auto"/>
              </w:rPr>
            </w:pPr>
            <w:r>
              <w:rPr>
                <w:rFonts w:ascii="Arial" w:cs="Arial" w:eastAsia="Arial" w:hAnsi="Arial"/>
                <w:sz w:val="14"/>
                <w:szCs w:val="14"/>
                <w:b w:val="1"/>
                <w:bCs w:val="1"/>
                <w:color w:val="auto"/>
                <w:w w:val="86"/>
              </w:rPr>
              <w:t>backed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backed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0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jc w:val="center"/>
              <w:ind w:right="652"/>
              <w:spacing w:after="0"/>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4"/>
                <w:szCs w:val="14"/>
                <w:color w:val="auto"/>
              </w:rPr>
            </w:pPr>
          </w:p>
        </w:tc>
        <w:tc>
          <w:tcPr>
            <w:tcW w:w="160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3"/>
              </w:rPr>
              <w:t>Securities</w:t>
            </w:r>
          </w:p>
        </w:tc>
        <w:tc>
          <w:tcPr>
            <w:tcW w:w="1400" w:type="dxa"/>
            <w:vAlign w:val="bottom"/>
            <w:gridSpan w:val="5"/>
          </w:tcPr>
          <w:p>
            <w:pPr>
              <w:ind w:left="60"/>
              <w:spacing w:after="0"/>
              <w:rPr>
                <w:sz w:val="20"/>
                <w:szCs w:val="20"/>
                <w:color w:val="auto"/>
              </w:rPr>
            </w:pPr>
            <w:r>
              <w:rPr>
                <w:rFonts w:ascii="Arial" w:cs="Arial" w:eastAsia="Arial" w:hAnsi="Arial"/>
                <w:sz w:val="14"/>
                <w:szCs w:val="14"/>
                <w:b w:val="1"/>
                <w:bCs w:val="1"/>
                <w:color w:val="auto"/>
              </w:rPr>
              <w:t>Obligations</w:t>
            </w:r>
          </w:p>
        </w:tc>
        <w:tc>
          <w:tcPr>
            <w:tcW w:w="280" w:type="dxa"/>
            <w:vAlign w:val="bottom"/>
          </w:tcPr>
          <w:p>
            <w:pPr>
              <w:spacing w:after="0"/>
              <w:rPr>
                <w:sz w:val="14"/>
                <w:szCs w:val="1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$1,136,256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15,029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72"/>
              <w:spacing w:after="0"/>
              <w:rPr>
                <w:sz w:val="20"/>
                <w:szCs w:val="20"/>
                <w:color w:val="auto"/>
              </w:rPr>
            </w:pPr>
            <w:r>
              <w:rPr>
                <w:rFonts w:ascii="Arial" w:cs="Arial" w:eastAsia="Arial" w:hAnsi="Arial"/>
                <w:sz w:val="18"/>
                <w:szCs w:val="18"/>
                <w:color w:val="auto"/>
                <w:w w:val="92"/>
              </w:rPr>
              <w:t>(42,467)(a)</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212,281(b)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32"/>
              <w:spacing w:after="0"/>
              <w:rPr>
                <w:sz w:val="20"/>
                <w:szCs w:val="20"/>
                <w:color w:val="auto"/>
              </w:rPr>
            </w:pPr>
            <w:r>
              <w:rPr>
                <w:rFonts w:ascii="Arial" w:cs="Arial" w:eastAsia="Arial" w:hAnsi="Arial"/>
                <w:sz w:val="18"/>
                <w:szCs w:val="18"/>
                <w:color w:val="auto"/>
                <w:w w:val="87"/>
              </w:rPr>
              <w:t>110,309(e)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8"/>
                <w:szCs w:val="18"/>
                <w:color w:val="auto"/>
                <w:w w:val="95"/>
              </w:rPr>
              <w:t>4,283(e)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12,214(e)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0" w:type="dxa"/>
            <w:vAlign w:val="bottom"/>
            <w:gridSpan w:val="5"/>
            <w:shd w:val="clear" w:color="auto" w:fill="CCEEFF"/>
          </w:tcPr>
          <w:p>
            <w:pPr>
              <w:jc w:val="right"/>
              <w:ind w:right="57"/>
              <w:spacing w:after="0"/>
              <w:rPr>
                <w:sz w:val="20"/>
                <w:szCs w:val="20"/>
                <w:color w:val="auto"/>
              </w:rPr>
            </w:pPr>
            <w:r>
              <w:rPr>
                <w:rFonts w:ascii="Arial" w:cs="Arial" w:eastAsia="Arial" w:hAnsi="Arial"/>
                <w:sz w:val="18"/>
                <w:szCs w:val="18"/>
                <w:color w:val="auto"/>
              </w:rPr>
              <w:t>(191,212)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1"/>
              </w:rPr>
              <w:t>(8,312)</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6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(171,345)(d)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1,012,886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47,859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8"/>
              </w:rPr>
              <w:t>Changes in unrealized gains (losses) included in earnings related to</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assets still held at December 31, 2012</w:t>
            </w:r>
          </w:p>
        </w:tc>
        <w:tc>
          <w:tcPr>
            <w:tcW w:w="1500" w:type="dxa"/>
            <w:vAlign w:val="bottom"/>
            <w:gridSpan w:val="6"/>
          </w:tcPr>
          <w:p>
            <w:pPr>
              <w:jc w:val="right"/>
              <w:ind w:right="372"/>
              <w:spacing w:after="0"/>
              <w:rPr>
                <w:sz w:val="20"/>
                <w:szCs w:val="20"/>
                <w:color w:val="auto"/>
              </w:rPr>
            </w:pPr>
            <w:r>
              <w:rPr>
                <w:rFonts w:ascii="Arial" w:cs="Arial" w:eastAsia="Arial" w:hAnsi="Arial"/>
                <w:sz w:val="18"/>
                <w:szCs w:val="18"/>
                <w:color w:val="auto"/>
                <w:w w:val="95"/>
              </w:rPr>
              <w:t>$  (42,467)(a)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47,859(b)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1400" w:type="dxa"/>
            <w:vAlign w:val="bottom"/>
            <w:gridSpan w:val="23"/>
          </w:tcPr>
          <w:p>
            <w:pPr>
              <w:jc w:val="right"/>
              <w:ind w:right="340"/>
              <w:spacing w:after="0"/>
              <w:rPr>
                <w:sz w:val="20"/>
                <w:szCs w:val="20"/>
                <w:color w:val="auto"/>
              </w:rPr>
            </w:pPr>
            <w:r>
              <w:rPr>
                <w:rFonts w:ascii="Arial" w:cs="Arial" w:eastAsia="Arial" w:hAnsi="Arial"/>
                <w:sz w:val="18"/>
                <w:szCs w:val="18"/>
                <w:color w:val="auto"/>
                <w:w w:val="92"/>
              </w:rPr>
              <w:t>The changes in Level 3 assets and liabilities measured at estimated fair value on a recurring basis during the year ended December 31, 2011 were as</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1"/>
              </w:rPr>
              <w:t>Investment Securities Available for Sale</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tcPr>
          <w:p>
            <w:pPr>
              <w:jc w:val="center"/>
              <w:ind w:right="432"/>
              <w:spacing w:after="0" w:line="129" w:lineRule="exact"/>
              <w:rPr>
                <w:sz w:val="20"/>
                <w:szCs w:val="20"/>
                <w:color w:val="auto"/>
              </w:rPr>
            </w:pPr>
            <w:r>
              <w:rPr>
                <w:rFonts w:ascii="Arial" w:cs="Arial" w:eastAsia="Arial" w:hAnsi="Arial"/>
                <w:sz w:val="14"/>
                <w:szCs w:val="14"/>
                <w:b w:val="1"/>
                <w:bCs w:val="1"/>
                <w:color w:val="auto"/>
                <w:w w:val="92"/>
              </w:rPr>
              <w:t>Privately</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89"/>
              </w:rPr>
              <w:t>Privately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432"/>
              <w:spacing w:after="0" w:line="149" w:lineRule="exact"/>
              <w:rPr>
                <w:sz w:val="20"/>
                <w:szCs w:val="20"/>
                <w:color w:val="auto"/>
              </w:rPr>
            </w:pPr>
            <w:r>
              <w:rPr>
                <w:rFonts w:ascii="Arial" w:cs="Arial" w:eastAsia="Arial" w:hAnsi="Arial"/>
                <w:sz w:val="14"/>
                <w:szCs w:val="14"/>
                <w:b w:val="1"/>
                <w:bCs w:val="1"/>
                <w:color w:val="auto"/>
                <w:w w:val="85"/>
              </w:rPr>
              <w:t>Issued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1"/>
              </w:rPr>
              <w:t>Issued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432"/>
              <w:spacing w:after="0" w:line="149" w:lineRule="exact"/>
              <w:rPr>
                <w:sz w:val="20"/>
                <w:szCs w:val="20"/>
                <w:color w:val="auto"/>
              </w:rPr>
            </w:pPr>
            <w:r>
              <w:rPr>
                <w:rFonts w:ascii="Arial" w:cs="Arial" w:eastAsia="Arial" w:hAnsi="Arial"/>
                <w:sz w:val="14"/>
                <w:szCs w:val="14"/>
                <w:b w:val="1"/>
                <w:bCs w:val="1"/>
                <w:color w:val="auto"/>
                <w:w w:val="88"/>
              </w:rPr>
              <w:t>Residential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432"/>
              <w:spacing w:after="0" w:line="149" w:lineRule="exact"/>
              <w:rPr>
                <w:sz w:val="20"/>
                <w:szCs w:val="20"/>
                <w:color w:val="auto"/>
              </w:rPr>
            </w:pPr>
            <w:r>
              <w:rPr>
                <w:rFonts w:ascii="Arial" w:cs="Arial" w:eastAsia="Arial" w:hAnsi="Arial"/>
                <w:sz w:val="14"/>
                <w:szCs w:val="14"/>
                <w:b w:val="1"/>
                <w:bCs w:val="1"/>
                <w:color w:val="auto"/>
                <w:w w:val="91"/>
              </w:rPr>
              <w:t>Mortgage-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Collateralized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432"/>
              <w:spacing w:after="0" w:line="149" w:lineRule="exact"/>
              <w:rPr>
                <w:sz w:val="20"/>
                <w:szCs w:val="20"/>
                <w:color w:val="auto"/>
              </w:rPr>
            </w:pPr>
            <w:r>
              <w:rPr>
                <w:rFonts w:ascii="Arial" w:cs="Arial" w:eastAsia="Arial" w:hAnsi="Arial"/>
                <w:sz w:val="14"/>
                <w:szCs w:val="14"/>
                <w:b w:val="1"/>
                <w:bCs w:val="1"/>
                <w:color w:val="auto"/>
                <w:w w:val="86"/>
              </w:rPr>
              <w:t>backed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backed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right="432"/>
              <w:spacing w:after="0"/>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4"/>
                <w:szCs w:val="14"/>
                <w:color w:val="auto"/>
              </w:rPr>
            </w:pPr>
          </w:p>
        </w:tc>
        <w:tc>
          <w:tcPr>
            <w:tcW w:w="13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3"/>
              </w:rPr>
              <w:t>Obligations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000" w:type="dxa"/>
            <w:vAlign w:val="bottom"/>
            <w:gridSpan w:val="5"/>
            <w:shd w:val="clear" w:color="auto" w:fill="CCEEFF"/>
          </w:tcPr>
          <w:p>
            <w:pPr>
              <w:jc w:val="center"/>
              <w:ind w:left="132"/>
              <w:spacing w:after="0"/>
              <w:rPr>
                <w:sz w:val="20"/>
                <w:szCs w:val="20"/>
                <w:color w:val="auto"/>
              </w:rPr>
            </w:pPr>
            <w:r>
              <w:rPr>
                <w:rFonts w:ascii="Arial" w:cs="Arial" w:eastAsia="Arial" w:hAnsi="Arial"/>
                <w:sz w:val="18"/>
                <w:szCs w:val="18"/>
                <w:color w:val="auto"/>
                <w:w w:val="86"/>
              </w:rPr>
              <w:t>$1,435,561</w:t>
            </w:r>
          </w:p>
        </w:tc>
        <w:tc>
          <w:tcPr>
            <w:tcW w:w="5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5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(64,919)(a)</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19,231(a)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67,163(b)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232"/>
              <w:spacing w:after="0"/>
              <w:rPr>
                <w:sz w:val="20"/>
                <w:szCs w:val="20"/>
                <w:color w:val="auto"/>
              </w:rPr>
            </w:pPr>
            <w:r>
              <w:rPr>
                <w:rFonts w:ascii="Arial" w:cs="Arial" w:eastAsia="Arial" w:hAnsi="Arial"/>
                <w:sz w:val="18"/>
                <w:szCs w:val="18"/>
                <w:color w:val="auto"/>
              </w:rPr>
              <w:t>6,489(e)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327(e)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(272)(e)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Sales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43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w w:val="93"/>
              </w:rPr>
              <w:t>(124,874)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500" w:type="dxa"/>
            <w:vAlign w:val="bottom"/>
            <w:gridSpan w:val="6"/>
            <w:shd w:val="clear" w:color="auto" w:fill="CCEEFF"/>
          </w:tcPr>
          <w:p>
            <w:pPr>
              <w:jc w:val="right"/>
              <w:ind w:right="372"/>
              <w:spacing w:after="0"/>
              <w:rPr>
                <w:sz w:val="20"/>
                <w:szCs w:val="20"/>
                <w:color w:val="auto"/>
              </w:rPr>
            </w:pPr>
            <w:r>
              <w:rPr>
                <w:rFonts w:ascii="Arial" w:cs="Arial" w:eastAsia="Arial" w:hAnsi="Arial"/>
                <w:sz w:val="18"/>
                <w:szCs w:val="18"/>
                <w:color w:val="auto"/>
              </w:rPr>
              <w:t>(240,875)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43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(62,484)(d)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2011</w:t>
            </w:r>
          </w:p>
        </w:tc>
        <w:tc>
          <w:tcPr>
            <w:tcW w:w="1000" w:type="dxa"/>
            <w:vAlign w:val="bottom"/>
            <w:gridSpan w:val="5"/>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1,136,256</w:t>
            </w:r>
          </w:p>
        </w:tc>
        <w:tc>
          <w:tcPr>
            <w:tcW w:w="5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5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8"/>
              </w:rPr>
              <w:t>Changes in unrealized gains (losses) included in earnings related to</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assets still held at December 31, 2011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172"/>
              <w:spacing w:after="0"/>
              <w:rPr>
                <w:sz w:val="20"/>
                <w:szCs w:val="20"/>
                <w:color w:val="auto"/>
              </w:rPr>
            </w:pPr>
            <w:r>
              <w:rPr>
                <w:rFonts w:ascii="Arial" w:cs="Arial" w:eastAsia="Arial" w:hAnsi="Arial"/>
                <w:sz w:val="18"/>
                <w:szCs w:val="18"/>
                <w:color w:val="auto"/>
                <w:w w:val="93"/>
              </w:rPr>
              <w:t>$  (64,919)(a)</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6,902(b)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year ended December 31, 2010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w w:val="91"/>
              </w:rPr>
              <w:t>Investment Securities Available for Sale</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9"/>
              </w:rPr>
              <w:t>Privately</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Privately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Issued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Issued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Residential</w:t>
            </w:r>
          </w:p>
        </w:tc>
        <w:tc>
          <w:tcPr>
            <w:tcW w:w="3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Commercial</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Mortgage-</w:t>
            </w:r>
          </w:p>
        </w:tc>
        <w:tc>
          <w:tcPr>
            <w:tcW w:w="36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Mortgage-</w:t>
            </w:r>
          </w:p>
        </w:tc>
        <w:tc>
          <w:tcPr>
            <w:tcW w:w="28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Collateralized</w:t>
            </w: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backed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backed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6"/>
              </w:rPr>
              <w:t>Debt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4"/>
                <w:szCs w:val="14"/>
                <w:color w:val="auto"/>
              </w:rPr>
            </w:pPr>
          </w:p>
        </w:tc>
        <w:tc>
          <w:tcPr>
            <w:tcW w:w="15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Obligations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2,064,904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25,166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115,346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(63,503)(a)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(5,703)(a)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95,661(b)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135,434(e)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5,462(e)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2,887(e)</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(346,026)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Transfers in and/or out of Level 3 (c)</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(355,248)(f)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(93,337)(d)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1,435,561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110,756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related to assets still held at December 31, 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(63,503)(a)</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(5,703)(a)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2,153(b)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other-than-temporary impairment loss in the consolidated statement of income or as gain (loss) on bank investment securities.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86" w:lineRule="exact"/>
        <w:rPr>
          <w:rFonts w:ascii="Arial" w:cs="Arial" w:eastAsia="Arial" w:hAnsi="Arial"/>
          <w:sz w:val="16"/>
          <w:szCs w:val="16"/>
          <w:i w:val="1"/>
          <w:iCs w:val="1"/>
          <w:color w:val="auto"/>
        </w:rPr>
      </w:pPr>
    </w:p>
    <w:p>
      <w:pPr>
        <w:ind w:left="460" w:right="180" w:hanging="452"/>
        <w:spacing w:after="0" w:line="268" w:lineRule="auto"/>
        <w:tabs>
          <w:tab w:leader="none" w:pos="4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63" w:lineRule="exact"/>
        <w:rPr>
          <w:rFonts w:ascii="Arial" w:cs="Arial" w:eastAsia="Arial" w:hAnsi="Arial"/>
          <w:sz w:val="18"/>
          <w:szCs w:val="18"/>
          <w:i w:val="1"/>
          <w:iCs w:val="1"/>
          <w:color w:val="auto"/>
        </w:rPr>
      </w:pPr>
    </w:p>
    <w:p>
      <w:pPr>
        <w:ind w:left="460" w:right="500" w:hanging="452"/>
        <w:spacing w:after="0" w:line="332" w:lineRule="auto"/>
        <w:tabs>
          <w:tab w:leader="none" w:pos="46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w:t>
      </w:r>
    </w:p>
    <w:p>
      <w:pPr>
        <w:spacing w:after="0" w:line="4" w:lineRule="exact"/>
        <w:rPr>
          <w:sz w:val="20"/>
          <w:szCs w:val="20"/>
          <w:color w:val="auto"/>
        </w:rPr>
      </w:pPr>
    </w:p>
    <w:p>
      <w:pPr>
        <w:ind w:right="80" w:firstLine="685"/>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2012, 2011 and 2010, other-than-temporary losses of $5 million, $12 million and $5 million, respectively, were recorded related to certain securities. In accordance with GAAP, the carrying value of such securities was reduced to fair value, with estimated credit losses recognized in earnings and any remaining unrealized loss recognized in accumulated other comprehensive income. The determination of fair value included use of external and internal valuation sources that, as in the case of privately issued residential mortgage-backed securities, are weighted and averaged when estimating fair value. Due to the presence of significant unobservable inputs those valuations are classified as Level 3. The amortized cost, fair value and impact on the Company’s financial statements of the modeling described herein were not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85% at December 31, 2012. As these discounts are not readily observable and are considered significant, the valuations have been classified as Level 3. Loans subject to nonrecurring fair value measurement were $335 million at December 31, 2012, ($207 million and $128 million of which were classified as Level 2 and Level 3, respectively), $419 million at December 31, 2011 ($262 million and $157 million of which were classified as Level 2 and Level 3, respectively), and $746 million at December 31, 2010 ($476 million and $270 million of which were classified as Level 2 and Level 3, respectively). Changes in fair value recognized for partial charge-offs of loans and loan impairment reserves during each of the years ended December 31, 2012, 2011 and 2010 on loans held at the end of each of those years were decreases of $67 million, $158 million and $224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$34 million and $51 million at December 31, 2012 and December 31, 2011, respectively. Changes in fair value recognized for foreclosed assets held by the Company at December 31, 2012, 2011 and 2010 were not material during each of 2012, 2011 and 2010.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Bayview Lending Group LLC</w:t>
      </w:r>
    </w:p>
    <w:p>
      <w:pPr>
        <w:spacing w:after="0" w:line="1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2011, the Company recognized a $79 million other-than-temporary impairment charge related to M&amp;T’s 20% investment in BLG and charged it down to its estimated fair value of $115 million. That impairment charge is included in “other costs of operations.” In determining the fair value of M&amp;T’s investment in BLG at December 31, 2011, the Company projected no further commercial mortgage origination and securitization activities by BLG. BLG, however, is entitled to receive, if and when made, cash distributions from affiliates, a portion of which is contractually required to be distributed to M&amp;T. Specifically, cash flows related to mortgage assets held by BLG and its affiliates were estimated using various assumptions on future default and loss severities to arrive at the expected amount of cash flow that could be available for distribution. As of December 31, 2011 the weighted-average assumptions of projected default percentage on the underlying mortgage loan collateral supporting those mortgage assets was 31% and the weighted-average loss severity assumption was 75%. With respect to projected value expected to be generated by the asset management and servicing operations of BLG’s affiliates, M&amp;T developed estimates from company-provided forecasts of financial results and through discussions with their senior management pertaining to longer-term projections of growth in assets under management and asset servicing portfolios. M&amp;T considered different scenarios of projected cash flows that could be generated by the asset management and servicing operations of BLG’s affiliates. M&amp;T then discounted the various projections using discount rates that ranged from 8.0% to 12.5% that were determined by reference to returns required by investors in similar businesses. The determination of fair value of M&amp;T’s 20% investment in BLG is considered a Level 3 valuation due to the unobservable nature of key assumptions. There was no other-than-temporary impairment charge recognized in 2012 or 2010 related to M&amp;T’s investment in BLG.</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presents quantitative information about significant unobservable inputs used in the fair value measurements for Level 3 assets and liabilities at December 31, 2012: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Fair Value at</w:t>
            </w:r>
          </w:p>
        </w:tc>
        <w:tc>
          <w:tcPr>
            <w:tcW w:w="272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rPr>
              <w:t>Valuation</w:t>
            </w:r>
          </w:p>
        </w:tc>
        <w:tc>
          <w:tcPr>
            <w:tcW w:w="270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Unobservable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Range</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2720" w:type="dxa"/>
            <w:vAlign w:val="bottom"/>
            <w:gridSpan w:val="2"/>
            <w:vMerge w:val="continue"/>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5"/>
                <w:szCs w:val="15"/>
                <w:color w:val="auto"/>
              </w:rPr>
            </w:pPr>
          </w:p>
        </w:tc>
        <w:tc>
          <w:tcPr>
            <w:tcW w:w="272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Technique</w:t>
            </w:r>
          </w:p>
        </w:tc>
        <w:tc>
          <w:tcPr>
            <w:tcW w:w="2700" w:type="dxa"/>
            <w:vAlign w:val="bottom"/>
            <w:gridSpan w:val="2"/>
          </w:tcPr>
          <w:p>
            <w:pPr>
              <w:ind w:left="680"/>
              <w:spacing w:after="0"/>
              <w:rPr>
                <w:sz w:val="20"/>
                <w:szCs w:val="20"/>
                <w:color w:val="auto"/>
              </w:rPr>
            </w:pPr>
            <w:r>
              <w:rPr>
                <w:rFonts w:ascii="Arial" w:cs="Arial" w:eastAsia="Arial" w:hAnsi="Arial"/>
                <w:sz w:val="14"/>
                <w:szCs w:val="14"/>
                <w:b w:val="1"/>
                <w:bCs w:val="1"/>
                <w:color w:val="auto"/>
              </w:rPr>
              <w:t>Input/Assumptions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Recurring fair value measurements</w:t>
            </w: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8"/>
                <w:szCs w:val="18"/>
                <w:color w:val="auto"/>
              </w:rPr>
              <w:t>Privately issued mortgage–backed</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   1,023,886</w:t>
            </w:r>
          </w:p>
        </w:tc>
        <w:tc>
          <w:tcPr>
            <w:tcW w:w="2720" w:type="dxa"/>
            <w:vAlign w:val="bottom"/>
            <w:gridSpan w:val="2"/>
          </w:tcPr>
          <w:p>
            <w:pPr>
              <w:jc w:val="right"/>
              <w:ind w:right="1200"/>
              <w:spacing w:after="0"/>
              <w:rPr>
                <w:sz w:val="20"/>
                <w:szCs w:val="20"/>
                <w:color w:val="auto"/>
              </w:rPr>
            </w:pPr>
            <w:r>
              <w:rPr>
                <w:rFonts w:ascii="Arial" w:cs="Arial" w:eastAsia="Arial" w:hAnsi="Arial"/>
                <w:sz w:val="18"/>
                <w:szCs w:val="18"/>
                <w:color w:val="auto"/>
                <w:w w:val="88"/>
              </w:rPr>
              <w:t>Discounted cash flow</w:t>
            </w:r>
          </w:p>
        </w:tc>
        <w:tc>
          <w:tcPr>
            <w:tcW w:w="2700" w:type="dxa"/>
            <w:vAlign w:val="bottom"/>
            <w:gridSpan w:val="2"/>
          </w:tcPr>
          <w:p>
            <w:pPr>
              <w:spacing w:after="0"/>
              <w:rPr>
                <w:sz w:val="20"/>
                <w:szCs w:val="20"/>
                <w:color w:val="auto"/>
              </w:rPr>
            </w:pPr>
            <w:r>
              <w:rPr>
                <w:rFonts w:ascii="Arial" w:cs="Arial" w:eastAsia="Arial" w:hAnsi="Arial"/>
                <w:sz w:val="18"/>
                <w:szCs w:val="18"/>
                <w:color w:val="auto"/>
              </w:rPr>
              <w:t>Probability of default</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1%-40% (19%)</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severity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32%-82% (51%)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Colateralized debt obligations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61,869</w:t>
            </w:r>
          </w:p>
        </w:tc>
        <w:tc>
          <w:tcPr>
            <w:tcW w:w="2720" w:type="dxa"/>
            <w:vAlign w:val="bottom"/>
            <w:gridSpan w:val="2"/>
          </w:tcPr>
          <w:p>
            <w:pPr>
              <w:jc w:val="right"/>
              <w:ind w:right="1200"/>
              <w:spacing w:after="0"/>
              <w:rPr>
                <w:sz w:val="20"/>
                <w:szCs w:val="20"/>
                <w:color w:val="auto"/>
              </w:rPr>
            </w:pPr>
            <w:r>
              <w:rPr>
                <w:rFonts w:ascii="Arial" w:cs="Arial" w:eastAsia="Arial" w:hAnsi="Arial"/>
                <w:sz w:val="18"/>
                <w:szCs w:val="18"/>
                <w:color w:val="auto"/>
                <w:w w:val="88"/>
              </w:rPr>
              <w:t>Discounted cash flow</w:t>
            </w:r>
          </w:p>
        </w:tc>
        <w:tc>
          <w:tcPr>
            <w:tcW w:w="2700" w:type="dxa"/>
            <w:vAlign w:val="bottom"/>
            <w:gridSpan w:val="2"/>
          </w:tcPr>
          <w:p>
            <w:pPr>
              <w:spacing w:after="0"/>
              <w:rPr>
                <w:sz w:val="20"/>
                <w:szCs w:val="20"/>
                <w:color w:val="auto"/>
              </w:rPr>
            </w:pPr>
            <w:r>
              <w:rPr>
                <w:rFonts w:ascii="Arial" w:cs="Arial" w:eastAsia="Arial" w:hAnsi="Arial"/>
                <w:sz w:val="18"/>
                <w:szCs w:val="18"/>
                <w:color w:val="auto"/>
              </w:rPr>
              <w:t>Probability of default</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0%-65% (12%)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severity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Net other assets (liabilities)(a)</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47,859</w:t>
            </w:r>
          </w:p>
        </w:tc>
        <w:tc>
          <w:tcPr>
            <w:tcW w:w="2720" w:type="dxa"/>
            <w:vAlign w:val="bottom"/>
            <w:gridSpan w:val="2"/>
          </w:tcPr>
          <w:p>
            <w:pPr>
              <w:jc w:val="right"/>
              <w:ind w:right="1200"/>
              <w:spacing w:after="0"/>
              <w:rPr>
                <w:sz w:val="20"/>
                <w:szCs w:val="20"/>
                <w:color w:val="auto"/>
              </w:rPr>
            </w:pPr>
            <w:r>
              <w:rPr>
                <w:rFonts w:ascii="Arial" w:cs="Arial" w:eastAsia="Arial" w:hAnsi="Arial"/>
                <w:sz w:val="18"/>
                <w:szCs w:val="18"/>
                <w:color w:val="auto"/>
                <w:w w:val="88"/>
              </w:rPr>
              <w:t>Discounted cash flow</w:t>
            </w:r>
          </w:p>
        </w:tc>
        <w:tc>
          <w:tcPr>
            <w:tcW w:w="2700" w:type="dxa"/>
            <w:vAlign w:val="bottom"/>
            <w:gridSpan w:val="2"/>
          </w:tcPr>
          <w:p>
            <w:pPr>
              <w:spacing w:after="0"/>
              <w:rPr>
                <w:sz w:val="20"/>
                <w:szCs w:val="20"/>
                <w:color w:val="auto"/>
              </w:rPr>
            </w:pPr>
            <w:r>
              <w:rPr>
                <w:rFonts w:ascii="Arial" w:cs="Arial" w:eastAsia="Arial" w:hAnsi="Arial"/>
                <w:sz w:val="18"/>
                <w:szCs w:val="18"/>
                <w:color w:val="auto"/>
              </w:rPr>
              <w:t>Commitment expirations</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0%-69%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An increase (decrease) in the probability of default and loss severity for mortgage-backed securities and collateralized debt obligations backed by trust preferred securities would generally result in a lower (higher) fair value measurement.</w:t>
      </w:r>
    </w:p>
    <w:p>
      <w:pPr>
        <w:spacing w:after="0" w:line="1" w:lineRule="exact"/>
        <w:rPr>
          <w:sz w:val="20"/>
          <w:szCs w:val="20"/>
          <w:color w:val="auto"/>
        </w:rPr>
      </w:pPr>
    </w:p>
    <w:p>
      <w:pPr>
        <w:ind w:right="20" w:firstLine="685"/>
        <w:spacing w:after="0" w:line="361" w:lineRule="auto"/>
        <w:rPr>
          <w:sz w:val="20"/>
          <w:szCs w:val="20"/>
          <w:color w:val="auto"/>
        </w:rPr>
      </w:pPr>
      <w:r>
        <w:rPr>
          <w:rFonts w:ascii="Arial" w:cs="Arial" w:eastAsia="Arial" w:hAnsi="Arial"/>
          <w:sz w:val="15"/>
          <w:szCs w:val="15"/>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5"/>
              </w:rPr>
              <w:t>Calculated</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Estimate</w:t>
            </w:r>
          </w:p>
        </w:tc>
        <w:tc>
          <w:tcPr>
            <w:tcW w:w="32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142"/>
        </w:trPr>
        <w:tc>
          <w:tcPr>
            <w:tcW w:w="4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1,986,615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1,986,615</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$1,895,423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91,192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129,945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Trading account assets</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488,966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488,966</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56,106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432,860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6,074,361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6,018,968</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98,364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4,687,211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1,233,393</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Loans and leases: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loans and leases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17,776,953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17,554,562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17,554,562</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Commercial real estate loans</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25,993,790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25,858,482</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199,997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25,658,485</w:t>
            </w: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11,240,837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11,381,319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8,100,915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3,280,404</w:t>
            </w: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Consumer loans</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11,559,377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11,504,799</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11,504,799</w:t>
            </w: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credit losses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(925,860)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1"/>
        </w:trPr>
        <w:tc>
          <w:tcPr>
            <w:tcW w:w="4700" w:type="dxa"/>
            <w:vAlign w:val="bottom"/>
          </w:tcPr>
          <w:p>
            <w:pPr>
              <w:ind w:left="660"/>
              <w:spacing w:after="0"/>
              <w:rPr>
                <w:sz w:val="20"/>
                <w:szCs w:val="20"/>
                <w:color w:val="auto"/>
              </w:rPr>
            </w:pPr>
            <w:r>
              <w:rPr>
                <w:rFonts w:ascii="Arial" w:cs="Arial" w:eastAsia="Arial" w:hAnsi="Arial"/>
                <w:sz w:val="18"/>
                <w:szCs w:val="18"/>
                <w:color w:val="auto"/>
              </w:rPr>
              <w:t>Loans and leases, net</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65,645,097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66,299,162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8,300,912</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57,998,250</w:t>
            </w:r>
          </w:p>
        </w:tc>
        <w:tc>
          <w:tcPr>
            <w:tcW w:w="100" w:type="dxa"/>
            <w:vAlign w:val="bottom"/>
          </w:tcPr>
          <w:p>
            <w:pPr>
              <w:spacing w:after="0"/>
              <w:rPr>
                <w:sz w:val="19"/>
                <w:szCs w:val="19"/>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222,897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222,897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(24,240,802)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(24,240,802)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(24,240,802)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Savings deposits and NOW accounts</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(35,763,566)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(35,763,566)</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(35,763,566)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(4,562,366)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(4,584,384)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(4,584,384)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(1,044,519)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(1,044,519)</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(1,044,519)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(1,074,482)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(1,074,482)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(1,074,482)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(4,607,758)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(4,768,408)</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(4,768,408)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(54,281)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Trading account liabilities</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(374,274)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(374,274)</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(374,274)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Commitments to originate real estate loans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47,859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47,859</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47,859</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Other credit-related commitments</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(119,464)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(119,464)</w:t>
            </w:r>
          </w:p>
        </w:tc>
        <w:tc>
          <w:tcPr>
            <w:tcW w:w="32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(119,464)</w:t>
            </w:r>
          </w:p>
        </w:tc>
      </w:tr>
      <w:tr>
        <w:trPr>
          <w:trHeight w:val="208"/>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Interest rate swap agreements used for interest rate risk</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143,179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143,179</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10"/>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165</w:t>
            </w: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0"/>
              </w:rPr>
              <w:t>Calculated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Estimate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1,452,397</w:t>
            </w:r>
          </w:p>
        </w:tc>
        <w:tc>
          <w:tcPr>
            <w:tcW w:w="3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1,452,397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at banks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154,960</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Trading account assets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561,834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561,834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7,608,008</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Loans and leases: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loans and leases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15,734,436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15,507,342</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Commercial real estate loans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24,411,114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24,024,585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7,923,165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7,782,935</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Consumer loans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12,027,290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11,869,813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credit losses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(908,290)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660"/>
              <w:spacing w:after="0"/>
              <w:rPr>
                <w:sz w:val="20"/>
                <w:szCs w:val="20"/>
                <w:color w:val="auto"/>
              </w:rPr>
            </w:pPr>
            <w:r>
              <w:rPr>
                <w:rFonts w:ascii="Arial" w:cs="Arial" w:eastAsia="Arial" w:hAnsi="Arial"/>
                <w:sz w:val="18"/>
                <w:szCs w:val="18"/>
                <w:color w:val="auto"/>
              </w:rPr>
              <w:t>Loans and leases, net</w:t>
            </w: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59,187,715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59,184,675</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222,618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(20,017,883)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(20,017,883)</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Savings deposits and NOW accounts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(32,913,309)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(32,913,309)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(6,107,530)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(6,133,806)</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Deposits at Cayman Islands office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(355,927)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(355,927)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(782,082)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(782,082)</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(6,686,226)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(6,720,174)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(67,900)</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Trading account liabilities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(434,559)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(434,559)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Commitments to originate real estate loans for sale</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6,923</w:t>
            </w:r>
          </w:p>
        </w:tc>
        <w:tc>
          <w:tcPr>
            <w:tcW w:w="3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Other credit-related commitments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(109,828)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(109,828)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 agreements used for interest rate risk management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147,302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80" w:firstLine="685"/>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3" w:lineRule="exact"/>
        <w:rPr>
          <w:sz w:val="20"/>
          <w:szCs w:val="20"/>
          <w:color w:val="auto"/>
        </w:rPr>
      </w:pPr>
    </w:p>
    <w:p>
      <w:pPr>
        <w:jc w:val="both"/>
        <w:ind w:right="40" w:firstLine="685"/>
        <w:spacing w:after="0" w:line="255"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4" w:lineRule="exact"/>
        <w:rPr>
          <w:sz w:val="20"/>
          <w:szCs w:val="20"/>
          <w:color w:val="auto"/>
        </w:rPr>
      </w:pPr>
    </w:p>
    <w:p>
      <w:pPr>
        <w:jc w:val="both"/>
        <w:ind w:right="300" w:firstLine="685"/>
        <w:spacing w:after="0" w:line="281"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2" w:lineRule="exact"/>
        <w:rPr>
          <w:sz w:val="20"/>
          <w:szCs w:val="20"/>
          <w:color w:val="auto"/>
        </w:rPr>
      </w:pPr>
    </w:p>
    <w:p>
      <w:pPr>
        <w:ind w:right="160" w:firstLine="685"/>
        <w:spacing w:after="0" w:line="295"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Commitments and contingencies</w:t>
      </w:r>
    </w:p>
    <w:p>
      <w:pPr>
        <w:spacing w:after="0" w:line="2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80" w:type="dxa"/>
            <w:vAlign w:val="bottom"/>
          </w:tcPr>
          <w:p>
            <w:pPr>
              <w:spacing w:after="0"/>
              <w:rPr>
                <w:sz w:val="12"/>
                <w:szCs w:val="12"/>
                <w:color w:val="auto"/>
              </w:rPr>
            </w:pPr>
          </w:p>
        </w:tc>
        <w:tc>
          <w:tcPr>
            <w:tcW w:w="122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8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Home equity lines of credit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w w:val="92"/>
              </w:rPr>
              <w:t>$ 6,282,615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6,393,332</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 loans to be sold</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139,929</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177,982</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Other commercial real estate and construction</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3,819,342</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2,818,071</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 loans to be sold</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1,550,441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182,474</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Other residential real estate</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445,268</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129,466</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and other</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7"/>
              </w:rPr>
              <w:t>10,070,711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10,442,754</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4,025,329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3,930,271</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53,201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2,120,361</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1,903,254</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2,625,408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635,899</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ind w:right="40" w:firstLine="685"/>
        <w:spacing w:after="0" w:line="281"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$2.0 billion and $1.8 billion at December 31, 2012 and 2011, respectively.</w:t>
      </w:r>
    </w:p>
    <w:p>
      <w:pPr>
        <w:spacing w:after="0" w:line="3"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 w:lineRule="exact"/>
        <w:rPr>
          <w:sz w:val="20"/>
          <w:szCs w:val="20"/>
          <w:color w:val="auto"/>
        </w:rPr>
      </w:pPr>
    </w:p>
    <w:p>
      <w:pPr>
        <w:ind w:right="200" w:firstLine="685"/>
        <w:spacing w:after="0" w:line="255"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332" w:lineRule="auto"/>
        <w:rPr>
          <w:sz w:val="20"/>
          <w:szCs w:val="20"/>
          <w:color w:val="auto"/>
        </w:rPr>
      </w:pPr>
      <w:r>
        <w:rPr>
          <w:rFonts w:ascii="Arial" w:cs="Arial" w:eastAsia="Arial" w:hAnsi="Arial"/>
          <w:sz w:val="16"/>
          <w:szCs w:val="16"/>
          <w:color w:val="auto"/>
        </w:rPr>
        <w:t>The Company occupies certain banking offices and uses certain equipment under noncancellable operating lease agreements expiring at various dates over the next 26 years. Minimum lease payments under noncancellable operating leases are summarized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76,772</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67,072</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53,759</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142,520</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459,825</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right="240" w:firstLine="685"/>
        <w:spacing w:after="0" w:line="253"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in 2013 and $6 million per year from 2014 through 2017.</w:t>
      </w:r>
    </w:p>
    <w:p>
      <w:pPr>
        <w:ind w:right="60" w:firstLine="685"/>
        <w:spacing w:after="0" w:line="281"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$67 million at December 31, 2012. Assets of subsidiaries providing reinsurance that are available to satisfy claims totaled approximately $41 million at December 31, 2012.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2012, management believes that any further liability arising out of the Company’s obligation to loan purchasers is not material to the Company’s consolidated financial position.</w:t>
      </w:r>
    </w:p>
    <w:p>
      <w:pPr>
        <w:spacing w:after="0" w:line="4" w:lineRule="exact"/>
        <w:rPr>
          <w:sz w:val="20"/>
          <w:szCs w:val="20"/>
          <w:color w:val="auto"/>
        </w:rPr>
      </w:pPr>
    </w:p>
    <w:p>
      <w:pPr>
        <w:ind w:right="20" w:firstLine="685"/>
        <w:spacing w:after="0" w:line="308" w:lineRule="auto"/>
        <w:rPr>
          <w:sz w:val="20"/>
          <w:szCs w:val="20"/>
          <w:color w:val="auto"/>
        </w:rPr>
      </w:pPr>
      <w:r>
        <w:rPr>
          <w:rFonts w:ascii="Arial" w:cs="Arial" w:eastAsia="Arial" w:hAnsi="Arial"/>
          <w:sz w:val="15"/>
          <w:szCs w:val="15"/>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Segment information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5.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8" w:lineRule="exact"/>
        <w:rPr>
          <w:sz w:val="20"/>
          <w:szCs w:val="20"/>
          <w:color w:val="auto"/>
        </w:rPr>
      </w:pPr>
    </w:p>
    <w:p>
      <w:pPr>
        <w:ind w:right="80" w:firstLine="685"/>
        <w:spacing w:after="0" w:line="253" w:lineRule="auto"/>
        <w:rPr>
          <w:sz w:val="20"/>
          <w:szCs w:val="20"/>
          <w:color w:val="auto"/>
        </w:rPr>
      </w:pPr>
      <w:r>
        <w:rPr>
          <w:rFonts w:ascii="Arial" w:cs="Arial" w:eastAsia="Arial" w:hAnsi="Arial"/>
          <w:sz w:val="18"/>
          <w:szCs w:val="18"/>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 Income statement amounts are in thousands of dollars. Balance sheet amounts are in millions of dollars.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60" w:type="dxa"/>
            <w:vAlign w:val="bottom"/>
            <w:gridSpan w:val="19"/>
          </w:tcPr>
          <w:p>
            <w:pPr>
              <w:ind w:left="360"/>
              <w:spacing w:after="0"/>
              <w:rPr>
                <w:sz w:val="20"/>
                <w:szCs w:val="20"/>
                <w:color w:val="auto"/>
              </w:rPr>
            </w:pPr>
            <w:r>
              <w:rPr>
                <w:rFonts w:ascii="Arial" w:cs="Arial" w:eastAsia="Arial" w:hAnsi="Arial"/>
                <w:sz w:val="14"/>
                <w:szCs w:val="14"/>
                <w:b w:val="1"/>
                <w:bCs w:val="1"/>
                <w:color w:val="auto"/>
              </w:rPr>
              <w:t>For the Years Ended December 31, 2012, 2011 and 2010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7"/>
          </w:tcPr>
          <w:p>
            <w:pPr>
              <w:jc w:val="right"/>
              <w:ind w:right="372"/>
              <w:spacing w:after="0"/>
              <w:rPr>
                <w:sz w:val="20"/>
                <w:szCs w:val="20"/>
                <w:color w:val="auto"/>
              </w:rPr>
            </w:pPr>
            <w:r>
              <w:rPr>
                <w:rFonts w:ascii="Arial" w:cs="Arial" w:eastAsia="Arial" w:hAnsi="Arial"/>
                <w:sz w:val="14"/>
                <w:szCs w:val="14"/>
                <w:b w:val="1"/>
                <w:bCs w:val="1"/>
                <w:color w:val="auto"/>
              </w:rPr>
              <w:t>Business Banking</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9"/>
          </w:tcPr>
          <w:p>
            <w:pPr>
              <w:jc w:val="right"/>
              <w:ind w:right="292"/>
              <w:spacing w:after="0"/>
              <w:rPr>
                <w:sz w:val="20"/>
                <w:szCs w:val="20"/>
                <w:color w:val="auto"/>
              </w:rPr>
            </w:pPr>
            <w:r>
              <w:rPr>
                <w:rFonts w:ascii="Arial" w:cs="Arial" w:eastAsia="Arial" w:hAnsi="Arial"/>
                <w:sz w:val="14"/>
                <w:szCs w:val="14"/>
                <w:b w:val="1"/>
                <w:bCs w:val="1"/>
                <w:color w:val="auto"/>
              </w:rPr>
              <w:t>Commercial Banking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8"/>
          </w:tcPr>
          <w:p>
            <w:pPr>
              <w:ind w:left="160"/>
              <w:spacing w:after="0"/>
              <w:rPr>
                <w:sz w:val="20"/>
                <w:szCs w:val="20"/>
                <w:color w:val="auto"/>
              </w:rPr>
            </w:pPr>
            <w:r>
              <w:rPr>
                <w:rFonts w:ascii="Arial" w:cs="Arial" w:eastAsia="Arial" w:hAnsi="Arial"/>
                <w:sz w:val="14"/>
                <w:szCs w:val="14"/>
                <w:b w:val="1"/>
                <w:bCs w:val="1"/>
                <w:color w:val="auto"/>
              </w:rPr>
              <w:t>Commercial Real Estate</w:t>
            </w:r>
          </w:p>
        </w:tc>
        <w:tc>
          <w:tcPr>
            <w:tcW w:w="80" w:type="dxa"/>
            <w:vAlign w:val="bottom"/>
          </w:tcPr>
          <w:p>
            <w:pPr>
              <w:spacing w:after="0"/>
              <w:rPr>
                <w:sz w:val="14"/>
                <w:szCs w:val="14"/>
                <w:color w:val="auto"/>
              </w:rPr>
            </w:pPr>
          </w:p>
        </w:tc>
        <w:tc>
          <w:tcPr>
            <w:tcW w:w="18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9"/>
              </w:rPr>
              <w:t>Discretionary Portfolio</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347,067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334,811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315,407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8"/>
              </w:rPr>
              <w:t>753,678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655,407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582,231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531,398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467,683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384,147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66,303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63,030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23,347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103,283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95,429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95,443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253,808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249,150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217,368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133,120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99,409</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85,200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4"/>
              </w:rPr>
              <w:t>(76,113)</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98,770</w:t>
            </w: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(34,383)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450,350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430,240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410,850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1,007,486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904,557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799,599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664,518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567,092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469,347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(9,810)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161,800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(11,036)</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22,245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45,689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74,443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29,823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47,675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4,238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58,474</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45,781</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44,305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59,309</w:t>
            </w: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55,810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Amortization of core deposit and other intangible assets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11,004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9,054</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7,339</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2,859</w:t>
            </w: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3,733</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179,428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177,172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169,878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262,820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248,428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219,471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190,879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154,042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124,674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31,006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32,262</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26,256</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4"/>
                <w:szCs w:val="14"/>
                <w:color w:val="auto"/>
              </w:rPr>
              <w:t>Income (loss) before taxes</w:t>
            </w: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248,555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207,239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166,253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728,318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625,753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531,901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458,397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345,522</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291,553</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4"/>
              </w:rPr>
              <w:t>(87,186)</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67,370</w:t>
            </w:r>
          </w:p>
        </w:tc>
        <w:tc>
          <w:tcPr>
            <w:tcW w:w="60" w:type="dxa"/>
            <w:vAlign w:val="bottom"/>
          </w:tcPr>
          <w:p>
            <w:pPr>
              <w:spacing w:after="0"/>
              <w:rPr>
                <w:sz w:val="13"/>
                <w:szCs w:val="13"/>
                <w:color w:val="auto"/>
              </w:rPr>
            </w:pP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4"/>
              </w:rPr>
              <w:t>(96,835)</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101,484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84,532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67,687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296,894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256,311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217,734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149,321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105,709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88,466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4"/>
              </w:rPr>
              <w:t>(54,071)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7,975</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(58,269)</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vMerge w:val="continue"/>
          </w:tcPr>
          <w:p>
            <w:pPr>
              <w:spacing w:after="0"/>
              <w:rPr>
                <w:sz w:val="13"/>
                <w:szCs w:val="13"/>
                <w:color w:val="auto"/>
              </w:rPr>
            </w:pP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147,071</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122,707</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98,566</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431,424</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369,442</w:t>
            </w:r>
          </w:p>
        </w:tc>
        <w:tc>
          <w:tcPr>
            <w:tcW w:w="8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314,167</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309,076</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239,813</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203,087</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4"/>
              </w:rPr>
              <w:t>(33,115)</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59,395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4"/>
              </w:rPr>
              <w:t>(38,566)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4,909</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5,192</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4,843</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19,946</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17,650</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15,461</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16,437</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7"/>
              </w:rPr>
              <w:t>15,025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7"/>
              </w:rPr>
              <w:t>13,194</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16,583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7"/>
              </w:rPr>
              <w:t>14,170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3"/>
              </w:rPr>
              <w:t>14,690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vMerge w:val="continue"/>
          </w:tcPr>
          <w:p>
            <w:pPr>
              <w:spacing w:after="0"/>
              <w:rPr>
                <w:sz w:val="12"/>
                <w:szCs w:val="12"/>
                <w:color w:val="auto"/>
              </w:rPr>
            </w:pP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3</w:t>
            </w: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8"/>
            <w:vMerge w:val="restart"/>
          </w:tcPr>
          <w:p>
            <w:pPr>
              <w:jc w:val="center"/>
              <w:ind w:right="240"/>
              <w:spacing w:after="0"/>
              <w:rPr>
                <w:sz w:val="20"/>
                <w:szCs w:val="20"/>
                <w:color w:val="auto"/>
              </w:rPr>
            </w:pPr>
            <w:r>
              <w:rPr>
                <w:rFonts w:ascii="Arial" w:cs="Arial" w:eastAsia="Arial" w:hAnsi="Arial"/>
                <w:sz w:val="14"/>
                <w:szCs w:val="14"/>
                <w:b w:val="1"/>
                <w:bCs w:val="1"/>
                <w:color w:val="auto"/>
                <w:w w:val="87"/>
              </w:rPr>
              <w:t>Residential Mortgage</w:t>
            </w:r>
          </w:p>
        </w:tc>
        <w:tc>
          <w:tcPr>
            <w:tcW w:w="60" w:type="dxa"/>
            <w:vAlign w:val="bottom"/>
          </w:tcPr>
          <w:p>
            <w:pPr>
              <w:spacing w:after="0"/>
              <w:rPr>
                <w:sz w:val="15"/>
                <w:szCs w:val="15"/>
                <w:color w:val="auto"/>
              </w:rPr>
            </w:pPr>
          </w:p>
        </w:tc>
        <w:tc>
          <w:tcPr>
            <w:tcW w:w="3700" w:type="dxa"/>
            <w:vAlign w:val="bottom"/>
            <w:gridSpan w:val="15"/>
          </w:tcPr>
          <w:p>
            <w:pPr>
              <w:jc w:val="right"/>
              <w:spacing w:after="0"/>
              <w:rPr>
                <w:sz w:val="20"/>
                <w:szCs w:val="20"/>
                <w:color w:val="auto"/>
              </w:rPr>
            </w:pPr>
            <w:r>
              <w:rPr>
                <w:rFonts w:ascii="Arial" w:cs="Arial" w:eastAsia="Arial" w:hAnsi="Arial"/>
                <w:sz w:val="14"/>
                <w:szCs w:val="14"/>
                <w:b w:val="1"/>
                <w:bCs w:val="1"/>
                <w:color w:val="auto"/>
                <w:w w:val="98"/>
              </w:rPr>
              <w:t>For the Years Ended December 31, 2012, 2011 and 2010</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2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Banking</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Retail Banking</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All Other</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78,058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63,951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71,599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902,906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851,332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839,828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(80,894)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(46,458)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50,967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2,598,516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2,389,756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2,267,526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402,211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2"/>
              </w:rPr>
              <w:t>184,249</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2"/>
              </w:rPr>
              <w:t>195,540</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349,571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366,042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380,015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501,390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489,863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168,917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1,667,270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1,582,912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1,108,100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480,269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248,200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267,139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1,252,477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1,217,374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1,219,843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420,496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443,405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219,884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4,265,786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3,972,668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3,375,626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17,169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36,375</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49,110</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95,345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101,679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109,978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(61,349)</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(14,797)</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368,000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Amortization of core deposit and other intangible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60,631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61,617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58,103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60,631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61,617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58,103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46,902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44,349</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46,171</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32,734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33,713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31,350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50,536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45,495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34,838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143,930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136,163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124,259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195,604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151,945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160,131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751,916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744,905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698,540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693,046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771,534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333,525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2,304,699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2,280,288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1,732,475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4"/>
                <w:szCs w:val="14"/>
                <w:color w:val="auto"/>
              </w:rPr>
              <w:t>Income (loss) before taxes</w:t>
            </w: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220,594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15,531</w:t>
            </w:r>
          </w:p>
        </w:tc>
        <w:tc>
          <w:tcPr>
            <w:tcW w:w="6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11,727</w:t>
            </w: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372,482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337,077</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379,975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(388,634)</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(373,892)</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(191,785)</w:t>
            </w: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1,552,526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1,224,600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1,092,789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85,671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2,403</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587</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137,161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(207,887)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(228,970)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(114,257)</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365,121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356,628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134,923</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13,128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11,140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220,866</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199,916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225,295</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(180,747)</w:t>
            </w:r>
          </w:p>
        </w:tc>
        <w:tc>
          <w:tcPr>
            <w:tcW w:w="60" w:type="dxa"/>
            <w:vAlign w:val="bottom"/>
          </w:tcPr>
          <w:p>
            <w:pPr>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(144,922)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(77,528)</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1,029,498</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859,479</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736,161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2,451</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1,958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2,217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11,705</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11,940</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12,079</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7,952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8,042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5,896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79,983</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73,977</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68,380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40" w:type="dxa"/>
            <w:vAlign w:val="bottom"/>
            <w:vMerge w:val="continue"/>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15</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25</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33</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76</w:t>
            </w: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45</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92</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96" w:lineRule="exact"/>
        <w:rPr>
          <w:sz w:val="20"/>
          <w:szCs w:val="20"/>
          <w:color w:val="auto"/>
        </w:rPr>
      </w:pPr>
    </w:p>
    <w:p>
      <w:pPr>
        <w:ind w:left="460" w:right="80" w:hanging="452"/>
        <w:spacing w:after="0" w:line="298" w:lineRule="auto"/>
        <w:tabs>
          <w:tab w:leader="none" w:pos="46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$26,391,000 in 2012, $25,876,000 in 2011 and $24,023,000 in 2010 and is eliminated in “All Other” net interest income and income tax expense (benefit).</w:t>
      </w:r>
    </w:p>
    <w:p>
      <w:pPr>
        <w:spacing w:after="0" w:line="32"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Cayman Islands branch deposits. This segment also provides foreign exchange services to customers. The Residential Mortgage Banking segment originates and services residential mortgage loans for consumers and sells substantially all of those loans in the secondary market to investors or to the Discretionary Portfolio segment. The segment periodically purchases servicing rights to loans that have been originated by other entities. This segment also originated loans to developers of residential real estate properties. Residential mortgage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management strategies. The amount of intersegment activity eliminated in arriving at consolidated totals was included in the “All Other” category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1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7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(71,452)</w:t>
            </w:r>
          </w:p>
        </w:tc>
        <w:tc>
          <w:tcPr>
            <w:tcW w:w="164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 (64,239)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(41,508)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(17,313)</w:t>
            </w:r>
          </w:p>
        </w:tc>
        <w:tc>
          <w:tcPr>
            <w:tcW w:w="1640" w:type="dxa"/>
            <w:vAlign w:val="bottom"/>
          </w:tcPr>
          <w:p>
            <w:pPr>
              <w:jc w:val="right"/>
              <w:ind w:right="361"/>
              <w:spacing w:after="0"/>
              <w:rPr>
                <w:sz w:val="20"/>
                <w:szCs w:val="20"/>
                <w:color w:val="auto"/>
              </w:rPr>
            </w:pPr>
            <w:r>
              <w:rPr>
                <w:rFonts w:ascii="Arial" w:cs="Arial" w:eastAsia="Arial" w:hAnsi="Arial"/>
                <w:sz w:val="18"/>
                <w:szCs w:val="18"/>
                <w:color w:val="auto"/>
              </w:rPr>
              <w:t>(14,146)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(15,527)</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164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(20,383)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(10,572)</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jc w:val="right"/>
              <w:spacing w:after="0"/>
              <w:rPr>
                <w:sz w:val="20"/>
                <w:szCs w:val="20"/>
                <w:color w:val="auto"/>
              </w:rPr>
            </w:pPr>
            <w:r>
              <w:rPr>
                <w:rFonts w:ascii="Arial" w:cs="Arial" w:eastAsia="Arial" w:hAnsi="Arial"/>
                <w:sz w:val="18"/>
                <w:szCs w:val="18"/>
                <w:color w:val="auto"/>
              </w:rPr>
              <w:t>(32,110)</w:t>
            </w:r>
          </w:p>
        </w:tc>
        <w:tc>
          <w:tcPr>
            <w:tcW w:w="1640" w:type="dxa"/>
            <w:vAlign w:val="bottom"/>
          </w:tcPr>
          <w:p>
            <w:pPr>
              <w:jc w:val="right"/>
              <w:ind w:right="361"/>
              <w:spacing w:after="0"/>
              <w:rPr>
                <w:sz w:val="20"/>
                <w:szCs w:val="20"/>
                <w:color w:val="auto"/>
              </w:rPr>
            </w:pPr>
            <w:r>
              <w:rPr>
                <w:rFonts w:ascii="Arial" w:cs="Arial" w:eastAsia="Arial" w:hAnsi="Arial"/>
                <w:sz w:val="18"/>
                <w:szCs w:val="18"/>
                <w:color w:val="auto"/>
              </w:rPr>
              <w:t>(29,710)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(15,409)</w:t>
            </w:r>
          </w:p>
        </w:tc>
      </w:tr>
    </w:tbl>
    <w:p>
      <w:pPr>
        <w:spacing w:after="0" w:line="66" w:lineRule="exact"/>
        <w:rPr>
          <w:sz w:val="20"/>
          <w:szCs w:val="20"/>
          <w:color w:val="auto"/>
        </w:rPr>
      </w:pPr>
    </w:p>
    <w:p>
      <w:pPr>
        <w:ind w:right="320" w:firstLine="685"/>
        <w:spacing w:after="0" w:line="268" w:lineRule="auto"/>
        <w:rPr>
          <w:sz w:val="20"/>
          <w:szCs w:val="20"/>
          <w:color w:val="auto"/>
        </w:rPr>
      </w:pPr>
      <w:r>
        <w:rPr>
          <w:rFonts w:ascii="Arial" w:cs="Arial" w:eastAsia="Arial" w:hAnsi="Arial"/>
          <w:sz w:val="18"/>
          <w:szCs w:val="18"/>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Regulatory matters</w:t>
      </w:r>
    </w:p>
    <w:p>
      <w:pPr>
        <w:spacing w:after="0" w:line="2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2012, approximately $944 million was available for payment of dividends to M&amp;T from banking subsidiaries. Additionally, the Federal Reserve Board requires bank holding companies with $50 billion or more of total consolidated assets to submit annual capital plans. Such bank holding companies may pay dividends and repurchase stock only in accordance with a capital plan which the Federal Reserve Board has not objected to.</w:t>
      </w:r>
    </w:p>
    <w:p>
      <w:pPr>
        <w:spacing w:after="0" w:line="3"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Banking regulations prohibit extensions of credit by the subsidiary banks to M&amp;T unless appropriately secured by assets. Securities of affiliates are not eligible as collateral for this purpose.</w:t>
      </w:r>
    </w:p>
    <w:p>
      <w:pPr>
        <w:spacing w:after="0" w:line="1" w:lineRule="exact"/>
        <w:rPr>
          <w:sz w:val="20"/>
          <w:szCs w:val="20"/>
          <w:color w:val="auto"/>
        </w:rPr>
      </w:pPr>
    </w:p>
    <w:p>
      <w:pPr>
        <w:ind w:right="340" w:firstLine="685"/>
        <w:spacing w:after="0" w:line="300" w:lineRule="auto"/>
        <w:rPr>
          <w:sz w:val="20"/>
          <w:szCs w:val="20"/>
          <w:color w:val="auto"/>
        </w:rPr>
      </w:pPr>
      <w:r>
        <w:rPr>
          <w:rFonts w:ascii="Arial" w:cs="Arial" w:eastAsia="Arial" w:hAnsi="Arial"/>
          <w:sz w:val="15"/>
          <w:szCs w:val="15"/>
          <w:color w:val="auto"/>
        </w:rPr>
        <w:t>The bank subsidiaries are required to maintain noninterest-earning reserves against certain deposit liabilities. During the maintenance periods that included December 31, 2012 and 2011, cash and due from banks included a daily average of $604,789,000 and $382,489,000, respectively, for such purpose.</w:t>
      </w:r>
    </w:p>
    <w:p>
      <w:pPr>
        <w:spacing w:after="0" w:line="1"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 considered adequately capitalized. As of December 31, 2012, M&amp;T and each of its banking subsidiaries exceeded all applicable capital adequacy requirements. To be considered “well capitalized,” under the regulatory framework for prompt corrective action, a banking institution must maintain Tier 1 risk-based capital, total risk-based capital and leverage ratios of at least 6%, 10% and 5%,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2012 and 2011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M&amp;T</w:t>
            </w:r>
          </w:p>
        </w:tc>
        <w:tc>
          <w:tcPr>
            <w:tcW w:w="16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Wilmington</w:t>
            </w:r>
          </w:p>
        </w:tc>
      </w:tr>
      <w:tr>
        <w:trPr>
          <w:trHeight w:val="161"/>
        </w:trPr>
        <w:tc>
          <w:tcPr>
            <w:tcW w:w="74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1680" w:type="dxa"/>
            <w:vAlign w:val="bottom"/>
          </w:tcPr>
          <w:p>
            <w:pPr>
              <w:jc w:val="right"/>
              <w:ind w:right="414"/>
              <w:spacing w:after="0"/>
              <w:rPr>
                <w:sz w:val="20"/>
                <w:szCs w:val="20"/>
                <w:color w:val="auto"/>
              </w:rPr>
            </w:pPr>
            <w:r>
              <w:rPr>
                <w:rFonts w:ascii="Arial" w:cs="Arial" w:eastAsia="Arial" w:hAnsi="Arial"/>
                <w:sz w:val="14"/>
                <w:szCs w:val="14"/>
                <w:b w:val="1"/>
                <w:bCs w:val="1"/>
                <w:color w:val="auto"/>
              </w:rPr>
              <w:t>M&amp;T Bank</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7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Tier 1 capital</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7,810,196</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$6,767,774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$ 405,469</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10.22%</w:t>
            </w:r>
          </w:p>
        </w:tc>
        <w:tc>
          <w:tcPr>
            <w:tcW w:w="1680" w:type="dxa"/>
            <w:vAlign w:val="bottom"/>
          </w:tcPr>
          <w:p>
            <w:pPr>
              <w:jc w:val="right"/>
              <w:ind w:right="214"/>
              <w:spacing w:after="0"/>
              <w:rPr>
                <w:sz w:val="20"/>
                <w:szCs w:val="20"/>
                <w:color w:val="auto"/>
              </w:rPr>
            </w:pPr>
            <w:r>
              <w:rPr>
                <w:rFonts w:ascii="Arial" w:cs="Arial" w:eastAsia="Arial" w:hAnsi="Arial"/>
                <w:sz w:val="18"/>
                <w:szCs w:val="18"/>
                <w:color w:val="auto"/>
              </w:rPr>
              <w:t>8.92%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61.02%</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3,057,093</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3,034,184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26,580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Total capital</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10,230,302</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8,981,931</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410,873</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13.39%</w:t>
            </w:r>
          </w:p>
        </w:tc>
        <w:tc>
          <w:tcPr>
            <w:tcW w:w="1680" w:type="dxa"/>
            <w:vAlign w:val="bottom"/>
          </w:tcPr>
          <w:p>
            <w:pPr>
              <w:jc w:val="right"/>
              <w:ind w:right="214"/>
              <w:spacing w:after="0"/>
              <w:rPr>
                <w:sz w:val="20"/>
                <w:szCs w:val="20"/>
                <w:color w:val="auto"/>
              </w:rPr>
            </w:pPr>
            <w:r>
              <w:rPr>
                <w:rFonts w:ascii="Arial" w:cs="Arial" w:eastAsia="Arial" w:hAnsi="Arial"/>
                <w:sz w:val="18"/>
                <w:szCs w:val="18"/>
                <w:color w:val="auto"/>
              </w:rPr>
              <w:t>11.84%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61.83%</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6,114,186</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6,068,367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53,160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Leverage</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7,810,196</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6,767,774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405,469</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Ratio(c)</w:t>
            </w:r>
          </w:p>
        </w:tc>
        <w:tc>
          <w:tcPr>
            <w:tcW w:w="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10.07%</w:t>
            </w:r>
          </w:p>
        </w:tc>
        <w:tc>
          <w:tcPr>
            <w:tcW w:w="1680" w:type="dxa"/>
            <w:vAlign w:val="bottom"/>
          </w:tcPr>
          <w:p>
            <w:pPr>
              <w:jc w:val="right"/>
              <w:ind w:right="214"/>
              <w:spacing w:after="0"/>
              <w:rPr>
                <w:sz w:val="20"/>
                <w:szCs w:val="20"/>
                <w:color w:val="auto"/>
              </w:rPr>
            </w:pPr>
            <w:r>
              <w:rPr>
                <w:rFonts w:ascii="Arial" w:cs="Arial" w:eastAsia="Arial" w:hAnsi="Arial"/>
                <w:sz w:val="18"/>
                <w:szCs w:val="18"/>
                <w:color w:val="auto"/>
              </w:rPr>
              <w:t>8.84%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21.62%</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2,327,122</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2,297,902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56,275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December 31, 2011: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6,926,218</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$6,283,825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$ 393,360</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9.67%</w:t>
            </w:r>
          </w:p>
        </w:tc>
        <w:tc>
          <w:tcPr>
            <w:tcW w:w="1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8.87%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71.89%</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2,864,002</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2,832,558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21,887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9,493,124</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8,587,360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399,177</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13.26%</w:t>
            </w:r>
          </w:p>
        </w:tc>
        <w:tc>
          <w:tcPr>
            <w:tcW w:w="1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12.13%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72.95%</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5,728,005</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5,665,116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43,774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6,926,218</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6,283,825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393,360</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Ratio(c)</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9.28%</w:t>
            </w:r>
          </w:p>
        </w:tc>
        <w:tc>
          <w:tcPr>
            <w:tcW w:w="1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8.54%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w:t>
            </w:r>
          </w:p>
        </w:tc>
      </w:tr>
      <w:tr>
        <w:trPr>
          <w:trHeight w:val="222"/>
        </w:trPr>
        <w:tc>
          <w:tcPr>
            <w:tcW w:w="740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tcPr>
          <w:p>
            <w:pPr>
              <w:spacing w:after="0"/>
              <w:rPr>
                <w:sz w:val="19"/>
                <w:szCs w:val="19"/>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2,239,639</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2,206,498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61,478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9436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risk-weighted assets,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Minimum amount of capital to be considered adequately capitalized,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average assets, as defined by regulation.</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Relationship with Bayview Lending Group LLC and Bayview Financial Holdings, L.P.</w:t>
      </w:r>
    </w:p>
    <w:p>
      <w:pPr>
        <w:spacing w:after="0" w:line="9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M&amp;T holds a 20% interest in BLG, a privately-held commercial mortgage company. M&amp;T recognizes income or loss from BLG using the equity method of accounting. In 2011, the Company recognized a $79 million other-than-temporary impairment charge related to its investment in BLG that is included in “other costs of operations.” The carrying value of that investment was $93 million at December 31, 2012. Further information concerning the other-than-temporary impairment charge is provided in note 20.</w:t>
      </w:r>
    </w:p>
    <w:p>
      <w:pPr>
        <w:spacing w:after="0" w:line="1" w:lineRule="exact"/>
        <w:rPr>
          <w:sz w:val="20"/>
          <w:szCs w:val="20"/>
          <w:color w:val="auto"/>
        </w:rPr>
      </w:pPr>
    </w:p>
    <w:p>
      <w:pPr>
        <w:ind w:right="280" w:firstLine="685"/>
        <w:spacing w:after="0" w:line="253" w:lineRule="auto"/>
        <w:rPr>
          <w:sz w:val="20"/>
          <w:szCs w:val="20"/>
          <w:color w:val="auto"/>
        </w:rPr>
      </w:pPr>
      <w:r>
        <w:rPr>
          <w:rFonts w:ascii="Arial" w:cs="Arial" w:eastAsia="Arial" w:hAnsi="Arial"/>
          <w:sz w:val="18"/>
          <w:szCs w:val="18"/>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$3.8 billion and $4.4 billion at December 31, 2012 and 2011, respectively. Amounts recorded as capitalized servicing assets for such loans totaled $8 million at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December 31, 2012 and $16 million at December 31, 2011. In addition, capitalized servicing rights at December 31, 2012 and 2011 also included $2 million and $5 million, respectively, for servicing rights that were obtained from Bayview Financial related to residential mortgage loans with outstanding principal balances of $2.7 billion and $3.1 billion at December 31, 2012 and 2011, respectively. Revenues from servicing residential and small-balance commercial mortgage loans obtained from BLG and Bayview Financial were $35 million, $41 million and $46 million during 2012, 2011 and 2010, respectively. The Company sub-services residential mortgage loans for Bayview Financial having outstanding principal balances totaling $11.4 billion and $13.1 billion at December 31, 2012 and 2011, respectively. Revenues earned for sub-servicing loans for Bayview Financial were $9 million in 2012. Revenues earned for sub-servicing residential mortgage loans for Bayview Financial were not significant in 2011 or 2010. In addition, the Company held $11 million and $15 million at December 31, 2012 and 2011, respectively, of collateralized mortgage obligations in its available-for-sale investment securities portfolio that were securitized by Bayview Financial. Finally, the Company held $242 million and $269 million of similar investment securities in its held-to-maturity portfolio at December 31, 2012 and 2011, respectively.</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Parent company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Cash in subsidiary bank</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4,774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Due from consolidated bank subsidiaries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Money-market savings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714,677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645,330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income tax receivable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color w:val="auto"/>
              </w:rPr>
              <w:t>Total due from consolidated bank subsidiaries</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716,512</w:t>
            </w: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645,330</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Banks and bank holding company</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10,495,557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9,929,758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16,344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16,025</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Investments in unconsolidated subsidiaries (note 19)</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33,916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Bayview Lending Group LLC</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93,489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83,975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82,358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11,444,567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10,826,360</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Due to consolidated bank subsidiaries</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60,619</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75,828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1,181,142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1,479,293</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1,241,974</w:t>
            </w: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1,555,151</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10,202,593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9,271,209</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vMerge w:val="continue"/>
          </w:tcPr>
          <w:p>
            <w:pPr>
              <w:spacing w:after="0"/>
              <w:rPr>
                <w:sz w:val="19"/>
                <w:szCs w:val="19"/>
                <w:color w:val="auto"/>
              </w:rPr>
            </w:pP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11,444,567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10,826,360</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4"/>
                <w:szCs w:val="14"/>
                <w:color w:val="auto"/>
              </w:rPr>
              <w:t>174</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30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7"/>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84"/>
              </w:rPr>
              <w:t>(In thousands, except per share)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Dividends from consolidated bank subsidiaries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715,000</w:t>
            </w:r>
          </w:p>
        </w:tc>
        <w:tc>
          <w:tcPr>
            <w:tcW w:w="6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Bayview Lending Group LLC</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(21,511)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8,755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67,829</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income</w:t>
            </w:r>
          </w:p>
        </w:tc>
        <w:tc>
          <w:tcPr>
            <w:tcW w:w="11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687,244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758,598</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468,797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borrowings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90,959</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 (a)</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87,368</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178,327</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undistributed income of subsidiaries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585,732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580,271</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370,277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50,460</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Income before equity in undistributed income of subsidiaries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628,881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630,731</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undistributed income of subsidiaries</w:t>
            </w:r>
          </w:p>
        </w:tc>
        <w:tc>
          <w:tcPr>
            <w:tcW w:w="1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 of subsidiaries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1,100,617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943,748</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817,468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dividends received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(700,000)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(715,000)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(500,000)</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Equity in undistributed income of subsidiaries</w:t>
            </w: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400,617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228,748</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317,468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1,029,498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859,479</w:t>
            </w:r>
          </w:p>
        </w:tc>
        <w:tc>
          <w:tcPr>
            <w:tcW w:w="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736,161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In 2011 includes $79 million write-down of Investment in Bayview Lending Group LLC.</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1,029,498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859,479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736,161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Equity in undistributed income of subsidiaries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(400,617)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(228,748)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(317,468)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(10,349)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Asset write-downs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79,012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accrued income and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637,403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743,730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464,497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Proceeds from sales of investment securities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Purchases of investment securities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Purchase of Wilmington Trust Corporation preferred stock</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(330,000)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(320,780)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borrowings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Dividends paid — common</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(357,717)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(350,129)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(335,303)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preferred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(48,203)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495,000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preferred stock</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(370,000)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143,352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(567,815)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(256,946)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(312,406)</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70,323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166,004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154,640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649,128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483,124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328,484</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719,451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649,128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483,124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received during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1,970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2,082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taxes received during the year</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21,878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57,964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50,882</w:t>
            </w:r>
          </w:p>
        </w:tc>
        <w:tc>
          <w:tcPr>
            <w:tcW w:w="0" w:type="dxa"/>
            <w:vAlign w:val="bottom"/>
          </w:tcPr>
          <w:p>
            <w:pPr>
              <w:spacing w:after="0"/>
              <w:rPr>
                <w:sz w:val="1"/>
                <w:szCs w:val="1"/>
                <w:color w:val="auto"/>
              </w:rPr>
            </w:pPr>
          </w:p>
        </w:tc>
      </w:tr>
      <w:tr>
        <w:trPr>
          <w:trHeight w:val="304"/>
        </w:trPr>
        <w:tc>
          <w:tcPr>
            <w:tcW w:w="7940" w:type="dxa"/>
            <w:vAlign w:val="bottom"/>
            <w:gridSpan w:val="2"/>
          </w:tcPr>
          <w:p>
            <w:pPr>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jc w:val="both"/>
        <w:ind w:right="120" w:firstLine="693"/>
        <w:spacing w:after="0" w:line="284" w:lineRule="auto"/>
        <w:tabs>
          <w:tab w:leader="none" w:pos="923" w:val="left"/>
        </w:tabs>
        <w:numPr>
          <w:ilvl w:val="0"/>
          <w:numId w:val="63"/>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December 31, 2012.</w:t>
      </w:r>
    </w:p>
    <w:p>
      <w:pPr>
        <w:spacing w:after="0" w:line="1" w:lineRule="exact"/>
        <w:rPr>
          <w:rFonts w:ascii="Arial" w:cs="Arial" w:eastAsia="Arial" w:hAnsi="Arial"/>
          <w:sz w:val="16"/>
          <w:szCs w:val="16"/>
          <w:color w:val="auto"/>
        </w:rPr>
      </w:pPr>
    </w:p>
    <w:p>
      <w:pPr>
        <w:ind w:right="340" w:firstLine="693"/>
        <w:spacing w:after="0" w:line="250" w:lineRule="auto"/>
        <w:tabs>
          <w:tab w:leader="none" w:pos="9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 Included under the heading “Report on Internal Control Over Financial Reporting” at Item 8 of this Annual Report on Form 10-K.</w:t>
      </w:r>
    </w:p>
    <w:p>
      <w:pPr>
        <w:ind w:right="120" w:firstLine="693"/>
        <w:spacing w:after="0" w:line="250" w:lineRule="auto"/>
        <w:tabs>
          <w:tab w:leader="none" w:pos="9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Attestation report of the registered public accounting firm. Included under the heading “Report of Independent Registered Public Accounting Firm” at Item 8 of this Annual Report on Form 10-K.</w:t>
      </w:r>
    </w:p>
    <w:p>
      <w:pPr>
        <w:ind w:right="40" w:firstLine="693"/>
        <w:spacing w:after="0" w:line="295" w:lineRule="auto"/>
        <w:tabs>
          <w:tab w:leader="none" w:pos="933"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2012 that have materially affected, or are reasonably likely to materially affect, M&amp;T’s internal control over financial reporting.</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identification of the Registrant’s directors is incorporated by reference to the caption “NOMINEES FOR DIRECTOR” contained in the Registrant’s definitive Proxy Statement for its 2013 Annual Meeting of Shareholders, which will be filed with the Securities and Exchange Commission on or about March 6, 2013.</w:t>
      </w:r>
    </w:p>
    <w:p>
      <w:pPr>
        <w:ind w:right="160" w:firstLine="685"/>
        <w:spacing w:after="0" w:line="250" w:lineRule="auto"/>
        <w:rPr>
          <w:sz w:val="20"/>
          <w:szCs w:val="20"/>
          <w:color w:val="auto"/>
        </w:rPr>
      </w:pPr>
      <w:r>
        <w:rPr>
          <w:rFonts w:ascii="Arial" w:cs="Arial" w:eastAsia="Arial" w:hAnsi="Arial"/>
          <w:sz w:val="18"/>
          <w:szCs w:val="18"/>
          <w:color w:val="auto"/>
        </w:rPr>
        <w:t>The identification of the Registrant’s executive officers is presented under the caption “Executive Officers of the Registrant” contained in Part I of this Annual Report on Form 10-K.</w:t>
      </w:r>
    </w:p>
    <w:p>
      <w:pPr>
        <w:spacing w:after="0" w:line="1" w:lineRule="exact"/>
        <w:rPr>
          <w:sz w:val="20"/>
          <w:szCs w:val="20"/>
          <w:color w:val="auto"/>
        </w:rPr>
      </w:pPr>
    </w:p>
    <w:p>
      <w:pPr>
        <w:ind w:right="180" w:firstLine="685"/>
        <w:spacing w:after="0" w:line="250" w:lineRule="auto"/>
        <w:rPr>
          <w:sz w:val="20"/>
          <w:szCs w:val="20"/>
          <w:color w:val="auto"/>
        </w:rPr>
      </w:pPr>
      <w:r>
        <w:rPr>
          <w:rFonts w:ascii="Arial" w:cs="Arial" w:eastAsia="Arial" w:hAnsi="Arial"/>
          <w:sz w:val="18"/>
          <w:szCs w:val="18"/>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2013 Annual Meeting of Shareholders which will be filed with the Securities and Exchange Commission on or about March 6, 2013.</w:t>
      </w:r>
    </w:p>
    <w:p>
      <w:pPr>
        <w:spacing w:after="0" w:line="2" w:lineRule="exact"/>
        <w:rPr>
          <w:sz w:val="20"/>
          <w:szCs w:val="20"/>
          <w:color w:val="auto"/>
        </w:rPr>
      </w:pPr>
    </w:p>
    <w:p>
      <w:pPr>
        <w:ind w:right="320" w:firstLine="685"/>
        <w:spacing w:after="0" w:line="254" w:lineRule="auto"/>
        <w:rPr>
          <w:sz w:val="20"/>
          <w:szCs w:val="20"/>
          <w:color w:val="auto"/>
        </w:rPr>
      </w:pPr>
      <w:r>
        <w:rPr>
          <w:rFonts w:ascii="Arial" w:cs="Arial" w:eastAsia="Arial" w:hAnsi="Arial"/>
          <w:sz w:val="18"/>
          <w:szCs w:val="18"/>
          <w:color w:val="auto"/>
        </w:rPr>
        <w:t>The other information required by Item 10 is incorporated by reference to the captions “CORPORATE GOVERNANCE OF M&amp;T BANK CORPORATION,” “BOARD OF DIRECTORS, COMMITTEES OF THE BOARD AND ATTENDANCE” and “CODES OF ETHICS” contained in the Registrant’s definitive Proxy Statement for its 2013 Annual Meeting of Shareholders, which will be filed with the Securities and Exchange Commission on or about March 6, 2013.</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Incorporated by reference to the caption “COMPENSATION OF EXECUTIVE OFFICERS AND DIRECTORS” contained in the Registrant’s definitive Proxy Statement for its 2013 Annual Meeting of Shareholders, which will be filed with the Securities and Exchange Commission on or about March 6, 2013.</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Shareholder Matters.</w:t>
      </w:r>
    </w:p>
    <w:p>
      <w:pPr>
        <w:spacing w:after="0" w:line="9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Incorporated by reference to the captions “PRINCIPAL BENEFICIAL OWNERS OF SHARES” and “STOCK OWNERSHIP BY DIRECTORS AND EXECUTIVE OFFICERS” contained in the Registrant’s definitive Proxy Statement for its 2013 Annual Meeting of Shareholders, which will be filed with the Securities and Exchange Commission on or about March 6, 2013.</w:t>
      </w:r>
    </w:p>
    <w:p>
      <w:pPr>
        <w:ind w:right="80" w:firstLine="685"/>
        <w:spacing w:after="0" w:line="255" w:lineRule="auto"/>
        <w:rPr>
          <w:sz w:val="20"/>
          <w:szCs w:val="20"/>
          <w:color w:val="auto"/>
        </w:rPr>
      </w:pPr>
      <w:r>
        <w:rPr>
          <w:rFonts w:ascii="Arial" w:cs="Arial" w:eastAsia="Arial" w:hAnsi="Arial"/>
          <w:sz w:val="18"/>
          <w:szCs w:val="18"/>
          <w:color w:val="auto"/>
        </w:rPr>
        <w:t>The information required by this item concerning Equity Compensation Plan information is incorporated by reference to the caption “COMPENSATION OF EXECUTIVE OFFICERS AND DIRECTORS” contained in the Registrant’s definitive Proxy Statement for its 2013 Annual Meeting of Shareholders, which will be filed with the Securities and Exchange Commission on or about March 6, 2013.</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Incorporated by reference to the captions “TRANSACTIONS WITH DIRECTORS AND EXECUTIVE OFFICERS” and “BOARD OF DIRECTORS, COMMITTEES OF THE BOARD AND ATTENDANCE” contained in the Registrant’s definitive Proxy Statement for its 2013 Annual Meeting of Shareholders, which will be filed with the Securities and Exchange Commission on or about March 6, 2013.</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Incorporated by reference to the caption “PROPOSAL TO RATIFY THE APPOINTMENT OF PRICEWATERHOUSECOOPERS LLP AS THE INDEPENDENT REGISTERED PUBLIC ACCOUNTING FIRM OF M&amp;T BANK CORPORATION” contained in the Registrant’s definitive Proxy Statement for its 2013 Annual Meeting of Shareholders, which will be filed with the Securities and Exchange Commission on or about March 6, 2013.</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1" w:lineRule="exact"/>
        <w:rPr>
          <w:sz w:val="20"/>
          <w:szCs w:val="20"/>
          <w:color w:val="auto"/>
        </w:rPr>
      </w:pPr>
    </w:p>
    <w:p>
      <w:pPr>
        <w:ind w:right="140" w:firstLine="693"/>
        <w:spacing w:after="0" w:line="281" w:lineRule="auto"/>
        <w:tabs>
          <w:tab w:leader="none" w:pos="9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spacing w:after="0" w:line="1" w:lineRule="exact"/>
        <w:rPr>
          <w:rFonts w:ascii="Arial" w:cs="Arial" w:eastAsia="Arial" w:hAnsi="Arial"/>
          <w:sz w:val="16"/>
          <w:szCs w:val="16"/>
          <w:color w:val="auto"/>
        </w:rPr>
      </w:pPr>
    </w:p>
    <w:p>
      <w:pPr>
        <w:ind w:firstLine="693"/>
        <w:spacing w:after="0" w:line="250" w:lineRule="auto"/>
        <w:tabs>
          <w:tab w:leader="none" w:pos="9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Exhibits required by Item 601 of Regulation S-K. The exhibits listed on the Exhibit Index of this Annual Report on Form 10-K have been previously filed, are filed herewith or are incorporated herein by reference to other filings.</w:t>
      </w:r>
    </w:p>
    <w:p>
      <w:pPr>
        <w:ind w:left="920" w:hanging="227"/>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22nd day of February, 2013.</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89"/>
              </w:rPr>
              <w:t>Robert G. Wilmers</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8"/>
              </w:rPr>
              <w:t>Chairman of the Board and</w:t>
            </w:r>
          </w:p>
        </w:tc>
      </w:tr>
      <w:tr>
        <w:trPr>
          <w:trHeight w:val="222"/>
        </w:trPr>
        <w:tc>
          <w:tcPr>
            <w:tcW w:w="2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r>
    </w:tbl>
    <w:p>
      <w:pPr>
        <w:spacing w:after="0" w:line="88" w:lineRule="exact"/>
        <w:rPr>
          <w:sz w:val="20"/>
          <w:szCs w:val="20"/>
          <w:color w:val="auto"/>
        </w:rPr>
      </w:pPr>
    </w:p>
    <w:p>
      <w:pPr>
        <w:ind w:right="540" w:firstLine="685"/>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0"/>
              </w:rPr>
              <w:t>Title</w:t>
            </w:r>
          </w:p>
        </w:tc>
        <w:tc>
          <w:tcPr>
            <w:tcW w:w="1900" w:type="dxa"/>
            <w:vAlign w:val="bottom"/>
          </w:tcPr>
          <w:p>
            <w:pPr>
              <w:spacing w:after="0"/>
              <w:rPr>
                <w:sz w:val="14"/>
                <w:szCs w:val="1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6"/>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5"/>
              </w:rPr>
              <w:t>/s/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Chairman of the Board</w:t>
            </w: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15"/>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Robert G. Wilmers</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and Chief Executive Officer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4000" w:type="dxa"/>
            <w:vAlign w:val="bottom"/>
            <w:gridSpan w:val="4"/>
          </w:tcPr>
          <w:p>
            <w:pPr>
              <w:spacing w:after="0"/>
              <w:rPr>
                <w:sz w:val="20"/>
                <w:szCs w:val="20"/>
                <w:color w:val="auto"/>
              </w:rPr>
            </w:pPr>
            <w:r>
              <w:rPr>
                <w:rFonts w:ascii="Arial" w:cs="Arial" w:eastAsia="Arial" w:hAnsi="Arial"/>
                <w:sz w:val="18"/>
                <w:szCs w:val="18"/>
                <w:color w:val="auto"/>
              </w:rPr>
              <w:t>Principal Financial Officer:</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1"/>
              </w:rPr>
              <w:t>/s/ R</w:t>
            </w:r>
            <w:r>
              <w:rPr>
                <w:rFonts w:ascii="Arial" w:cs="Arial" w:eastAsia="Arial" w:hAnsi="Arial"/>
                <w:sz w:val="14"/>
                <w:szCs w:val="14"/>
                <w:color w:val="auto"/>
                <w:w w:val="91"/>
              </w:rPr>
              <w:t>ENÉ</w:t>
            </w:r>
            <w:r>
              <w:rPr>
                <w:rFonts w:ascii="Arial" w:cs="Arial" w:eastAsia="Arial" w:hAnsi="Arial"/>
                <w:sz w:val="18"/>
                <w:szCs w:val="18"/>
                <w:color w:val="auto"/>
                <w:w w:val="91"/>
              </w:rPr>
              <w:t xml:space="preserve"> F. J</w:t>
            </w:r>
            <w:r>
              <w:rPr>
                <w:rFonts w:ascii="Arial" w:cs="Arial" w:eastAsia="Arial" w:hAnsi="Arial"/>
                <w:sz w:val="14"/>
                <w:szCs w:val="14"/>
                <w:color w:val="auto"/>
                <w:w w:val="91"/>
              </w:rPr>
              <w:t>ONES</w:t>
            </w:r>
          </w:p>
        </w:tc>
        <w:tc>
          <w:tcPr>
            <w:tcW w:w="40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Executive Vice President</w:t>
            </w: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15"/>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3"/>
              </w:rPr>
              <w:t>René F. Jones</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and Chief Financial Officer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4000" w:type="dxa"/>
            <w:vAlign w:val="bottom"/>
            <w:gridSpan w:val="4"/>
          </w:tcPr>
          <w:p>
            <w:pPr>
              <w:spacing w:after="0"/>
              <w:rPr>
                <w:sz w:val="20"/>
                <w:szCs w:val="20"/>
                <w:color w:val="auto"/>
              </w:rPr>
            </w:pPr>
            <w:r>
              <w:rPr>
                <w:rFonts w:ascii="Arial" w:cs="Arial" w:eastAsia="Arial" w:hAnsi="Arial"/>
                <w:sz w:val="18"/>
                <w:szCs w:val="18"/>
                <w:color w:val="auto"/>
              </w:rPr>
              <w:t>Principal Accounting Officer:</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9"/>
              </w:rPr>
              <w:t>/s/ M</w:t>
            </w:r>
            <w:r>
              <w:rPr>
                <w:rFonts w:ascii="Arial" w:cs="Arial" w:eastAsia="Arial" w:hAnsi="Arial"/>
                <w:sz w:val="14"/>
                <w:szCs w:val="14"/>
                <w:color w:val="auto"/>
                <w:w w:val="99"/>
              </w:rPr>
              <w:t>ICHAEL</w:t>
            </w:r>
            <w:r>
              <w:rPr>
                <w:rFonts w:ascii="Arial" w:cs="Arial" w:eastAsia="Arial" w:hAnsi="Arial"/>
                <w:sz w:val="18"/>
                <w:szCs w:val="18"/>
                <w:color w:val="auto"/>
                <w:w w:val="99"/>
              </w:rPr>
              <w:t xml:space="preserve"> R. S</w:t>
            </w:r>
            <w:r>
              <w:rPr>
                <w:rFonts w:ascii="Arial" w:cs="Arial" w:eastAsia="Arial" w:hAnsi="Arial"/>
                <w:sz w:val="14"/>
                <w:szCs w:val="14"/>
                <w:color w:val="auto"/>
                <w:w w:val="99"/>
              </w:rPr>
              <w:t>PYCHALA</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Senior Vice President and</w:t>
            </w: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15"/>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Michael R. Spychala</w:t>
            </w:r>
          </w:p>
        </w:tc>
        <w:tc>
          <w:tcPr>
            <w:tcW w:w="40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Controller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4000" w:type="dxa"/>
            <w:vAlign w:val="bottom"/>
            <w:gridSpan w:val="4"/>
          </w:tcPr>
          <w:p>
            <w:pPr>
              <w:spacing w:after="0"/>
              <w:rPr>
                <w:sz w:val="20"/>
                <w:szCs w:val="20"/>
                <w:color w:val="auto"/>
              </w:rPr>
            </w:pPr>
            <w:r>
              <w:rPr>
                <w:rFonts w:ascii="Arial" w:cs="Arial" w:eastAsia="Arial" w:hAnsi="Arial"/>
                <w:sz w:val="18"/>
                <w:szCs w:val="18"/>
                <w:color w:val="auto"/>
              </w:rPr>
              <w:t>A majority of the board of directors:</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7"/>
              </w:rPr>
              <w:t>/s/ B</w:t>
            </w:r>
            <w:r>
              <w:rPr>
                <w:rFonts w:ascii="Arial" w:cs="Arial" w:eastAsia="Arial" w:hAnsi="Arial"/>
                <w:sz w:val="14"/>
                <w:szCs w:val="14"/>
                <w:color w:val="auto"/>
                <w:w w:val="97"/>
              </w:rPr>
              <w:t>RENT</w:t>
            </w:r>
            <w:r>
              <w:rPr>
                <w:rFonts w:ascii="Arial" w:cs="Arial" w:eastAsia="Arial" w:hAnsi="Arial"/>
                <w:sz w:val="18"/>
                <w:szCs w:val="18"/>
                <w:color w:val="auto"/>
                <w:w w:val="97"/>
              </w:rPr>
              <w:t xml:space="preserve"> D. B</w:t>
            </w:r>
            <w:r>
              <w:rPr>
                <w:rFonts w:ascii="Arial" w:cs="Arial" w:eastAsia="Arial" w:hAnsi="Arial"/>
                <w:sz w:val="14"/>
                <w:szCs w:val="14"/>
                <w:color w:val="auto"/>
                <w:w w:val="97"/>
              </w:rPr>
              <w:t>AIRD</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Brent D. Baird</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7"/>
              </w:rPr>
              <w:t>/s/ C. A</w:t>
            </w:r>
            <w:r>
              <w:rPr>
                <w:rFonts w:ascii="Arial" w:cs="Arial" w:eastAsia="Arial" w:hAnsi="Arial"/>
                <w:sz w:val="14"/>
                <w:szCs w:val="14"/>
                <w:color w:val="auto"/>
                <w:w w:val="97"/>
              </w:rPr>
              <w:t>NGELA</w:t>
            </w:r>
            <w:r>
              <w:rPr>
                <w:rFonts w:ascii="Arial" w:cs="Arial" w:eastAsia="Arial" w:hAnsi="Arial"/>
                <w:sz w:val="18"/>
                <w:szCs w:val="18"/>
                <w:color w:val="auto"/>
                <w:w w:val="97"/>
              </w:rPr>
              <w:t xml:space="preserve"> B</w:t>
            </w:r>
            <w:r>
              <w:rPr>
                <w:rFonts w:ascii="Arial" w:cs="Arial" w:eastAsia="Arial" w:hAnsi="Arial"/>
                <w:sz w:val="14"/>
                <w:szCs w:val="14"/>
                <w:color w:val="auto"/>
                <w:w w:val="97"/>
              </w:rPr>
              <w:t>ONTEMPO</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 Angela Bontempo</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6"/>
              </w:rPr>
              <w:t>/s/ R</w:t>
            </w:r>
            <w:r>
              <w:rPr>
                <w:rFonts w:ascii="Arial" w:cs="Arial" w:eastAsia="Arial" w:hAnsi="Arial"/>
                <w:sz w:val="14"/>
                <w:szCs w:val="14"/>
                <w:color w:val="auto"/>
                <w:w w:val="96"/>
              </w:rPr>
              <w:t>OBERT</w:t>
            </w:r>
            <w:r>
              <w:rPr>
                <w:rFonts w:ascii="Arial" w:cs="Arial" w:eastAsia="Arial" w:hAnsi="Arial"/>
                <w:sz w:val="18"/>
                <w:szCs w:val="18"/>
                <w:color w:val="auto"/>
                <w:w w:val="96"/>
              </w:rPr>
              <w:t xml:space="preserve"> T. B</w:t>
            </w:r>
            <w:r>
              <w:rPr>
                <w:rFonts w:ascii="Arial" w:cs="Arial" w:eastAsia="Arial" w:hAnsi="Arial"/>
                <w:sz w:val="14"/>
                <w:szCs w:val="14"/>
                <w:color w:val="auto"/>
                <w:w w:val="96"/>
              </w:rPr>
              <w:t>RADY</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Robert T. Brady</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8"/>
              </w:rPr>
              <w:t>/s/ T. J</w:t>
            </w:r>
            <w:r>
              <w:rPr>
                <w:rFonts w:ascii="Arial" w:cs="Arial" w:eastAsia="Arial" w:hAnsi="Arial"/>
                <w:sz w:val="14"/>
                <w:szCs w:val="14"/>
                <w:color w:val="auto"/>
                <w:w w:val="98"/>
              </w:rPr>
              <w:t>EFFERSON</w:t>
            </w:r>
            <w:r>
              <w:rPr>
                <w:rFonts w:ascii="Arial" w:cs="Arial" w:eastAsia="Arial" w:hAnsi="Arial"/>
                <w:sz w:val="18"/>
                <w:szCs w:val="18"/>
                <w:color w:val="auto"/>
                <w:w w:val="98"/>
              </w:rPr>
              <w:t xml:space="preserve"> C</w:t>
            </w:r>
            <w:r>
              <w:rPr>
                <w:rFonts w:ascii="Arial" w:cs="Arial" w:eastAsia="Arial" w:hAnsi="Arial"/>
                <w:sz w:val="14"/>
                <w:szCs w:val="14"/>
                <w:color w:val="auto"/>
                <w:w w:val="98"/>
              </w:rPr>
              <w:t>UNNINGHAM</w:t>
            </w:r>
            <w:r>
              <w:rPr>
                <w:rFonts w:ascii="Arial" w:cs="Arial" w:eastAsia="Arial" w:hAnsi="Arial"/>
                <w:sz w:val="18"/>
                <w:szCs w:val="18"/>
                <w:color w:val="auto"/>
                <w:w w:val="98"/>
              </w:rPr>
              <w:t xml:space="preserve"> III</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T. Jefferson Cunningham III</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9"/>
              </w:rPr>
              <w:t>/s/ M</w:t>
            </w:r>
            <w:r>
              <w:rPr>
                <w:rFonts w:ascii="Arial" w:cs="Arial" w:eastAsia="Arial" w:hAnsi="Arial"/>
                <w:sz w:val="14"/>
                <w:szCs w:val="14"/>
                <w:color w:val="auto"/>
                <w:w w:val="99"/>
              </w:rPr>
              <w:t>ARK</w:t>
            </w:r>
            <w:r>
              <w:rPr>
                <w:rFonts w:ascii="Arial" w:cs="Arial" w:eastAsia="Arial" w:hAnsi="Arial"/>
                <w:sz w:val="18"/>
                <w:szCs w:val="18"/>
                <w:color w:val="auto"/>
                <w:w w:val="99"/>
              </w:rPr>
              <w:t xml:space="preserve"> J. C</w:t>
            </w:r>
            <w:r>
              <w:rPr>
                <w:rFonts w:ascii="Arial" w:cs="Arial" w:eastAsia="Arial" w:hAnsi="Arial"/>
                <w:sz w:val="14"/>
                <w:szCs w:val="14"/>
                <w:color w:val="auto"/>
                <w:w w:val="99"/>
              </w:rPr>
              <w:t>ZARNECKI</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Mark J. Czarnecki</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5"/>
              </w:rPr>
              <w:t>/s/ G</w:t>
            </w:r>
            <w:r>
              <w:rPr>
                <w:rFonts w:ascii="Arial" w:cs="Arial" w:eastAsia="Arial" w:hAnsi="Arial"/>
                <w:sz w:val="14"/>
                <w:szCs w:val="14"/>
                <w:color w:val="auto"/>
                <w:w w:val="95"/>
              </w:rPr>
              <w:t>ARY</w:t>
            </w:r>
            <w:r>
              <w:rPr>
                <w:rFonts w:ascii="Arial" w:cs="Arial" w:eastAsia="Arial" w:hAnsi="Arial"/>
                <w:sz w:val="18"/>
                <w:szCs w:val="18"/>
                <w:color w:val="auto"/>
                <w:w w:val="95"/>
              </w:rPr>
              <w:t xml:space="preserve"> N. G</w:t>
            </w:r>
            <w:r>
              <w:rPr>
                <w:rFonts w:ascii="Arial" w:cs="Arial" w:eastAsia="Arial" w:hAnsi="Arial"/>
                <w:sz w:val="14"/>
                <w:szCs w:val="14"/>
                <w:color w:val="auto"/>
                <w:w w:val="95"/>
              </w:rPr>
              <w:t>EISEL</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Gary N. Geisel</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2"/>
              </w:rPr>
              <w:t>/s/ John D. H</w:t>
            </w:r>
            <w:r>
              <w:rPr>
                <w:rFonts w:ascii="Arial" w:cs="Arial" w:eastAsia="Arial" w:hAnsi="Arial"/>
                <w:sz w:val="14"/>
                <w:szCs w:val="14"/>
                <w:color w:val="auto"/>
                <w:w w:val="92"/>
              </w:rPr>
              <w:t>AWKE</w:t>
            </w:r>
            <w:r>
              <w:rPr>
                <w:rFonts w:ascii="Arial" w:cs="Arial" w:eastAsia="Arial" w:hAnsi="Arial"/>
                <w:sz w:val="18"/>
                <w:szCs w:val="18"/>
                <w:color w:val="auto"/>
                <w:w w:val="92"/>
              </w:rPr>
              <w:t>, J</w:t>
            </w:r>
            <w:r>
              <w:rPr>
                <w:rFonts w:ascii="Arial" w:cs="Arial" w:eastAsia="Arial" w:hAnsi="Arial"/>
                <w:sz w:val="14"/>
                <w:szCs w:val="14"/>
                <w:color w:val="auto"/>
                <w:w w:val="92"/>
              </w:rPr>
              <w:t>R</w:t>
            </w:r>
            <w:r>
              <w:rPr>
                <w:rFonts w:ascii="Arial" w:cs="Arial" w:eastAsia="Arial" w:hAnsi="Arial"/>
                <w:sz w:val="18"/>
                <w:szCs w:val="18"/>
                <w:color w:val="auto"/>
                <w:w w:val="92"/>
              </w:rPr>
              <w:t>.</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22, 2013</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John D. Hawke, Jr.</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48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4"/>
              </w:rPr>
              <w:t>/s/ P</w:t>
            </w:r>
            <w:r>
              <w:rPr>
                <w:rFonts w:ascii="Arial" w:cs="Arial" w:eastAsia="Arial" w:hAnsi="Arial"/>
                <w:sz w:val="14"/>
                <w:szCs w:val="14"/>
                <w:color w:val="auto"/>
                <w:w w:val="94"/>
              </w:rPr>
              <w:t>ATRICK</w:t>
            </w:r>
            <w:r>
              <w:rPr>
                <w:rFonts w:ascii="Arial" w:cs="Arial" w:eastAsia="Arial" w:hAnsi="Arial"/>
                <w:sz w:val="18"/>
                <w:szCs w:val="18"/>
                <w:color w:val="auto"/>
                <w:w w:val="94"/>
              </w:rPr>
              <w:t xml:space="preserve"> W.E. H</w:t>
            </w:r>
            <w:r>
              <w:rPr>
                <w:rFonts w:ascii="Arial" w:cs="Arial" w:eastAsia="Arial" w:hAnsi="Arial"/>
                <w:sz w:val="14"/>
                <w:szCs w:val="14"/>
                <w:color w:val="auto"/>
                <w:w w:val="94"/>
              </w:rPr>
              <w:t>ODGSON</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88"/>
              </w:rPr>
              <w:t>Patrick W.E. Hodgson</w:t>
            </w:r>
          </w:p>
        </w:tc>
        <w:tc>
          <w:tcPr>
            <w:tcW w:w="5940" w:type="dxa"/>
            <w:vAlign w:val="bottom"/>
          </w:tcPr>
          <w:p>
            <w:pPr>
              <w:spacing w:after="0"/>
              <w:rPr>
                <w:sz w:val="19"/>
                <w:szCs w:val="19"/>
                <w:color w:val="auto"/>
              </w:rPr>
            </w:pPr>
          </w:p>
        </w:tc>
      </w:tr>
      <w:tr>
        <w:trPr>
          <w:trHeight w:val="434"/>
        </w:trPr>
        <w:tc>
          <w:tcPr>
            <w:tcW w:w="48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7"/>
              </w:rPr>
              <w:t>/s/ R</w:t>
            </w:r>
            <w:r>
              <w:rPr>
                <w:rFonts w:ascii="Arial" w:cs="Arial" w:eastAsia="Arial" w:hAnsi="Arial"/>
                <w:sz w:val="14"/>
                <w:szCs w:val="14"/>
                <w:color w:val="auto"/>
                <w:w w:val="97"/>
              </w:rPr>
              <w:t>ICHARD</w:t>
            </w:r>
            <w:r>
              <w:rPr>
                <w:rFonts w:ascii="Arial" w:cs="Arial" w:eastAsia="Arial" w:hAnsi="Arial"/>
                <w:sz w:val="18"/>
                <w:szCs w:val="18"/>
                <w:color w:val="auto"/>
                <w:w w:val="97"/>
              </w:rPr>
              <w:t xml:space="preserve"> G. K</w:t>
            </w:r>
            <w:r>
              <w:rPr>
                <w:rFonts w:ascii="Arial" w:cs="Arial" w:eastAsia="Arial" w:hAnsi="Arial"/>
                <w:sz w:val="14"/>
                <w:szCs w:val="14"/>
                <w:color w:val="auto"/>
                <w:w w:val="97"/>
              </w:rPr>
              <w:t>ING</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91"/>
              </w:rPr>
              <w:t>Richard G. King</w:t>
            </w:r>
          </w:p>
        </w:tc>
        <w:tc>
          <w:tcPr>
            <w:tcW w:w="5940" w:type="dxa"/>
            <w:vAlign w:val="bottom"/>
          </w:tcPr>
          <w:p>
            <w:pPr>
              <w:spacing w:after="0"/>
              <w:rPr>
                <w:sz w:val="19"/>
                <w:szCs w:val="19"/>
                <w:color w:val="auto"/>
              </w:rPr>
            </w:pPr>
          </w:p>
        </w:tc>
      </w:tr>
      <w:tr>
        <w:trPr>
          <w:trHeight w:val="434"/>
        </w:trPr>
        <w:tc>
          <w:tcPr>
            <w:tcW w:w="48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3"/>
              </w:rPr>
              <w:t>/s/ J</w:t>
            </w:r>
            <w:r>
              <w:rPr>
                <w:rFonts w:ascii="Arial" w:cs="Arial" w:eastAsia="Arial" w:hAnsi="Arial"/>
                <w:sz w:val="14"/>
                <w:szCs w:val="14"/>
                <w:color w:val="auto"/>
                <w:w w:val="93"/>
              </w:rPr>
              <w:t>ORGE</w:t>
            </w:r>
            <w:r>
              <w:rPr>
                <w:rFonts w:ascii="Arial" w:cs="Arial" w:eastAsia="Arial" w:hAnsi="Arial"/>
                <w:sz w:val="18"/>
                <w:szCs w:val="18"/>
                <w:color w:val="auto"/>
                <w:w w:val="93"/>
              </w:rPr>
              <w:t xml:space="preserve"> G. P</w:t>
            </w:r>
            <w:r>
              <w:rPr>
                <w:rFonts w:ascii="Arial" w:cs="Arial" w:eastAsia="Arial" w:hAnsi="Arial"/>
                <w:sz w:val="14"/>
                <w:szCs w:val="14"/>
                <w:color w:val="auto"/>
                <w:w w:val="93"/>
              </w:rPr>
              <w:t>EREIRA</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84"/>
              </w:rPr>
              <w:t>Jorge G. Pereira</w:t>
            </w:r>
          </w:p>
        </w:tc>
        <w:tc>
          <w:tcPr>
            <w:tcW w:w="5940" w:type="dxa"/>
            <w:vAlign w:val="bottom"/>
          </w:tcPr>
          <w:p>
            <w:pPr>
              <w:spacing w:after="0"/>
              <w:rPr>
                <w:sz w:val="19"/>
                <w:szCs w:val="19"/>
                <w:color w:val="auto"/>
              </w:rPr>
            </w:pPr>
          </w:p>
        </w:tc>
      </w:tr>
      <w:tr>
        <w:trPr>
          <w:trHeight w:val="434"/>
        </w:trPr>
        <w:tc>
          <w:tcPr>
            <w:tcW w:w="48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6"/>
              </w:rPr>
              <w:t>/s/ M</w:t>
            </w:r>
            <w:r>
              <w:rPr>
                <w:rFonts w:ascii="Arial" w:cs="Arial" w:eastAsia="Arial" w:hAnsi="Arial"/>
                <w:sz w:val="14"/>
                <w:szCs w:val="14"/>
                <w:color w:val="auto"/>
                <w:w w:val="96"/>
              </w:rPr>
              <w:t>ICHAEL</w:t>
            </w:r>
            <w:r>
              <w:rPr>
                <w:rFonts w:ascii="Arial" w:cs="Arial" w:eastAsia="Arial" w:hAnsi="Arial"/>
                <w:sz w:val="18"/>
                <w:szCs w:val="18"/>
                <w:color w:val="auto"/>
                <w:w w:val="96"/>
              </w:rPr>
              <w:t xml:space="preserve"> P. P</w:t>
            </w:r>
            <w:r>
              <w:rPr>
                <w:rFonts w:ascii="Arial" w:cs="Arial" w:eastAsia="Arial" w:hAnsi="Arial"/>
                <w:sz w:val="14"/>
                <w:szCs w:val="14"/>
                <w:color w:val="auto"/>
                <w:w w:val="96"/>
              </w:rPr>
              <w:t>INTO</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89"/>
              </w:rPr>
              <w:t>Michael P. Pinto</w:t>
            </w:r>
          </w:p>
        </w:tc>
        <w:tc>
          <w:tcPr>
            <w:tcW w:w="5940" w:type="dxa"/>
            <w:vAlign w:val="bottom"/>
          </w:tcPr>
          <w:p>
            <w:pPr>
              <w:spacing w:after="0"/>
              <w:rPr>
                <w:sz w:val="19"/>
                <w:szCs w:val="19"/>
                <w:color w:val="auto"/>
              </w:rPr>
            </w:pPr>
          </w:p>
        </w:tc>
      </w:tr>
      <w:tr>
        <w:trPr>
          <w:trHeight w:val="434"/>
        </w:trPr>
        <w:tc>
          <w:tcPr>
            <w:tcW w:w="48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8"/>
              </w:rPr>
              <w:t>/s/ M</w:t>
            </w:r>
            <w:r>
              <w:rPr>
                <w:rFonts w:ascii="Arial" w:cs="Arial" w:eastAsia="Arial" w:hAnsi="Arial"/>
                <w:sz w:val="14"/>
                <w:szCs w:val="14"/>
                <w:color w:val="auto"/>
                <w:w w:val="98"/>
              </w:rPr>
              <w:t>ELINDA</w:t>
            </w:r>
            <w:r>
              <w:rPr>
                <w:rFonts w:ascii="Arial" w:cs="Arial" w:eastAsia="Arial" w:hAnsi="Arial"/>
                <w:sz w:val="18"/>
                <w:szCs w:val="18"/>
                <w:color w:val="auto"/>
                <w:w w:val="98"/>
              </w:rPr>
              <w:t xml:space="preserve"> R. R</w:t>
            </w:r>
            <w:r>
              <w:rPr>
                <w:rFonts w:ascii="Arial" w:cs="Arial" w:eastAsia="Arial" w:hAnsi="Arial"/>
                <w:sz w:val="14"/>
                <w:szCs w:val="14"/>
                <w:color w:val="auto"/>
                <w:w w:val="98"/>
              </w:rPr>
              <w:t>ICH</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91"/>
              </w:rPr>
              <w:t>Melinda R. Rich</w:t>
            </w:r>
          </w:p>
        </w:tc>
        <w:tc>
          <w:tcPr>
            <w:tcW w:w="5940" w:type="dxa"/>
            <w:vAlign w:val="bottom"/>
          </w:tcPr>
          <w:p>
            <w:pPr>
              <w:spacing w:after="0"/>
              <w:rPr>
                <w:sz w:val="19"/>
                <w:szCs w:val="19"/>
                <w:color w:val="auto"/>
              </w:rPr>
            </w:pPr>
          </w:p>
        </w:tc>
      </w:tr>
      <w:tr>
        <w:trPr>
          <w:trHeight w:val="434"/>
        </w:trPr>
        <w:tc>
          <w:tcPr>
            <w:tcW w:w="48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3"/>
              </w:rPr>
              <w:t>/s/ R</w:t>
            </w:r>
            <w:r>
              <w:rPr>
                <w:rFonts w:ascii="Arial" w:cs="Arial" w:eastAsia="Arial" w:hAnsi="Arial"/>
                <w:sz w:val="14"/>
                <w:szCs w:val="14"/>
                <w:color w:val="auto"/>
                <w:w w:val="93"/>
              </w:rPr>
              <w:t>OBERT</w:t>
            </w:r>
            <w:r>
              <w:rPr>
                <w:rFonts w:ascii="Arial" w:cs="Arial" w:eastAsia="Arial" w:hAnsi="Arial"/>
                <w:sz w:val="18"/>
                <w:szCs w:val="18"/>
                <w:color w:val="auto"/>
                <w:w w:val="93"/>
              </w:rPr>
              <w:t xml:space="preserve"> E. S</w:t>
            </w:r>
            <w:r>
              <w:rPr>
                <w:rFonts w:ascii="Arial" w:cs="Arial" w:eastAsia="Arial" w:hAnsi="Arial"/>
                <w:sz w:val="14"/>
                <w:szCs w:val="14"/>
                <w:color w:val="auto"/>
                <w:w w:val="93"/>
              </w:rPr>
              <w:t>ADLER</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85"/>
              </w:rPr>
              <w:t>Robert E. Sadler, Jr.</w:t>
            </w:r>
          </w:p>
        </w:tc>
        <w:tc>
          <w:tcPr>
            <w:tcW w:w="5940" w:type="dxa"/>
            <w:vAlign w:val="bottom"/>
          </w:tcPr>
          <w:p>
            <w:pPr>
              <w:spacing w:after="0"/>
              <w:rPr>
                <w:sz w:val="19"/>
                <w:szCs w:val="19"/>
                <w:color w:val="auto"/>
              </w:rPr>
            </w:pPr>
          </w:p>
        </w:tc>
      </w:tr>
      <w:tr>
        <w:trPr>
          <w:trHeight w:val="434"/>
        </w:trPr>
        <w:tc>
          <w:tcPr>
            <w:tcW w:w="486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7"/>
              </w:rPr>
              <w:t>/s/ H</w:t>
            </w:r>
            <w:r>
              <w:rPr>
                <w:rFonts w:ascii="Arial" w:cs="Arial" w:eastAsia="Arial" w:hAnsi="Arial"/>
                <w:sz w:val="14"/>
                <w:szCs w:val="14"/>
                <w:color w:val="auto"/>
                <w:w w:val="97"/>
              </w:rPr>
              <w:t>ERBERT</w:t>
            </w:r>
            <w:r>
              <w:rPr>
                <w:rFonts w:ascii="Arial" w:cs="Arial" w:eastAsia="Arial" w:hAnsi="Arial"/>
                <w:sz w:val="18"/>
                <w:szCs w:val="18"/>
                <w:color w:val="auto"/>
                <w:w w:val="97"/>
              </w:rPr>
              <w:t xml:space="preserve"> L. W</w:t>
            </w:r>
            <w:r>
              <w:rPr>
                <w:rFonts w:ascii="Arial" w:cs="Arial" w:eastAsia="Arial" w:hAnsi="Arial"/>
                <w:sz w:val="14"/>
                <w:szCs w:val="14"/>
                <w:color w:val="auto"/>
                <w:w w:val="97"/>
              </w:rPr>
              <w:t>ASHINGTON</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88"/>
              </w:rPr>
              <w:t>Herbert L. Washington</w:t>
            </w:r>
          </w:p>
        </w:tc>
        <w:tc>
          <w:tcPr>
            <w:tcW w:w="5940" w:type="dxa"/>
            <w:vAlign w:val="bottom"/>
          </w:tcPr>
          <w:p>
            <w:pPr>
              <w:spacing w:after="0"/>
              <w:rPr>
                <w:sz w:val="19"/>
                <w:szCs w:val="19"/>
                <w:color w:val="auto"/>
              </w:rPr>
            </w:pPr>
          </w:p>
        </w:tc>
      </w:tr>
      <w:tr>
        <w:trPr>
          <w:trHeight w:val="434"/>
        </w:trPr>
        <w:tc>
          <w:tcPr>
            <w:tcW w:w="48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5"/>
              </w:rPr>
              <w:t>/s/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22, 2013</w:t>
            </w:r>
          </w:p>
        </w:tc>
      </w:tr>
      <w:tr>
        <w:trPr>
          <w:trHeight w:val="221"/>
        </w:trPr>
        <w:tc>
          <w:tcPr>
            <w:tcW w:w="4860" w:type="dxa"/>
            <w:vAlign w:val="bottom"/>
          </w:tcPr>
          <w:p>
            <w:pPr>
              <w:jc w:val="center"/>
              <w:ind w:right="132"/>
              <w:spacing w:after="0"/>
              <w:rPr>
                <w:sz w:val="20"/>
                <w:szCs w:val="20"/>
                <w:color w:val="auto"/>
              </w:rPr>
            </w:pPr>
            <w:r>
              <w:rPr>
                <w:rFonts w:ascii="Arial" w:cs="Arial" w:eastAsia="Arial" w:hAnsi="Arial"/>
                <w:sz w:val="18"/>
                <w:szCs w:val="18"/>
                <w:color w:val="auto"/>
                <w:w w:val="89"/>
              </w:rPr>
              <w:t>Robert G. Wilmers</w:t>
            </w:r>
          </w:p>
        </w:tc>
        <w:tc>
          <w:tcPr>
            <w:tcW w:w="5940" w:type="dxa"/>
            <w:vAlign w:val="bottom"/>
          </w:tcPr>
          <w:p>
            <w:pPr>
              <w:spacing w:after="0"/>
              <w:rPr>
                <w:sz w:val="19"/>
                <w:szCs w:val="19"/>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020"/>
          </w:cols>
          <w:pgMar w:left="240" w:top="460" w:right="6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9920" w:type="dxa"/>
            <w:vAlign w:val="bottom"/>
          </w:tcPr>
          <w:p>
            <w:pPr>
              <w:spacing w:after="0"/>
              <w:rPr>
                <w:sz w:val="19"/>
                <w:szCs w:val="19"/>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2.1</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Agreement and Plan of Merger, dated as of August 27, 2012, by and among M&amp;T Bank Corporation, Hudson City Bancorp, Inc. and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Wilmington Trust Corporation. Incorporated by reference to Exhibit 2.1 to the Form 8-K dated August 31, 2012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3.1</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Restated Certificate of Incorporation of M&amp;T Bank Corporation dated November 18, 2010. Incorporated by reference to Exhibit 3.1 to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Form 8-K dated November 19, 2010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3.2</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Amended and Restated Bylaws of M&amp;T Bank Corporation, effective November 16, 2010. Incorporated by reference to Exhibit 3.2 to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Form 8-K dated November 19, 2010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3.3</w:t>
            </w: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Certificate of Amendment to Certificate of Incorporation with respect to Perpetual 6.875% Non-Cumulative Preferred Stock, Series 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dated May 26, 2011 (incorporated by reference to Exhibit 99.2 of M&amp;T Bank Corporation’s Form 8-K dated May 26, 2011).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4.1</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There are no instruments with respect to long-term debt of M&amp;T Bank Corporation and its subsidiaries that involve securities authorized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88"/>
              </w:rPr>
              <w:t>under the instrument in an amount exceeding 10 percent of the total assets of M&amp;T Bank Corporation and its subsidiaries on a consolidated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basis. M&amp;T Bank Corporation agrees to provide the SEC with a copy of instruments defining the rights of holders of long-term debt of</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M&amp;T Bank Corporation and its subsidiaries on request.</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4.2</w:t>
            </w:r>
          </w:p>
        </w:tc>
        <w:tc>
          <w:tcPr>
            <w:tcW w:w="9920" w:type="dxa"/>
            <w:vAlign w:val="bottom"/>
          </w:tcPr>
          <w:p>
            <w:pPr>
              <w:ind w:left="120"/>
              <w:spacing w:after="0"/>
              <w:rPr>
                <w:sz w:val="20"/>
                <w:szCs w:val="20"/>
                <w:color w:val="auto"/>
              </w:rPr>
            </w:pPr>
            <w:r>
              <w:rPr>
                <w:rFonts w:ascii="Arial" w:cs="Arial" w:eastAsia="Arial" w:hAnsi="Arial"/>
                <w:sz w:val="18"/>
                <w:szCs w:val="18"/>
                <w:color w:val="auto"/>
              </w:rPr>
              <w:t>Warrant to purchase shares of M&amp;T Bank Corporation Common Stock dated as of</w:t>
            </w:r>
          </w:p>
        </w:tc>
      </w:tr>
      <w:tr>
        <w:trPr>
          <w:trHeight w:val="222"/>
        </w:trPr>
        <w:tc>
          <w:tcPr>
            <w:tcW w:w="1500" w:type="dxa"/>
            <w:vAlign w:val="bottom"/>
          </w:tcPr>
          <w:p>
            <w:pPr>
              <w:spacing w:after="0"/>
              <w:rPr>
                <w:sz w:val="19"/>
                <w:szCs w:val="19"/>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March 26, 2010. Filed herewith.</w:t>
            </w:r>
          </w:p>
        </w:tc>
      </w:tr>
      <w:tr>
        <w:trPr>
          <w:trHeight w:val="223"/>
        </w:trPr>
        <w:tc>
          <w:tcPr>
            <w:tcW w:w="1500" w:type="dxa"/>
            <w:vAlign w:val="bottom"/>
          </w:tcPr>
          <w:p>
            <w:pPr>
              <w:spacing w:after="0"/>
              <w:rPr>
                <w:sz w:val="20"/>
                <w:szCs w:val="20"/>
                <w:color w:val="auto"/>
              </w:rPr>
            </w:pPr>
            <w:r>
              <w:rPr>
                <w:rFonts w:ascii="Arial" w:cs="Arial" w:eastAsia="Arial" w:hAnsi="Arial"/>
                <w:sz w:val="18"/>
                <w:szCs w:val="18"/>
                <w:color w:val="auto"/>
              </w:rPr>
              <w:t>4.3</w:t>
            </w:r>
          </w:p>
        </w:tc>
        <w:tc>
          <w:tcPr>
            <w:tcW w:w="9920" w:type="dxa"/>
            <w:vAlign w:val="bottom"/>
          </w:tcPr>
          <w:p>
            <w:pPr>
              <w:ind w:left="120"/>
              <w:spacing w:after="0"/>
              <w:rPr>
                <w:sz w:val="20"/>
                <w:szCs w:val="20"/>
                <w:color w:val="auto"/>
              </w:rPr>
            </w:pPr>
            <w:r>
              <w:rPr>
                <w:rFonts w:ascii="Arial" w:cs="Arial" w:eastAsia="Arial" w:hAnsi="Arial"/>
                <w:sz w:val="18"/>
                <w:szCs w:val="18"/>
                <w:color w:val="auto"/>
                <w:w w:val="89"/>
              </w:rPr>
              <w:t>Warrant to purchase shares of M&amp;T Bank Corporation Common Stock effective May 16, 2011. Incorporated by reference to Exhibit 4.1 to</w:t>
            </w:r>
          </w:p>
        </w:tc>
      </w:tr>
      <w:tr>
        <w:trPr>
          <w:trHeight w:val="222"/>
        </w:trPr>
        <w:tc>
          <w:tcPr>
            <w:tcW w:w="1500" w:type="dxa"/>
            <w:vAlign w:val="bottom"/>
          </w:tcPr>
          <w:p>
            <w:pPr>
              <w:spacing w:after="0"/>
              <w:rPr>
                <w:sz w:val="19"/>
                <w:szCs w:val="19"/>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the Form 8-K dated May 19, 2011 (File No. 1-9861).</w:t>
            </w:r>
          </w:p>
        </w:tc>
      </w:tr>
      <w:tr>
        <w:trPr>
          <w:trHeight w:val="223"/>
        </w:trPr>
        <w:tc>
          <w:tcPr>
            <w:tcW w:w="1500" w:type="dxa"/>
            <w:vAlign w:val="bottom"/>
          </w:tcPr>
          <w:p>
            <w:pPr>
              <w:spacing w:after="0"/>
              <w:rPr>
                <w:sz w:val="20"/>
                <w:szCs w:val="20"/>
                <w:color w:val="auto"/>
              </w:rPr>
            </w:pPr>
            <w:r>
              <w:rPr>
                <w:rFonts w:ascii="Arial" w:cs="Arial" w:eastAsia="Arial" w:hAnsi="Arial"/>
                <w:sz w:val="18"/>
                <w:szCs w:val="18"/>
                <w:color w:val="auto"/>
              </w:rPr>
              <w:t>4.4</w:t>
            </w: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Warrant Agreement (including Form of Warrant), dated as of December 11, 2012, between M&amp;T Bank Corporation and Registrar and</w:t>
            </w:r>
          </w:p>
        </w:tc>
      </w:tr>
      <w:tr>
        <w:trPr>
          <w:trHeight w:val="222"/>
        </w:trPr>
        <w:tc>
          <w:tcPr>
            <w:tcW w:w="1500" w:type="dxa"/>
            <w:vAlign w:val="bottom"/>
          </w:tcPr>
          <w:p>
            <w:pPr>
              <w:spacing w:after="0"/>
              <w:rPr>
                <w:sz w:val="19"/>
                <w:szCs w:val="19"/>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Transfer Company. Incorporated by reference to Exhibit 4.1 to the Form 8-A dated December 12, 2012 (File No. 1-9861).</w:t>
            </w:r>
          </w:p>
        </w:tc>
      </w:tr>
      <w:tr>
        <w:trPr>
          <w:trHeight w:val="223"/>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Credit Agreement, dated as of December 15, 2000, between M&amp;T Bank Corporation and Citibank, N.A. Incorporated by reference to</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Exhibit 10.1 to the Form 10-K for the year ended December 31, 2000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10.2</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Amendment No. 1, dated December 9, 2003, to the Credit Agreement, dated as of December 15, 2000, between M&amp;T Bank Corporation</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and Citibank, N.A. Incorporated by reference to Exhibit 10.3 to the Form 10-K for the year ended December 31, 2003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10.3</w:t>
            </w:r>
          </w:p>
        </w:tc>
        <w:tc>
          <w:tcPr>
            <w:tcW w:w="9920" w:type="dxa"/>
            <w:vAlign w:val="bottom"/>
          </w:tcPr>
          <w:p>
            <w:pPr>
              <w:ind w:left="120"/>
              <w:spacing w:after="0"/>
              <w:rPr>
                <w:sz w:val="20"/>
                <w:szCs w:val="20"/>
                <w:color w:val="auto"/>
              </w:rPr>
            </w:pPr>
            <w:r>
              <w:rPr>
                <w:rFonts w:ascii="Arial" w:cs="Arial" w:eastAsia="Arial" w:hAnsi="Arial"/>
                <w:sz w:val="18"/>
                <w:szCs w:val="18"/>
                <w:color w:val="auto"/>
                <w:w w:val="88"/>
              </w:rPr>
              <w:t>Amendment No. 2, dated January 30, 2009, to the Credit Agreement, dated as of December 15, 2000, between M&amp;T Bank Corporation and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Citibank, N.A. Incorporated by reference to Exhibit 10.3 to the Form 10-K for the year ended December 31, 2008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Amendment No. 3, dated December 4, 2009, to the Credit Agreement, dated as of December 15, 2000, between M&amp;T Bank Corporation</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and Citibank, N.A. Incorporated by reference to Exhibit 10.4 to the Form 10-K for the year ended December 31, 2009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10.5</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Amendment No. 4, dated December 3, 2010, to the Credit Agreement, dated as of December 15, 2000, between M&amp;T Bank Corporation</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and Citibank, N.A. Incorporated by reference to Exhibit 10.5 to the Form 10-K for the year ended December 31, 2010</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10.6</w:t>
            </w:r>
          </w:p>
        </w:tc>
        <w:tc>
          <w:tcPr>
            <w:tcW w:w="9920" w:type="dxa"/>
            <w:vAlign w:val="bottom"/>
          </w:tcPr>
          <w:p>
            <w:pPr>
              <w:ind w:left="120"/>
              <w:spacing w:after="0"/>
              <w:rPr>
                <w:sz w:val="20"/>
                <w:szCs w:val="20"/>
                <w:color w:val="auto"/>
              </w:rPr>
            </w:pPr>
            <w:r>
              <w:rPr>
                <w:rFonts w:ascii="Arial" w:cs="Arial" w:eastAsia="Arial" w:hAnsi="Arial"/>
                <w:sz w:val="18"/>
                <w:szCs w:val="18"/>
                <w:color w:val="auto"/>
                <w:w w:val="89"/>
              </w:rPr>
              <w:t>Amendment No. 5, dated November 21, 2011, to the Credit Agreement, dated as of December 15, 2000, between M&amp;T Bank Corporation</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and Citibank, N.A. Incorporated by reference to Exhibit 10.6 to the Form 10-K for the year ended December 31, 2011</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10.7</w:t>
            </w:r>
          </w:p>
        </w:tc>
        <w:tc>
          <w:tcPr>
            <w:tcW w:w="9920" w:type="dxa"/>
            <w:vAlign w:val="bottom"/>
          </w:tcPr>
          <w:p>
            <w:pPr>
              <w:ind w:left="120"/>
              <w:spacing w:after="0"/>
              <w:rPr>
                <w:sz w:val="20"/>
                <w:szCs w:val="20"/>
                <w:color w:val="auto"/>
              </w:rPr>
            </w:pPr>
            <w:r>
              <w:rPr>
                <w:rFonts w:ascii="Arial" w:cs="Arial" w:eastAsia="Arial" w:hAnsi="Arial"/>
                <w:sz w:val="18"/>
                <w:szCs w:val="18"/>
                <w:color w:val="auto"/>
                <w:w w:val="89"/>
              </w:rPr>
              <w:t>Amendment No. 6, dated November 26, 2012, to the Credit Agreement, dated as of December 15, 2000, between M&amp;T Bank Corporation</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and Citibank, N.A. Filed herewith.</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10.8</w:t>
            </w: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M&amp;T Bank Corporation 2001 Stock Option Plan. Incorporated by reference to Appendix A to the Proxy Statement of M&amp;T Bank</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Corporation dated March 6, 2001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10.9</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M&amp;T Bank Corporation Annual Executive Incentive Plan. Incorporated by reference to Exhibit No. 10.3 to the Form 10-Q for the quarter</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ended June 30, 1998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10.10</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Supplemental Deferred Compensation Agreement between Manufacturers and Traders Trust Company and Brian E. Hickey dated as of</w:t>
            </w:r>
          </w:p>
        </w:tc>
      </w:tr>
      <w:tr>
        <w:trPr>
          <w:trHeight w:val="222"/>
        </w:trPr>
        <w:tc>
          <w:tcPr>
            <w:tcW w:w="1500" w:type="dxa"/>
            <w:vAlign w:val="bottom"/>
          </w:tcPr>
          <w:p>
            <w:pPr>
              <w:spacing w:after="0"/>
              <w:rPr>
                <w:sz w:val="19"/>
                <w:szCs w:val="19"/>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July 21, 1994. Incorporated by reference to Exhibit 10.8 to the Form 10-K for the year ended December 31, 1995 (File No. 1-9861).*</w:t>
            </w:r>
          </w:p>
        </w:tc>
      </w:tr>
      <w:tr>
        <w:trPr>
          <w:trHeight w:val="312"/>
        </w:trPr>
        <w:tc>
          <w:tcPr>
            <w:tcW w:w="1500" w:type="dxa"/>
            <w:vAlign w:val="bottom"/>
          </w:tcPr>
          <w:p>
            <w:pPr>
              <w:spacing w:after="0"/>
              <w:rPr>
                <w:sz w:val="24"/>
                <w:szCs w:val="24"/>
                <w:color w:val="auto"/>
              </w:rPr>
            </w:pPr>
          </w:p>
        </w:tc>
        <w:tc>
          <w:tcPr>
            <w:tcW w:w="9920" w:type="dxa"/>
            <w:vAlign w:val="bottom"/>
          </w:tcPr>
          <w:p>
            <w:pPr>
              <w:ind w:left="9720"/>
              <w:spacing w:after="0"/>
              <w:rPr>
                <w:sz w:val="20"/>
                <w:szCs w:val="20"/>
                <w:color w:val="auto"/>
              </w:rPr>
            </w:pPr>
            <w:r>
              <w:rPr>
                <w:rFonts w:ascii="Arial" w:cs="Arial" w:eastAsia="Arial" w:hAnsi="Arial"/>
                <w:sz w:val="14"/>
                <w:szCs w:val="14"/>
                <w:color w:val="auto"/>
                <w:w w:val="76"/>
              </w:rPr>
              <w:t>181</w:t>
            </w: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tcPr>
          <w:p>
            <w:pPr>
              <w:ind w:left="620"/>
              <w:spacing w:after="0"/>
              <w:rPr>
                <w:sz w:val="20"/>
                <w:szCs w:val="20"/>
                <w:color w:val="auto"/>
              </w:rPr>
            </w:pPr>
            <w:r>
              <w:rPr>
                <w:rFonts w:ascii="Arial" w:cs="Arial" w:eastAsia="Arial" w:hAnsi="Arial"/>
                <w:sz w:val="18"/>
                <w:szCs w:val="18"/>
                <w:color w:val="auto"/>
                <w:w w:val="87"/>
              </w:rPr>
              <w:t>First amendment, dated as of August 1, 2006, to the Supplemental Deferred Compensation Agreement between Manufacturers and Traders</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Trust Company and Brian E. Hickey dated as of July 21, 1994. Incorporated by reference to Exhibit 10.2 to the Form 10-Q for the quarter</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ended September 30, 2006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620"/>
              <w:spacing w:after="0"/>
              <w:rPr>
                <w:sz w:val="20"/>
                <w:szCs w:val="20"/>
                <w:color w:val="auto"/>
              </w:rPr>
            </w:pPr>
            <w:r>
              <w:rPr>
                <w:rFonts w:ascii="Arial" w:cs="Arial" w:eastAsia="Arial" w:hAnsi="Arial"/>
                <w:sz w:val="18"/>
                <w:szCs w:val="18"/>
                <w:color w:val="auto"/>
                <w:w w:val="95"/>
              </w:rPr>
              <w:t>Supplemental Deferred Compensation Agreement, dated July 17, 1989, between The East New York Savings Bank and Atwood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4"/>
              </w:rPr>
              <w:t>Collins, III. Incorporated by reference to Exhibit 10.11 to the Form 10-K for the year ended December 31, 1991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tcPr>
          <w:p>
            <w:pPr>
              <w:ind w:left="620"/>
              <w:spacing w:after="0"/>
              <w:rPr>
                <w:sz w:val="20"/>
                <w:szCs w:val="20"/>
                <w:color w:val="auto"/>
              </w:rPr>
            </w:pPr>
            <w:r>
              <w:rPr>
                <w:rFonts w:ascii="Arial" w:cs="Arial" w:eastAsia="Arial" w:hAnsi="Arial"/>
                <w:sz w:val="18"/>
                <w:szCs w:val="18"/>
                <w:color w:val="auto"/>
                <w:w w:val="88"/>
              </w:rPr>
              <w:t>First amendment, dated as of August 1, 2006, to the Supplemental Deferred Compensation Agreement, dated July 17, 1989, between The</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1"/>
              </w:rPr>
              <w:t>East New York Savings Bank and Atwood Collins, III. Incorporated by reference to Exhibit 10.3 to the Form 10-Q for the quarter ended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September 30, 2006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Consulting and Non-Competition Agreement, dated as of January 11, 2012, among M&amp;T Bank Corporation, Wilmington Trust Company</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8"/>
              </w:rPr>
              <w:t>and Donald E. Foley. Incorporated by reference to Exhibit 10.1 to the Form 8-K dated December 10, 2012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tcPr>
          <w:p>
            <w:pPr>
              <w:ind w:left="620"/>
              <w:spacing w:after="0"/>
              <w:rPr>
                <w:sz w:val="20"/>
                <w:szCs w:val="20"/>
                <w:color w:val="auto"/>
              </w:rPr>
            </w:pPr>
            <w:r>
              <w:rPr>
                <w:rFonts w:ascii="Arial" w:cs="Arial" w:eastAsia="Arial" w:hAnsi="Arial"/>
                <w:sz w:val="18"/>
                <w:szCs w:val="18"/>
                <w:color w:val="auto"/>
                <w:w w:val="88"/>
              </w:rPr>
              <w:t>Consulting Agreement, dated as of June 28, 2012, between M&amp;T Bank Corporation and Robert E. Sadler, Jr. Incorporated by reference to</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Exhibit 10.2 to the Form 8-K dated December 10, 2012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M&amp;T Bank Corporation Supplemental Pension Plan, as amended and restated. Incorporated by reference to Exhibit 10.1 to the Form 8-K</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dated November 15, 2005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10380" w:type="dxa"/>
            <w:vAlign w:val="bottom"/>
          </w:tcPr>
          <w:p>
            <w:pPr>
              <w:ind w:left="620"/>
              <w:spacing w:after="0"/>
              <w:rPr>
                <w:sz w:val="20"/>
                <w:szCs w:val="20"/>
                <w:color w:val="auto"/>
              </w:rPr>
            </w:pPr>
            <w:r>
              <w:rPr>
                <w:rFonts w:ascii="Arial" w:cs="Arial" w:eastAsia="Arial" w:hAnsi="Arial"/>
                <w:sz w:val="18"/>
                <w:szCs w:val="18"/>
                <w:color w:val="auto"/>
                <w:w w:val="95"/>
              </w:rPr>
              <w:t>M&amp;T Bank Corporation Supplemental Retirement Savings Plan. Incorporated by reference to Exhibit 10.2 to the Form 8-K dated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November 15, 2005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10.18</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M&amp;T Bank Corporation Deferred Bonus Plan, as amended and restated. Incorporated by reference to Exhibit 10.12 to the Form 10-K for</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the year ended December 31, 2004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380" w:type="dxa"/>
            <w:vAlign w:val="bottom"/>
          </w:tcPr>
          <w:p>
            <w:pPr>
              <w:ind w:left="620"/>
              <w:spacing w:after="0"/>
              <w:rPr>
                <w:sz w:val="20"/>
                <w:szCs w:val="20"/>
                <w:color w:val="auto"/>
              </w:rPr>
            </w:pPr>
            <w:r>
              <w:rPr>
                <w:rFonts w:ascii="Arial" w:cs="Arial" w:eastAsia="Arial" w:hAnsi="Arial"/>
                <w:sz w:val="18"/>
                <w:szCs w:val="18"/>
                <w:color w:val="auto"/>
                <w:w w:val="92"/>
              </w:rPr>
              <w:t>M&amp;T Bank Corporation 2008 Directors’ Stock Plan. Incorporated by reference to Exhibit 4.1 to the Form S-8 dated April 7, 2008 (File</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No. 333-150122).*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M&amp;T Bank Corporation 2008 Directors’ Stock Plan, as amended. Incorporated by reference to Exhibit 4.1 to the Form S-8 dated October</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19, 2012 (File No. 333-184504).*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Keystone Financial, Inc. 1992 Director Fee Plan. Incorporated by reference to Exhibit 10.11 to the Form 10-K of Keystone Financial, Inc.</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for the year ended December 31, 1999 (File No. 000-11460).*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380" w:type="dxa"/>
            <w:vAlign w:val="bottom"/>
          </w:tcPr>
          <w:p>
            <w:pPr>
              <w:ind w:left="620"/>
              <w:spacing w:after="0"/>
              <w:rPr>
                <w:sz w:val="20"/>
                <w:szCs w:val="20"/>
                <w:color w:val="auto"/>
              </w:rPr>
            </w:pPr>
            <w:r>
              <w:rPr>
                <w:rFonts w:ascii="Arial" w:cs="Arial" w:eastAsia="Arial" w:hAnsi="Arial"/>
                <w:sz w:val="18"/>
                <w:szCs w:val="18"/>
                <w:color w:val="auto"/>
              </w:rPr>
              <w:t>M&amp;T Bank Corporation Employee Stock Purchase Plan. Filed herewith.*</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380" w:type="dxa"/>
            <w:vAlign w:val="bottom"/>
          </w:tcPr>
          <w:p>
            <w:pPr>
              <w:ind w:left="620"/>
              <w:spacing w:after="0"/>
              <w:rPr>
                <w:sz w:val="20"/>
                <w:szCs w:val="20"/>
                <w:color w:val="auto"/>
              </w:rPr>
            </w:pPr>
            <w:r>
              <w:rPr>
                <w:rFonts w:ascii="Arial" w:cs="Arial" w:eastAsia="Arial" w:hAnsi="Arial"/>
                <w:sz w:val="18"/>
                <w:szCs w:val="18"/>
                <w:color w:val="auto"/>
                <w:w w:val="92"/>
              </w:rPr>
              <w:t>M&amp;T Bank Corporation 2005 Incentive Compensation Plan. Incorporated by reference to Appendix A to the Proxy Statement of M&amp;T</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Bank Corporation dated March 4, 2005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380" w:type="dxa"/>
            <w:vAlign w:val="bottom"/>
          </w:tcPr>
          <w:p>
            <w:pPr>
              <w:ind w:left="620"/>
              <w:spacing w:after="0"/>
              <w:rPr>
                <w:sz w:val="20"/>
                <w:szCs w:val="20"/>
                <w:color w:val="auto"/>
              </w:rPr>
            </w:pPr>
            <w:r>
              <w:rPr>
                <w:rFonts w:ascii="Arial" w:cs="Arial" w:eastAsia="Arial" w:hAnsi="Arial"/>
                <w:sz w:val="18"/>
                <w:szCs w:val="18"/>
                <w:color w:val="auto"/>
                <w:w w:val="91"/>
              </w:rPr>
              <w:t>M&amp;T Bank Corporation 2009 Equity Incentive Compensation Plan. Incorporated by reference to Appendix A to the Proxy Statement of</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M&amp;T Bank Corporation dated March 6, 2009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10.25</w:t>
            </w:r>
          </w:p>
        </w:tc>
        <w:tc>
          <w:tcPr>
            <w:tcW w:w="10380" w:type="dxa"/>
            <w:vAlign w:val="bottom"/>
          </w:tcPr>
          <w:p>
            <w:pPr>
              <w:ind w:left="620"/>
              <w:spacing w:after="0"/>
              <w:rPr>
                <w:sz w:val="20"/>
                <w:szCs w:val="20"/>
                <w:color w:val="auto"/>
              </w:rPr>
            </w:pPr>
            <w:r>
              <w:rPr>
                <w:rFonts w:ascii="Arial" w:cs="Arial" w:eastAsia="Arial" w:hAnsi="Arial"/>
                <w:sz w:val="18"/>
                <w:szCs w:val="18"/>
                <w:color w:val="auto"/>
                <w:w w:val="92"/>
              </w:rPr>
              <w:t>M&amp;T Bank Corporation Employee Severance Plan. Incorporated by reference to Exhibit 10.2 to the Form 10-Q for the quarter ended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March 31, 2005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10380" w:type="dxa"/>
            <w:vAlign w:val="bottom"/>
          </w:tcPr>
          <w:p>
            <w:pPr>
              <w:ind w:left="620"/>
              <w:spacing w:after="0"/>
              <w:rPr>
                <w:sz w:val="20"/>
                <w:szCs w:val="20"/>
                <w:color w:val="auto"/>
              </w:rPr>
            </w:pPr>
            <w:r>
              <w:rPr>
                <w:rFonts w:ascii="Arial" w:cs="Arial" w:eastAsia="Arial" w:hAnsi="Arial"/>
                <w:sz w:val="18"/>
                <w:szCs w:val="18"/>
                <w:color w:val="auto"/>
                <w:w w:val="88"/>
              </w:rPr>
              <w:t>Provident Bankshares Corporation Amended and Restated Stock Option Plan. Incorporated by reference to Exhibit 4.1 to the Registration</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Statement on Form S-8 dated June 5, 2009 (File No. 333-159795).*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10.27</w:t>
            </w:r>
          </w:p>
        </w:tc>
        <w:tc>
          <w:tcPr>
            <w:tcW w:w="10380" w:type="dxa"/>
            <w:vAlign w:val="bottom"/>
          </w:tcPr>
          <w:p>
            <w:pPr>
              <w:ind w:left="620"/>
              <w:spacing w:after="0"/>
              <w:rPr>
                <w:sz w:val="20"/>
                <w:szCs w:val="20"/>
                <w:color w:val="auto"/>
              </w:rPr>
            </w:pPr>
            <w:r>
              <w:rPr>
                <w:rFonts w:ascii="Arial" w:cs="Arial" w:eastAsia="Arial" w:hAnsi="Arial"/>
                <w:sz w:val="18"/>
                <w:szCs w:val="18"/>
                <w:color w:val="auto"/>
                <w:w w:val="88"/>
              </w:rPr>
              <w:t>Provident Bankshares Corporation 2004 Equity Compensation Plan. Incorporated by reference to Exhibit 4.2 to the Registration Statement</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on Form S-8 dated June 5, 2009 (File No. 333-159795).*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Wilmington Trust Corporation Amended and Restated 2002 Long-Term Incentive Plan. Incorporated by reference to Exhibit 10.64 to the</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Quarterly Report on Form 10-Q of Wilmington Trust Corporation filed on November 9, 2004 (File No. 1-14659).*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10.29</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Wilmington Trust Corporation Amended and Restated 2005 Long-Term Incentive Plan. Incorporated by reference to Exhibit 10.21 to the</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Annual Report on Form 10-K of Wilmington Trust Corporation filed on February 29, 2008 (File No. 1-14659).*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10380" w:type="dxa"/>
            <w:vAlign w:val="bottom"/>
          </w:tcPr>
          <w:p>
            <w:pPr>
              <w:ind w:left="620"/>
              <w:spacing w:after="0"/>
              <w:rPr>
                <w:sz w:val="20"/>
                <w:szCs w:val="20"/>
                <w:color w:val="auto"/>
              </w:rPr>
            </w:pPr>
            <w:r>
              <w:rPr>
                <w:rFonts w:ascii="Arial" w:cs="Arial" w:eastAsia="Arial" w:hAnsi="Arial"/>
                <w:sz w:val="18"/>
                <w:szCs w:val="18"/>
                <w:color w:val="auto"/>
                <w:w w:val="96"/>
              </w:rPr>
              <w:t>Wilmington Trust Corporation 2009 Long-Term Incentive Plan. Incorporated by reference to Exhibit D to the Proxy Statement of</w:t>
            </w:r>
          </w:p>
        </w:tc>
      </w:tr>
      <w:tr>
        <w:trPr>
          <w:trHeight w:val="222"/>
        </w:trPr>
        <w:tc>
          <w:tcPr>
            <w:tcW w:w="1000" w:type="dxa"/>
            <w:vAlign w:val="bottom"/>
          </w:tcPr>
          <w:p>
            <w:pPr>
              <w:spacing w:after="0"/>
              <w:rPr>
                <w:sz w:val="19"/>
                <w:szCs w:val="19"/>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Wilmington Trust Corporation filed on March 16, 2009 (File No. 1-14659).*</w:t>
            </w:r>
          </w:p>
        </w:tc>
      </w:tr>
      <w:tr>
        <w:trPr>
          <w:trHeight w:val="312"/>
        </w:trPr>
        <w:tc>
          <w:tcPr>
            <w:tcW w:w="1000" w:type="dxa"/>
            <w:vAlign w:val="bottom"/>
          </w:tcPr>
          <w:p>
            <w:pPr>
              <w:spacing w:after="0"/>
              <w:rPr>
                <w:sz w:val="20"/>
                <w:szCs w:val="20"/>
                <w:color w:val="auto"/>
              </w:rPr>
            </w:pPr>
            <w:r>
              <w:rPr>
                <w:rFonts w:ascii="Arial" w:cs="Arial" w:eastAsia="Arial" w:hAnsi="Arial"/>
                <w:sz w:val="14"/>
                <w:szCs w:val="14"/>
                <w:color w:val="auto"/>
              </w:rPr>
              <w:t>182</w:t>
            </w:r>
          </w:p>
        </w:tc>
        <w:tc>
          <w:tcPr>
            <w:tcW w:w="1038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11.1</w:t>
            </w: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Statement re: Computation of Earnings Per Common Share. Incorporated by reference to note 14 of Notes to Financial Statements filed</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herewith in Part II, Item 8, “Financial Statements and Supplementary Data.”</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12.1</w:t>
            </w:r>
          </w:p>
        </w:tc>
        <w:tc>
          <w:tcPr>
            <w:tcW w:w="10160" w:type="dxa"/>
            <w:vAlign w:val="bottom"/>
          </w:tcPr>
          <w:p>
            <w:pPr>
              <w:ind w:left="400"/>
              <w:spacing w:after="0"/>
              <w:rPr>
                <w:sz w:val="20"/>
                <w:szCs w:val="20"/>
                <w:color w:val="auto"/>
              </w:rPr>
            </w:pPr>
            <w:r>
              <w:rPr>
                <w:rFonts w:ascii="Arial" w:cs="Arial" w:eastAsia="Arial" w:hAnsi="Arial"/>
                <w:sz w:val="18"/>
                <w:szCs w:val="18"/>
                <w:color w:val="auto"/>
              </w:rPr>
              <w:t>Ratio of Earnings to Fixed Charges. Filed 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14.1</w:t>
            </w: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M&amp;T Bank Corporation Code of Ethics for CEO and Senior Financial Officers. Incorporated by reference to Exhibit 14.1 to the Form 10-</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K for the year ended December 31, 2003 (File No. 1-9861).</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21.1</w:t>
            </w:r>
          </w:p>
        </w:tc>
        <w:tc>
          <w:tcPr>
            <w:tcW w:w="10160" w:type="dxa"/>
            <w:vAlign w:val="bottom"/>
          </w:tcPr>
          <w:p>
            <w:pPr>
              <w:ind w:left="400"/>
              <w:spacing w:after="0"/>
              <w:rPr>
                <w:sz w:val="20"/>
                <w:szCs w:val="20"/>
                <w:color w:val="auto"/>
              </w:rPr>
            </w:pPr>
            <w:r>
              <w:rPr>
                <w:rFonts w:ascii="Arial" w:cs="Arial" w:eastAsia="Arial" w:hAnsi="Arial"/>
                <w:sz w:val="18"/>
                <w:szCs w:val="18"/>
                <w:color w:val="auto"/>
              </w:rPr>
              <w:t>Subsidiaries of the Registrant. Incorporated by reference to the caption “Subsidiaries” contained in Part I, Item 1 hereof.</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23.1</w:t>
            </w: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Consent of PricewaterhouseCoopers LLP re: Registration Statement Nos. 333-57330, 333-63660, 33-12207, 33-58500, 33-63917, 333-</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w w:val="89"/>
              </w:rPr>
              <w:t>43171, 333-43175, 333-63985, 333-97031, 33-32044, 333-16077, 333-84384, 333-127406, 333-150122, 333-164015, 333-163992, 333-</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160769, 333-159795, 333-170740 and 333-155759. Filed 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31.1</w:t>
            </w:r>
          </w:p>
        </w:tc>
        <w:tc>
          <w:tcPr>
            <w:tcW w:w="1016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31.2</w:t>
            </w:r>
          </w:p>
        </w:tc>
        <w:tc>
          <w:tcPr>
            <w:tcW w:w="1016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32.1</w:t>
            </w:r>
          </w:p>
        </w:tc>
        <w:tc>
          <w:tcPr>
            <w:tcW w:w="10160" w:type="dxa"/>
            <w:vAlign w:val="bottom"/>
          </w:tcPr>
          <w:p>
            <w:pPr>
              <w:ind w:left="400"/>
              <w:spacing w:after="0"/>
              <w:rPr>
                <w:sz w:val="20"/>
                <w:szCs w:val="20"/>
                <w:color w:val="auto"/>
              </w:rPr>
            </w:pPr>
            <w:r>
              <w:rPr>
                <w:rFonts w:ascii="Arial" w:cs="Arial" w:eastAsia="Arial" w:hAnsi="Arial"/>
                <w:sz w:val="18"/>
                <w:szCs w:val="18"/>
                <w:color w:val="auto"/>
                <w:w w:val="95"/>
              </w:rPr>
              <w:t>Certification of Chief Executive Officer under 18 U.S.C. §1350 pursuant to Section 906 of the Sarbanes-Oxley Act of 2002. Filed</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32.2</w:t>
            </w:r>
          </w:p>
        </w:tc>
        <w:tc>
          <w:tcPr>
            <w:tcW w:w="10160" w:type="dxa"/>
            <w:vAlign w:val="bottom"/>
          </w:tcPr>
          <w:p>
            <w:pPr>
              <w:ind w:left="400"/>
              <w:spacing w:after="0"/>
              <w:rPr>
                <w:sz w:val="20"/>
                <w:szCs w:val="20"/>
                <w:color w:val="auto"/>
              </w:rPr>
            </w:pPr>
            <w:r>
              <w:rPr>
                <w:rFonts w:ascii="Arial" w:cs="Arial" w:eastAsia="Arial" w:hAnsi="Arial"/>
                <w:sz w:val="18"/>
                <w:szCs w:val="18"/>
                <w:color w:val="auto"/>
                <w:w w:val="89"/>
              </w:rPr>
              <w:t>Certification of Chief Financial Officer under 18 U.S.C. §1350 pursuant to Section 906 of the Sarbanes-Oxley Act of 2002. Filed 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99.1</w:t>
            </w:r>
          </w:p>
        </w:tc>
        <w:tc>
          <w:tcPr>
            <w:tcW w:w="1016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under EESA § 111(b)(4). Filed 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99.2</w:t>
            </w:r>
          </w:p>
        </w:tc>
        <w:tc>
          <w:tcPr>
            <w:tcW w:w="1016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under EESA § 111(b)(4). Filed herewith.</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99.3</w:t>
            </w:r>
          </w:p>
        </w:tc>
        <w:tc>
          <w:tcPr>
            <w:tcW w:w="10160" w:type="dxa"/>
            <w:vAlign w:val="bottom"/>
          </w:tcPr>
          <w:p>
            <w:pPr>
              <w:ind w:left="400"/>
              <w:spacing w:after="0"/>
              <w:rPr>
                <w:sz w:val="20"/>
                <w:szCs w:val="20"/>
                <w:color w:val="auto"/>
              </w:rPr>
            </w:pPr>
            <w:r>
              <w:rPr>
                <w:rFonts w:ascii="Arial" w:cs="Arial" w:eastAsia="Arial" w:hAnsi="Arial"/>
                <w:sz w:val="18"/>
                <w:szCs w:val="18"/>
                <w:color w:val="auto"/>
                <w:w w:val="93"/>
              </w:rPr>
              <w:t>Replacement Capital Covenant of M&amp;T Bank Corporation dated January 31, 2008. Incorporated by reference to Exhibit 99.1 to the</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Form 8-K dated January 31, 2008 (File No. 1-9861).</w:t>
            </w:r>
          </w:p>
        </w:tc>
      </w:tr>
      <w:tr>
        <w:trPr>
          <w:trHeight w:val="216"/>
        </w:trPr>
        <w:tc>
          <w:tcPr>
            <w:tcW w:w="1220" w:type="dxa"/>
            <w:vAlign w:val="bottom"/>
          </w:tcPr>
          <w:p>
            <w:pPr>
              <w:jc w:val="right"/>
              <w:ind w:right="732"/>
              <w:spacing w:after="0"/>
              <w:rPr>
                <w:sz w:val="20"/>
                <w:szCs w:val="20"/>
                <w:color w:val="auto"/>
              </w:rPr>
            </w:pPr>
            <w:r>
              <w:rPr>
                <w:rFonts w:ascii="Arial" w:cs="Arial" w:eastAsia="Arial" w:hAnsi="Arial"/>
                <w:sz w:val="18"/>
                <w:szCs w:val="18"/>
                <w:color w:val="auto"/>
              </w:rPr>
              <w:t>99.4</w:t>
            </w:r>
          </w:p>
        </w:tc>
        <w:tc>
          <w:tcPr>
            <w:tcW w:w="10160" w:type="dxa"/>
            <w:vAlign w:val="bottom"/>
          </w:tcPr>
          <w:p>
            <w:pPr>
              <w:ind w:left="400"/>
              <w:spacing w:after="0"/>
              <w:rPr>
                <w:sz w:val="20"/>
                <w:szCs w:val="20"/>
                <w:color w:val="auto"/>
              </w:rPr>
            </w:pPr>
            <w:r>
              <w:rPr>
                <w:rFonts w:ascii="Arial" w:cs="Arial" w:eastAsia="Arial" w:hAnsi="Arial"/>
                <w:sz w:val="18"/>
                <w:szCs w:val="18"/>
                <w:color w:val="auto"/>
                <w:w w:val="89"/>
              </w:rPr>
              <w:t>Amendment to Replacement Capital Covenant of M&amp;T Bank Corporation, dated as of May 27, 2011, amending the Replacement Capital</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Covenant, dated as of January 31, 2008 (incorporated by reference to Exhibit 99.2 of M&amp;T Bank Corporation’s Form 8-K dated May 26,</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2011).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15" w:lineRule="exact"/>
        <w:rPr>
          <w:sz w:val="20"/>
          <w:szCs w:val="20"/>
          <w:color w:val="auto"/>
        </w:rPr>
      </w:pPr>
    </w:p>
    <w:p>
      <w:pPr>
        <w:ind w:left="460" w:right="80" w:hanging="452"/>
        <w:spacing w:after="0" w:line="261" w:lineRule="auto"/>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As provided in Rule 406T of Regulation S-T, this information is furnished and not filed for purposes of Sections 11 and 12 of the Securities Act of 1933 and Section 18 of the Securities Exchange Act of 1934.</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420"/>
          </w:cols>
          <w:pgMar w:left="240" w:top="460"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OR SUCH LAWS. THIS INSTRUMENT IS ISSUED SUBJECT TO THE RESTRICTIONS ON TRANSFER AND OTHER PROVISIONS OF A SECURITIES PURCHASE AGREEMENT BETWEEN THE ISSUER OF THESE SECURITIES AND THE INVESTOR REFERRED TO THEREIN,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27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WARRANT</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to purchase</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407,542.10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Shares of Common Stock</w:t>
      </w:r>
    </w:p>
    <w:p>
      <w:pPr>
        <w:spacing w:after="0" w:line="15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of M&amp;T Bank Corporation</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(which represents the number of shares of common stock previously issued to Investor by Acquired Company)</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b w:val="1"/>
          <w:bCs w:val="1"/>
          <w:u w:val="single" w:color="auto"/>
          <w:color w:val="auto"/>
        </w:rPr>
        <w:t>November 14, 2008</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otherwise requires, when used herein the following terms shall have the meanings indicated.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has the meaning ascribed to it in the Purchase Agreement.</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“Appraisal Procedure” </w:t>
      </w:r>
      <w:r>
        <w:rPr>
          <w:rFonts w:ascii="Arial" w:cs="Arial" w:eastAsia="Arial" w:hAnsi="Arial"/>
          <w:sz w:val="16"/>
          <w:szCs w:val="16"/>
          <w:color w:val="auto"/>
        </w:rPr>
        <w:t>means a procedure whereby two independent appraisers, one chosen by the Company and one by the Original Warrantholder,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mutually agree upon the determinations then the subject of appraisal. Each party shall deliver a notice to the other appointing its appraiser within 15 days after the Appraisal Procedure is invoked. If within 30 days after appointment of the two appraisers they are unable to agree upon the amount in question, a third independent appraiser shall be chosen within 10 days thereafter by the mutual consent of such first two appraisers. The decision of the third appraiser so appointed and chosen shall be given within 30 days after the selection of such third appraiser. If three appraisers shall be appointed and the determination of one appraiser is disparate from the middle determination by more than twice the amount by which the other determination is disparate from the middle determination, then the determination of such appraiser shall be excluded, the remaining two determinations shall be averaged and such average shall be binding and conclusive upon the</w:t>
      </w:r>
    </w:p>
    <w:p>
      <w:pPr>
        <w:sectPr>
          <w:pgSz w:w="11900" w:h="16838" w:orient="portrait"/>
          <w:cols w:equalWidth="0" w:num="1">
            <w:col w:w="11420"/>
          </w:cols>
          <w:pgMar w:left="240" w:top="125" w:right="239" w:bottom="1440" w:gutter="0" w:footer="0" w:header="0"/>
        </w:sectPr>
      </w:pPr>
    </w:p>
    <w:bookmarkStart w:id="184" w:name="page185"/>
    <w:bookmarkEnd w:id="184"/>
    <w:p>
      <w:pPr>
        <w:ind w:left="97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UST Sequence No. 160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Company and the Original Warrantholder; otherwise, the average of all three determinations shall be binding upon the Company and the Original Warrantholder.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costs of conducting any Appraisal Procedure shall be borne by the Company.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the board of directors of the Company, including any duly authorized committee thereof.</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“Business Combination” </w:t>
      </w:r>
      <w:r>
        <w:rPr>
          <w:rFonts w:ascii="Arial" w:cs="Arial" w:eastAsia="Arial" w:hAnsi="Arial"/>
          <w:sz w:val="18"/>
          <w:szCs w:val="18"/>
          <w:color w:val="auto"/>
        </w:rPr>
        <w:t>means a merger, consolidation, statutory share exchange or similar transaction that requires the approval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except Saturday, Sunday and any day on which banking institutions in the State of New York generally are authorized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law or other governmental actions to close.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 (A)</w:t>
      </w:r>
      <w:r>
        <w:rPr>
          <w:rFonts w:ascii="Arial" w:cs="Arial" w:eastAsia="Arial" w:hAnsi="Arial"/>
          <w:sz w:val="18"/>
          <w:szCs w:val="18"/>
          <w:i w:val="1"/>
          <w:iCs w:val="1"/>
          <w:color w:val="auto"/>
        </w:rPr>
        <w:t xml:space="preserve"> with respect to any Person that is a corporation or company, any and all shares, interests, participations </w:t>
      </w:r>
      <w:r>
        <w:rPr>
          <w:rFonts w:ascii="Arial" w:cs="Arial" w:eastAsia="Arial" w:hAnsi="Arial"/>
          <w:sz w:val="18"/>
          <w:szCs w:val="18"/>
          <w:color w:val="auto"/>
        </w:rPr>
        <w:t>or other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designated) of capital or capital stock of such Person and (B) with respect to any Person that is not a corporation or company, any and all partnership or other equity interests of such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“Charter” </w:t>
      </w:r>
      <w:r>
        <w:rPr>
          <w:rFonts w:ascii="Arial" w:cs="Arial" w:eastAsia="Arial" w:hAnsi="Arial"/>
          <w:sz w:val="16"/>
          <w:szCs w:val="16"/>
          <w:color w:val="auto"/>
        </w:rPr>
        <w:t>means, with respect to any Person, its certificate or articles of incorporation, articles of association, or similar organizational document.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has the meaning ascribed to it in the Purchase Agreement.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the Person whose name, corporate or other organizational form and jurisdiction of organization is set forth in Item 1 of Schedule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has the meaning set forth in Section 13(B).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“convertible securities” </w:t>
      </w:r>
      <w:r>
        <w:rPr>
          <w:rFonts w:ascii="Arial" w:cs="Arial" w:eastAsia="Arial" w:hAnsi="Arial"/>
          <w:sz w:val="18"/>
          <w:szCs w:val="18"/>
          <w:color w:val="auto"/>
        </w:rPr>
        <w:t>has the meaning set forth in Section 13(B).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“CPP” </w:t>
      </w:r>
      <w:r>
        <w:rPr>
          <w:rFonts w:ascii="Arial" w:cs="Arial" w:eastAsia="Arial" w:hAnsi="Arial"/>
          <w:sz w:val="18"/>
          <w:szCs w:val="18"/>
          <w:color w:val="auto"/>
        </w:rPr>
        <w:t>has the meaning ascribed to it in the Purchase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means the Securities Exchange Act of 1934, as amended, or any successor statute, and the rules and regulations promulgated thereunder.</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means the amount set forth in Item 2 of Schedule A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“Expiration Time” </w:t>
      </w:r>
      <w:r>
        <w:rPr>
          <w:rFonts w:ascii="Arial" w:cs="Arial" w:eastAsia="Arial" w:hAnsi="Arial"/>
          <w:sz w:val="18"/>
          <w:szCs w:val="18"/>
          <w:color w:val="auto"/>
        </w:rPr>
        <w:t>has the meaning set forth in Section 3.</w:t>
      </w:r>
    </w:p>
    <w:p>
      <w:pPr>
        <w:spacing w:after="0" w:line="171"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with respect to any security or other property, the fair market value of such security or other property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acting in good faith or, with respect to Section 14, as determined by the Original Warrantholder acting in good faith. For so long as the Original Warrantholder holds this Warrant or any portion thereof, it may object in writing to the Board of Director’s calculation of fair market value within 10 days of receipt of written notice thereof. If the Original Warrantholder and the Company are unable to agree on fair market value during the 10-day period following the delivery of the Original Warrantholder’s objection, the Appraisal Procedure may be invoked by either party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determine Fair Market Value by delivering written notification thereof not later than the 30th day after delivery of the Original Warrantholder’s objection.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“Governmental Entities” </w:t>
      </w:r>
      <w:r>
        <w:rPr>
          <w:rFonts w:ascii="Arial" w:cs="Arial" w:eastAsia="Arial" w:hAnsi="Arial"/>
          <w:sz w:val="18"/>
          <w:szCs w:val="18"/>
          <w:color w:val="auto"/>
        </w:rPr>
        <w:t>has the meaning ascribed to it in the Purchase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“Initial Number” </w:t>
      </w:r>
      <w:r>
        <w:rPr>
          <w:rFonts w:ascii="Arial" w:cs="Arial" w:eastAsia="Arial" w:hAnsi="Arial"/>
          <w:sz w:val="18"/>
          <w:szCs w:val="18"/>
          <w:color w:val="auto"/>
        </w:rPr>
        <w:t>has the meaning set forth in Section 13(B).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the date set forth in Item 3 of Schedule A hereto.</w:t>
      </w:r>
    </w:p>
    <w:p>
      <w:pPr>
        <w:spacing w:after="0" w:line="17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“Market Price” </w:t>
      </w:r>
      <w:r>
        <w:rPr>
          <w:rFonts w:ascii="Arial" w:cs="Arial" w:eastAsia="Arial" w:hAnsi="Arial"/>
          <w:sz w:val="16"/>
          <w:szCs w:val="16"/>
          <w:color w:val="auto"/>
        </w:rPr>
        <w:t>means, with respect to a particular security, on any given day, the last reported sale price regular way or, in case no such reported sale takes</w:t>
      </w:r>
      <w:r>
        <w:rPr>
          <w:rFonts w:ascii="Arial" w:cs="Arial" w:eastAsia="Arial" w:hAnsi="Arial"/>
          <w:sz w:val="16"/>
          <w:szCs w:val="16"/>
          <w:i w:val="1"/>
          <w:iCs w:val="1"/>
          <w:color w:val="auto"/>
        </w:rPr>
        <w:t xml:space="preserve"> </w:t>
      </w:r>
      <w:r>
        <w:rPr>
          <w:rFonts w:ascii="Arial" w:cs="Arial" w:eastAsia="Arial" w:hAnsi="Arial"/>
          <w:sz w:val="16"/>
          <w:szCs w:val="16"/>
          <w:color w:val="auto"/>
        </w:rPr>
        <w:t>place on such day, the average of the last closing bid and ask prices regular way, in either case on the principal national securities exchange on which the applicable securities are listed or admitted to trading, or if not listed or admitted to trading on any national securities exchange, the average of the closing bid and ask prices as furnished by two members of the Financial Industry Regulatory Authority, Inc. selected from time to time by the Company for that purpose. “Market Price” shall be determined without reference to after hours or extended hours trading. If such security is not listed and traded in a manner that the quotations referred to above are available for the period required hereunder, the Market Price per share of Common Stock shall be deemed to be (i) in the event that any portion of the Warrant is held by the Original Warrantholder, the fair market value per share of such security as determined in good faith by the Original Warrantholder or (ii) in all other circumstances, the fair market value per share of such security as determined in good faith by the Board of Directors in reliance on an opinion of a nationally recognized independent investment banking corporation retained by the Company for this purpose and certified in a resolution to the Warrantholder. For the purposes of determining the Market Price of the Common Stock on the “trading day” preceding, on or following the occurrence of an event, (i) that trading day shall be deemed to commence immediately after the regular scheduled closing time of trading on the New York Stock Exchange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12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“Ordinary Cash Dividends” </w:t>
      </w:r>
      <w:r>
        <w:rPr>
          <w:rFonts w:ascii="Arial" w:cs="Arial" w:eastAsia="Arial" w:hAnsi="Arial"/>
          <w:sz w:val="16"/>
          <w:szCs w:val="16"/>
          <w:color w:val="auto"/>
        </w:rPr>
        <w:t>means a regular quarterly cash dividend on shares of Common Stock out of surplus or net profits legally available therefor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accordance with generally accepted accounting principles in effect from time to time), provided that Ordinary Cash Dividends shall not include any cash dividends paid subsequent to the Issue Date to the extent the aggregate per share dividends paid on the outstanding Common Stock in any quarter exceed the amount set forth in Item 4 of Schedule A hereto, as adjusted for any stock split, stock dividend, reverse stock split, reclassification or similar transaction.</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“Original Warrantholder” </w:t>
      </w:r>
      <w:r>
        <w:rPr>
          <w:rFonts w:ascii="Arial" w:cs="Arial" w:eastAsia="Arial" w:hAnsi="Arial"/>
          <w:sz w:val="18"/>
          <w:szCs w:val="18"/>
          <w:color w:val="auto"/>
        </w:rPr>
        <w:t>means the United States Department of the Treasury. Any actions specified to be taken by the Original Warrantholder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may only be taken by such Person and not by any other Warrantholder.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UST Sequence No. 160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“Permitted Transactions” </w:t>
      </w:r>
      <w:r>
        <w:rPr>
          <w:rFonts w:ascii="Arial" w:cs="Arial" w:eastAsia="Arial" w:hAnsi="Arial"/>
          <w:sz w:val="18"/>
          <w:szCs w:val="18"/>
          <w:color w:val="auto"/>
        </w:rPr>
        <w:t>has the meaning set forth in Section 13(B).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“Person” has the meaning given to it in Section 3(a)(9) of the Exchange Act and as used in Sections 13(d)(3) and 14(d)(2) of the Exchange Act.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 Share Fair Market Value” </w:t>
      </w:r>
      <w:r>
        <w:rPr>
          <w:rFonts w:ascii="Arial" w:cs="Arial" w:eastAsia="Arial" w:hAnsi="Arial"/>
          <w:sz w:val="18"/>
          <w:szCs w:val="18"/>
          <w:color w:val="auto"/>
        </w:rPr>
        <w:t>has the meaning set forth in Section 13(C).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Post-Merger Side Letter</w:t>
      </w:r>
      <w:r>
        <w:rPr>
          <w:rFonts w:ascii="Arial" w:cs="Arial" w:eastAsia="Arial" w:hAnsi="Arial"/>
          <w:sz w:val="16"/>
          <w:szCs w:val="16"/>
          <w:color w:val="auto"/>
        </w:rPr>
        <w:t>” means the side letter agreement, dated as of the date hereof, by and between the Company and the Original Warrantholder.</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“Preferred Shares” </w:t>
      </w:r>
      <w:r>
        <w:rPr>
          <w:rFonts w:ascii="Arial" w:cs="Arial" w:eastAsia="Arial" w:hAnsi="Arial"/>
          <w:sz w:val="18"/>
          <w:szCs w:val="18"/>
          <w:color w:val="auto"/>
        </w:rPr>
        <w:t>means the perpetual preferred stock issued to the Original Warrantholder on the Issue Date pursuant to the Purchase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Post-Merger Side Letter.</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“Pro Rata Repurchases” </w:t>
      </w:r>
      <w:r>
        <w:rPr>
          <w:rFonts w:ascii="Arial" w:cs="Arial" w:eastAsia="Arial" w:hAnsi="Arial"/>
          <w:sz w:val="16"/>
          <w:szCs w:val="16"/>
          <w:color w:val="auto"/>
        </w:rPr>
        <w:t>means any purchase of shares of Common Stock by the Company or any Affiliate thereof pursuant to (A) any tender offer or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offer subject to Section 13(e) or 14(e) of the Exchange Act or Regulation 14E promulgated thereunder or (B) any other offer available to substantially all holders of Common Stock, in the case of both (A) or (B), whether for cash, shares of Capital Stock of the Company, other securities of the Company, evidences of indebtedness of the Company or any other Person or any other property (including, without limitation, shares of Capital Stock, other securities or evidences of indebtedness of a subsidiary), or any combination thereof, effected while this Warrant is outstanding. The “Effective Date” of a Pro Rata Repurchase shall mean the date of acceptance of shares for purchase or exchange by the Company under any tender or exchange offer which is a Pro Rata Repurchase or the date of purchase with respect to any Pro Rata Repurchase that is not a tender or exchange offer.</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means the Securities Purchase Agreement – Standard Terms incorporated into the Letter Agreement, dated as of the date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Item 5 of Schedule A hereto, as amended from time to time, between the Company and the United States Department of the Treasury (the “Letter Agreement”), including all annexes and schedules thereto.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“Qualified Equity Offering” </w:t>
      </w:r>
      <w:r>
        <w:rPr>
          <w:rFonts w:ascii="Arial" w:cs="Arial" w:eastAsia="Arial" w:hAnsi="Arial"/>
          <w:sz w:val="18"/>
          <w:szCs w:val="18"/>
          <w:color w:val="auto"/>
        </w:rPr>
        <w:t>has the meaning ascribed to it in the Purchase Agreement.</w:t>
      </w:r>
    </w:p>
    <w:p>
      <w:pPr>
        <w:spacing w:after="0" w:line="171"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i w:val="1"/>
          <w:iCs w:val="1"/>
          <w:color w:val="auto"/>
        </w:rPr>
        <w:t xml:space="preserve">“Regulatory Approvals” </w:t>
      </w:r>
      <w:r>
        <w:rPr>
          <w:rFonts w:ascii="Arial" w:cs="Arial" w:eastAsia="Arial" w:hAnsi="Arial"/>
          <w:sz w:val="16"/>
          <w:szCs w:val="16"/>
          <w:color w:val="auto"/>
        </w:rPr>
        <w:t>with respect to the Warrantholder, means, to the extent applicable and required to permit the Warrantholder to exercise this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for shares of Common Stock and to own such Common Stock without the Warrantholder being in violation of applicable law, rule or regulation, the receipt of any necessary approvals and authorizations of, filings and registrations with, notifications to, or expiration or termination of any applicable waiting period under, the Hart-Scott-Rodino Antitrust Improvements Act of 1976, as amended, and the rules and regulations thereunder.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U.S.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“Securities Act” </w:t>
      </w:r>
      <w:r>
        <w:rPr>
          <w:rFonts w:ascii="Arial" w:cs="Arial" w:eastAsia="Arial" w:hAnsi="Arial"/>
          <w:sz w:val="16"/>
          <w:szCs w:val="16"/>
          <w:color w:val="auto"/>
        </w:rPr>
        <w:t>means the Securities Act of 1933, as amended, or any successor statute, and the rules and regulations promulgated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has the meaning set forth in Section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187" w:name="page188"/>
    <w:bookmarkEnd w:id="187"/>
    <w:p>
      <w:pPr>
        <w:ind w:left="97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“trading day” </w:t>
      </w:r>
      <w:r>
        <w:rPr>
          <w:rFonts w:ascii="Arial" w:cs="Arial" w:eastAsia="Arial" w:hAnsi="Arial"/>
          <w:sz w:val="16"/>
          <w:szCs w:val="16"/>
          <w:color w:val="auto"/>
        </w:rPr>
        <w:t>means (A) if the shares of Common Stock are not traded on any national or regional securities exchange or association or over-the-counter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 business day or (B) if the shares of Common Stock are traded on any national or regional securities exchange or association or over-the-counter market, a business day on which such relevant exchange or quotation system is scheduled to be open for business and on which the shares of Common Stock (i) are not suspended from trading on any national or regional securities exchange or association or over-the-counter market for any period or periods aggregating one half hour or longer; and (ii) have traded at least once on the national or regional securities exchange or association or over-the-counter market that is the primary market for the trading of the shares of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“U.S. GAAP” </w:t>
      </w:r>
      <w:r>
        <w:rPr>
          <w:rFonts w:ascii="Arial" w:cs="Arial" w:eastAsia="Arial" w:hAnsi="Arial"/>
          <w:sz w:val="18"/>
          <w:szCs w:val="18"/>
          <w:color w:val="auto"/>
        </w:rPr>
        <w:t>means United States generally accepted accounting principles.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“Warrantholder” </w:t>
      </w:r>
      <w:r>
        <w:rPr>
          <w:rFonts w:ascii="Arial" w:cs="Arial" w:eastAsia="Arial" w:hAnsi="Arial"/>
          <w:sz w:val="18"/>
          <w:szCs w:val="18"/>
          <w:color w:val="auto"/>
        </w:rPr>
        <w:t>has the meaning set forth in Section 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“Warrant” </w:t>
      </w:r>
      <w:r>
        <w:rPr>
          <w:rFonts w:ascii="Arial" w:cs="Arial" w:eastAsia="Arial" w:hAnsi="Arial"/>
          <w:sz w:val="18"/>
          <w:szCs w:val="18"/>
          <w:color w:val="auto"/>
        </w:rPr>
        <w:t>means this Warrant, issued pursuant to the Purchase Agreement and the Post-Merger Side Letter.</w:t>
      </w:r>
    </w:p>
    <w:p>
      <w:pPr>
        <w:spacing w:after="0" w:line="171" w:lineRule="exact"/>
        <w:rPr>
          <w:sz w:val="20"/>
          <w:szCs w:val="20"/>
          <w:color w:val="auto"/>
        </w:rPr>
      </w:pPr>
    </w:p>
    <w:p>
      <w:pPr>
        <w:ind w:right="120" w:firstLine="464"/>
        <w:spacing w:after="0" w:line="291"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Number of Shares; Exercise Price</w:t>
      </w:r>
      <w:r>
        <w:rPr>
          <w:rFonts w:ascii="Arial" w:cs="Arial" w:eastAsia="Arial" w:hAnsi="Arial"/>
          <w:sz w:val="16"/>
          <w:szCs w:val="16"/>
          <w:color w:val="auto"/>
        </w:rPr>
        <w:t>. This certifies that, for value received, the United States Department of the Treasury or its permitted assigns (the “Warrantholder”) is entitled, upon the terms and subject to the conditions hereinafter set forth, to acquire from the Company, in whole or in part, after the receipt of all applicable Regulatory Approvals, if any, up to an aggregate of the number of fully paid and nonassessable shares of Common Stock set forth in Item 6 of Schedule A hereto, at a purchase price per share of Common Stock equal to the Exercise Price. The number of shares of Common Stock (the “Shares”) and the Exercise Price are subject to adjustment as provided herein, and all references to “Common Stock,” “Shares” and “Exercise Price” herein shall be deemed to include any such adjustment or series of adjustments.</w:t>
      </w:r>
    </w:p>
    <w:p>
      <w:pPr>
        <w:spacing w:after="0" w:line="120" w:lineRule="exact"/>
        <w:rPr>
          <w:rFonts w:ascii="Arial" w:cs="Arial" w:eastAsia="Arial" w:hAnsi="Arial"/>
          <w:sz w:val="16"/>
          <w:szCs w:val="16"/>
          <w:color w:val="auto"/>
        </w:rPr>
      </w:pPr>
    </w:p>
    <w:p>
      <w:pPr>
        <w:ind w:right="80" w:firstLine="464"/>
        <w:spacing w:after="0" w:line="290"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Exercise of Warrant; Term</w:t>
      </w:r>
      <w:r>
        <w:rPr>
          <w:rFonts w:ascii="Arial" w:cs="Arial" w:eastAsia="Arial" w:hAnsi="Arial"/>
          <w:sz w:val="16"/>
          <w:szCs w:val="16"/>
          <w:color w:val="auto"/>
        </w:rPr>
        <w:t>. Subject to Section 2, to the extent permitted by applicable laws and regulations, the right to purchase the Shares represented by this Warrant is exercisable, in whole or in part by the Warrantholder, at any time or from time to time after the execution and delivery of this Warrant by the Company on the date hereof, but in no event later than 5:00 p.m., New York City time on the tenth anniversary of the Issue Date, as provided in Schedule A attached hereto (the “Expiration Time”), by (A) the surrender of this Warrant and Notice of Exercise annexed hereto, duly completed and executed on behalf of the Warrantholder, at the principal executive office of the Company located at the address set forth in Item 7 of Schedule A hereto (or such other office or agency of the Company in the United States as it may designate by notice in writing to the Warrantholder at the address of the Warrantholder appearing on the books of the Company), and payment of the Exercise Price for the Shares thereby purchased:</w:t>
      </w:r>
    </w:p>
    <w:p>
      <w:pPr>
        <w:spacing w:after="0" w:line="118" w:lineRule="exact"/>
        <w:rPr>
          <w:rFonts w:ascii="Arial" w:cs="Arial" w:eastAsia="Arial" w:hAnsi="Arial"/>
          <w:sz w:val="16"/>
          <w:szCs w:val="16"/>
          <w:color w:val="auto"/>
        </w:rPr>
      </w:pPr>
    </w:p>
    <w:p>
      <w:pPr>
        <w:ind w:right="180" w:firstLine="921"/>
        <w:spacing w:after="0" w:line="259" w:lineRule="auto"/>
        <w:tabs>
          <w:tab w:leader="none" w:pos="10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by having the Company withhold, from the shares of Common Stock that would otherwise be delivered to the Warrantholder upon such exercise, shares of Common Stock issuable upon exercise of the Warrant equal in value to the aggregate Exercise Price as to which this Warrant is so exercised based on the Market Price of the Common Stock on the trading day</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on which this Warrant is exercised and the Notice of Exercise is delivered to the Company pursuant to this Section 3, or</w:t>
      </w:r>
    </w:p>
    <w:p>
      <w:pPr>
        <w:spacing w:after="0" w:line="171" w:lineRule="exact"/>
        <w:rPr>
          <w:sz w:val="20"/>
          <w:szCs w:val="20"/>
          <w:color w:val="auto"/>
        </w:rPr>
      </w:pPr>
    </w:p>
    <w:p>
      <w:pPr>
        <w:ind w:right="440" w:firstLine="921"/>
        <w:spacing w:after="0" w:line="268" w:lineRule="auto"/>
        <w:tabs>
          <w:tab w:leader="none" w:pos="10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the consent of both the Company and the Warrantholder, by tendering in cash, by certified or cashier’s check payable to the order of the Company, or by wire transfer of immediately available funds to an account designated by the Company.</w:t>
      </w:r>
    </w:p>
    <w:p>
      <w:pPr>
        <w:spacing w:after="0" w:line="132"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If the Warrantholder does not exercise this Warrant in its entirety, the Warrantholder will be entitled to receive from the Company within a reasonable time, and in any event not exceeding three business days, a new warrant in substantially identical form for the purchase of that number of Shares equal to the difference between the number of Shares subject to this Warrant and the number of Shares as to which this Warrant is so exercised. Notwithstanding anything in this Warrant to the contrary, the Warrantholder hereby acknowledges and agrees that its exercise of this Warrant for Shares is subject to the condition that the Warrantholder will have first received any applicable Regulatory Approvals.</w:t>
      </w:r>
    </w:p>
    <w:p>
      <w:pPr>
        <w:spacing w:after="0" w:line="116" w:lineRule="exact"/>
        <w:rPr>
          <w:sz w:val="20"/>
          <w:szCs w:val="20"/>
          <w:color w:val="auto"/>
        </w:rPr>
      </w:pPr>
    </w:p>
    <w:p>
      <w:pPr>
        <w:ind w:right="20" w:firstLine="464"/>
        <w:spacing w:after="0" w:line="285"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Issuance of Shares; Authorization; Listing</w:t>
      </w:r>
      <w:r>
        <w:rPr>
          <w:rFonts w:ascii="Arial" w:cs="Arial" w:eastAsia="Arial" w:hAnsi="Arial"/>
          <w:sz w:val="16"/>
          <w:szCs w:val="16"/>
          <w:color w:val="auto"/>
        </w:rPr>
        <w:t>. Certificates for Shares issued upon exercise of this Warrant will be issued in such name or names as the Warrantholder may designate and will be delivered to such named Person or Persons within a reasonable time, not to exceed three business days after the date on which this Warrant has been duly exercised in accordance with the terms of this Warrant. The Company hereby represents and warrants that any Shares issued upon the exercise of this Warrant in accordance with the provisions of Section 3 will be duly and validly authorized and issued, fully paid and nonassessable and free from all taxes, liens and charges (other than liens or charges created by the Warrantholder, income and franchise taxes incurred in connection with the exercise of the Warrant or taxes in respect of any transfer occurring contemporaneously therewith). The Company agrees that the Shares so issued will be deemed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Shares may not be actually delivered on such date. The Company will at all times reserve and keep available, out of its authorized but unissued Common Stock, solely for the purpose of providing for the exercise of this Warrant, the aggregate number of shares of Common Stock then issuable upon exercise of this Warrant at any time. The Company will (A) procure, at its sole expense, the listing of the Shares issuable upon exercise of this Warrant at any time, subject to issuance or notice of issuance, on all principal stock exchanges on which the Common Stock is then listed or traded and (B) maintain such listings of such Shares at all times after issuance. The Company will use reasonable best efforts to ensure that the Shares may be issued without violation of any applicable law or regulation or of any requirement of any securities exchange on which the Shares are listed or traded.</w:t>
      </w:r>
    </w:p>
    <w:p>
      <w:pPr>
        <w:spacing w:after="0" w:line="128" w:lineRule="exact"/>
        <w:rPr>
          <w:rFonts w:ascii="Arial" w:cs="Arial" w:eastAsia="Arial" w:hAnsi="Arial"/>
          <w:sz w:val="16"/>
          <w:szCs w:val="16"/>
          <w:color w:val="auto"/>
        </w:rPr>
      </w:pPr>
    </w:p>
    <w:p>
      <w:pPr>
        <w:jc w:val="both"/>
        <w:ind w:right="240" w:firstLine="464"/>
        <w:spacing w:after="0" w:line="306"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 Fractional Shares or Scrip</w:t>
      </w:r>
      <w:r>
        <w:rPr>
          <w:rFonts w:ascii="Arial" w:cs="Arial" w:eastAsia="Arial" w:hAnsi="Arial"/>
          <w:sz w:val="16"/>
          <w:szCs w:val="16"/>
          <w:color w:val="auto"/>
        </w:rPr>
        <w:t>. No fractional Shares or scrip representing fractional Shares shall be issued upon any exercise of this Warrant. In lieu of any fractional Share to which the Warrantholder would otherwise be entitled, the Warrantholder shall be entitled to receive a cash payment equal to the Market Price of the Common Stock on the last trading day preceding the date of exercise less the pro-rated Exercise Price for such fractional share.</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UST Sequence No. 160</w:t>
      </w:r>
    </w:p>
    <w:p>
      <w:pPr>
        <w:spacing w:after="0" w:line="164" w:lineRule="exact"/>
        <w:rPr>
          <w:sz w:val="20"/>
          <w:szCs w:val="20"/>
          <w:color w:val="auto"/>
        </w:rPr>
      </w:pPr>
    </w:p>
    <w:p>
      <w:pPr>
        <w:ind w:right="20" w:firstLine="464"/>
        <w:spacing w:after="0" w:line="259"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Rights as Stockholders; Transfer Books</w:t>
      </w:r>
      <w:r>
        <w:rPr>
          <w:rFonts w:ascii="Arial" w:cs="Arial" w:eastAsia="Arial" w:hAnsi="Arial"/>
          <w:sz w:val="18"/>
          <w:szCs w:val="18"/>
          <w:color w:val="auto"/>
        </w:rPr>
        <w:t>. This Warrant does not entitle the Warrantholder to any voting rights or other rights as a stockholder of the Company prior to the date of exercise hereof. The Company will at no time close its transfer books against transfer of this Warrant in any manner which interferes with the timely exercise of this Warrant.</w:t>
      </w:r>
    </w:p>
    <w:p>
      <w:pPr>
        <w:spacing w:after="0" w:line="140" w:lineRule="exact"/>
        <w:rPr>
          <w:rFonts w:ascii="Arial" w:cs="Arial" w:eastAsia="Arial" w:hAnsi="Arial"/>
          <w:sz w:val="18"/>
          <w:szCs w:val="18"/>
          <w:color w:val="auto"/>
        </w:rPr>
      </w:pPr>
    </w:p>
    <w:p>
      <w:pPr>
        <w:jc w:val="both"/>
        <w:ind w:right="120" w:firstLine="464"/>
        <w:spacing w:after="0" w:line="259"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Issuance of certificates for Shares to the Warrantholder upon the exercise of this Warrant shall be made without charge to the Warrantholder for any issue or transfer tax or other incidental expense in respect of the issuance of such certificates, all of which taxes and expenses shall be paid by the Company.</w:t>
      </w:r>
    </w:p>
    <w:p>
      <w:pPr>
        <w:spacing w:after="0" w:line="221" w:lineRule="exact"/>
        <w:rPr>
          <w:rFonts w:ascii="Arial" w:cs="Arial" w:eastAsia="Arial" w:hAnsi="Arial"/>
          <w:sz w:val="18"/>
          <w:szCs w:val="18"/>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Transfer/Assignment</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94" w:lineRule="auto"/>
        <w:tabs>
          <w:tab w:leader="none" w:pos="7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Subject to compliance with clause (B) of this Section 8,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office or agency of the Company described in Section 3. All expenses (other than stock transfer taxes) and other charges payable in connection with the preparation, execution and delivery of the new warrants pursuant to this Section 8 shall be paid by the Company.</w:t>
      </w:r>
    </w:p>
    <w:p>
      <w:pPr>
        <w:spacing w:after="0" w:line="115" w:lineRule="exact"/>
        <w:rPr>
          <w:rFonts w:ascii="Arial" w:cs="Arial" w:eastAsia="Arial" w:hAnsi="Arial"/>
          <w:sz w:val="16"/>
          <w:szCs w:val="16"/>
          <w:color w:val="auto"/>
        </w:rPr>
      </w:pPr>
    </w:p>
    <w:p>
      <w:pPr>
        <w:ind w:right="320" w:firstLine="464"/>
        <w:spacing w:after="0" w:line="259" w:lineRule="auto"/>
        <w:tabs>
          <w:tab w:leader="none" w:pos="7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transfer of the Warrant and the Shares issued upon exercise of the Warrant are subject to the restrictions set forth in Section 4.4 of the Purchase Agreement. If and for so long as required by the Purchase Agreement, this Warrant shall contain the legends as set forth in Sections 4.2(a) and 4.2(b) of the Purchase Agreement.</w:t>
      </w:r>
    </w:p>
    <w:p>
      <w:pPr>
        <w:spacing w:after="0" w:line="140" w:lineRule="exact"/>
        <w:rPr>
          <w:sz w:val="20"/>
          <w:szCs w:val="20"/>
          <w:color w:val="auto"/>
        </w:rPr>
      </w:pPr>
    </w:p>
    <w:p>
      <w:pPr>
        <w:jc w:val="both"/>
        <w:ind w:right="80" w:firstLine="464"/>
        <w:spacing w:after="0" w:line="298" w:lineRule="auto"/>
        <w:tabs>
          <w:tab w:leader="none" w:pos="63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Exchange and Registry of Warrant</w:t>
      </w:r>
      <w:r>
        <w:rPr>
          <w:rFonts w:ascii="Arial" w:cs="Arial" w:eastAsia="Arial" w:hAnsi="Arial"/>
          <w:sz w:val="16"/>
          <w:szCs w:val="16"/>
          <w:color w:val="auto"/>
        </w:rPr>
        <w:t>. This Warrant is exchangeable, upon the surrender hereof by the Warrantholder to the Company, for a new warrant or warrants of like tenor and representing the right to purchase the same aggregate number of Shares. The Company shall maintain a registry showing the name and address of the Warrantholder as the registered holder of this Warrant. This Warrant may be surrendered for exchange or exercise in accordance with its terms, at the office of the Company, and the Company shall be entitled to rely in all respects, prior to written notice to the contrary, upon such registry.</w:t>
      </w:r>
    </w:p>
    <w:p>
      <w:pPr>
        <w:spacing w:after="0" w:line="112" w:lineRule="exact"/>
        <w:rPr>
          <w:rFonts w:ascii="Arial" w:cs="Arial" w:eastAsia="Arial" w:hAnsi="Arial"/>
          <w:sz w:val="16"/>
          <w:szCs w:val="16"/>
          <w:color w:val="auto"/>
        </w:rPr>
      </w:pPr>
    </w:p>
    <w:p>
      <w:pPr>
        <w:ind w:right="60" w:firstLine="464"/>
        <w:spacing w:after="0" w:line="255"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Upon receipt by the Company of evidence reasonably satisfactory to it of the loss, theft, destruction or mutilation of this Warrant, and in the case of any such loss, theft or destruction, upon receipt of a bond, indemnity or security reasonably satisfactory to the Company, or, in the case of any such mutilation, upon surrender and cancellation of this Warrant, the Company shall make and deliver, in lieu of such lost, stolen, destroyed or mutilated Warrant, a new Warrant of like tenor and representing the right to purchase the same aggregate number of Shares as provided for in such lost, stolen, destroyed or mutilated Warrant.</w:t>
      </w:r>
    </w:p>
    <w:p>
      <w:pPr>
        <w:spacing w:after="0" w:line="142" w:lineRule="exact"/>
        <w:rPr>
          <w:rFonts w:ascii="Arial" w:cs="Arial" w:eastAsia="Arial" w:hAnsi="Arial"/>
          <w:sz w:val="18"/>
          <w:szCs w:val="18"/>
          <w:color w:val="auto"/>
        </w:rPr>
      </w:pPr>
    </w:p>
    <w:p>
      <w:pPr>
        <w:ind w:right="60" w:firstLine="464"/>
        <w:spacing w:after="0" w:line="332" w:lineRule="auto"/>
        <w:tabs>
          <w:tab w:leader="none" w:pos="71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4"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64" w:lineRule="exact"/>
        <w:rPr>
          <w:sz w:val="20"/>
          <w:szCs w:val="20"/>
          <w:color w:val="auto"/>
        </w:rPr>
      </w:pPr>
    </w:p>
    <w:p>
      <w:pPr>
        <w:ind w:right="60" w:firstLine="464"/>
        <w:spacing w:after="0" w:line="289" w:lineRule="auto"/>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Rule 144 Information</w:t>
      </w:r>
      <w:r>
        <w:rPr>
          <w:rFonts w:ascii="Arial" w:cs="Arial" w:eastAsia="Arial" w:hAnsi="Arial"/>
          <w:sz w:val="16"/>
          <w:szCs w:val="16"/>
          <w:color w:val="auto"/>
        </w:rPr>
        <w:t>. The Company covenants that it will use its reasonable best efforts to timely file all reports and other documents required to be filed by it under the Securities Act and the Exchange Act and the rules and regulations promulgated by the SEC thereunder (or, if the Company is not required to file such reports, it will, upon the request of any Warrantholder, make publicly available such information as necessary to permit sales pursuant to Rule 144 under the Securities Act), and it will use reasonable best efforts to take such further action as any Warrantholder may reasonably request, in each case to the extent required from time to time to enable such holder to, if permitted by the terms of this Warrant and the Purchase Agreement, sell this Warrant without registration under the Securities Act within the limitation of the exemptions provided by (A) Rule 144 under the Securities Act, as such rule may be amended from time to time, or (B) any successor rule or regulation hereafter adopted by the SEC. Upon the written request of any Warrantholder, the Company will deliver to such Warrantholder a written statement that it has complied with such requirements.</w:t>
      </w:r>
    </w:p>
    <w:p>
      <w:pPr>
        <w:spacing w:after="0" w:line="118" w:lineRule="exact"/>
        <w:rPr>
          <w:rFonts w:ascii="Arial" w:cs="Arial" w:eastAsia="Arial" w:hAnsi="Arial"/>
          <w:sz w:val="16"/>
          <w:szCs w:val="16"/>
          <w:color w:val="auto"/>
        </w:rPr>
      </w:pPr>
    </w:p>
    <w:p>
      <w:pPr>
        <w:jc w:val="both"/>
        <w:ind w:right="80" w:firstLine="464"/>
        <w:spacing w:after="0" w:line="306" w:lineRule="auto"/>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Adjustments and Other Rights</w:t>
      </w:r>
      <w:r>
        <w:rPr>
          <w:rFonts w:ascii="Arial" w:cs="Arial" w:eastAsia="Arial" w:hAnsi="Arial"/>
          <w:sz w:val="16"/>
          <w:szCs w:val="16"/>
          <w:color w:val="auto"/>
        </w:rPr>
        <w:t xml:space="preserve">. The Exercise Price and the number of Shares issuable upon exercise of this Warrant shall be subject to adjustment from time to time as follows;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more than one subsection of this Section 13 is applicable to a single event, the subsection shall be applied that produces the largest adjustment and no single event shall cause an adjustment under more than one subsection of this Section 13 so as to result in duplication:</w:t>
      </w:r>
    </w:p>
    <w:p>
      <w:pPr>
        <w:spacing w:after="0" w:line="107" w:lineRule="exact"/>
        <w:rPr>
          <w:sz w:val="20"/>
          <w:szCs w:val="20"/>
          <w:color w:val="auto"/>
        </w:rPr>
      </w:pPr>
    </w:p>
    <w:p>
      <w:pPr>
        <w:ind w:right="40" w:firstLine="464"/>
        <w:spacing w:after="0" w:line="286" w:lineRule="auto"/>
        <w:tabs>
          <w:tab w:leader="none" w:pos="74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Stock Splits, Subdivisions, Reclassifications or Combinations</w:t>
      </w:r>
      <w:r>
        <w:rPr>
          <w:rFonts w:ascii="Arial" w:cs="Arial" w:eastAsia="Arial" w:hAnsi="Arial"/>
          <w:sz w:val="16"/>
          <w:szCs w:val="16"/>
          <w:color w:val="auto"/>
        </w:rPr>
        <w:t>. If the Company shall (i) declare and pay a dividend or make a distribution on its Common Stock in shares of Common Stock, (ii) subdivide or reclassify the outstanding shares of Common Stock into a greater number of shares, or (iii) combine or reclassify the outstanding shares of Common Stock into a smaller number of shares, the number of Shares issuable upon exercise of this Warrant at the time of the record date for such dividend or distribution or the effective date of such subdivision, combination or reclassification shall be proportionately adjusted so that the Warrantholder after such date shall be entitled to purchase the number of shares of Common Stock which such holder would have owned or been entitled to receive in respect of the shares of Common Stock subject to this Warrant after such date had this Warrant been exercised immediately prior to such date. In such event, the Exercise Price in effect at the time of the record date for such dividend or distribution or the effective date of such subdivision, combination or reclassification shall be adjusted to the number obtained by dividing (x) the product of (1) the number of Shares issuable upon the exercise of this Warrant before such adjustment and (2) the Exercise Price in effect immediately prior to the record or effective date, as the case may be, for the dividend, distribution, subdivision, combination or reclassification giving rise to this adjustment by (y) the new number of Shares issuable upon exercise of the Warrant determined pursuant to the immediately preceding sentence.</w:t>
      </w:r>
    </w:p>
    <w:p>
      <w:pPr>
        <w:spacing w:after="0" w:line="127" w:lineRule="exact"/>
        <w:rPr>
          <w:rFonts w:ascii="Arial" w:cs="Arial" w:eastAsia="Arial" w:hAnsi="Arial"/>
          <w:sz w:val="16"/>
          <w:szCs w:val="16"/>
          <w:color w:val="auto"/>
        </w:rPr>
      </w:pPr>
    </w:p>
    <w:p>
      <w:pPr>
        <w:ind w:right="40" w:firstLine="464"/>
        <w:spacing w:after="0" w:line="298" w:lineRule="auto"/>
        <w:tabs>
          <w:tab w:leader="none" w:pos="73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Certain Issuances of Common Shares or Convertible Securities</w:t>
      </w:r>
      <w:r>
        <w:rPr>
          <w:rFonts w:ascii="Arial" w:cs="Arial" w:eastAsia="Arial" w:hAnsi="Arial"/>
          <w:sz w:val="16"/>
          <w:szCs w:val="16"/>
          <w:color w:val="auto"/>
        </w:rPr>
        <w:t>. Until the earlier of (i) the date on which the Original Warrantholder no longer holds this Warrant or any portion thereof and (ii) the third anniversary of the Issue Date, if the Company shall issue shares of Common Stock (or rights or warrants or other securities exercisable or convertible into or exchangeable (collectively, a “</w:t>
      </w:r>
      <w:r>
        <w:rPr>
          <w:rFonts w:ascii="Arial" w:cs="Arial" w:eastAsia="Arial" w:hAnsi="Arial"/>
          <w:sz w:val="16"/>
          <w:szCs w:val="16"/>
          <w:i w:val="1"/>
          <w:iCs w:val="1"/>
          <w:color w:val="auto"/>
        </w:rPr>
        <w:t>conversion</w:t>
      </w:r>
      <w:r>
        <w:rPr>
          <w:rFonts w:ascii="Arial" w:cs="Arial" w:eastAsia="Arial" w:hAnsi="Arial"/>
          <w:sz w:val="16"/>
          <w:szCs w:val="16"/>
          <w:color w:val="auto"/>
        </w:rPr>
        <w:t>”) for shares of Common Stock) (collectively, “</w:t>
      </w:r>
      <w:r>
        <w:rPr>
          <w:rFonts w:ascii="Arial" w:cs="Arial" w:eastAsia="Arial" w:hAnsi="Arial"/>
          <w:sz w:val="16"/>
          <w:szCs w:val="16"/>
          <w:i w:val="1"/>
          <w:iCs w:val="1"/>
          <w:color w:val="auto"/>
        </w:rPr>
        <w:t>convertible securities</w:t>
      </w:r>
      <w:r>
        <w:rPr>
          <w:rFonts w:ascii="Arial" w:cs="Arial" w:eastAsia="Arial" w:hAnsi="Arial"/>
          <w:sz w:val="16"/>
          <w:szCs w:val="16"/>
          <w:color w:val="auto"/>
        </w:rPr>
        <w:t>”) (other than in Permitted Transactions (as defined below) or a transaction to which subsection (A) of this Section 13 is applicable) without consideration or at a</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4" w:right="239" w:bottom="1440" w:gutter="0" w:footer="0" w:header="0"/>
        </w:sectPr>
      </w:pPr>
    </w:p>
    <w:bookmarkStart w:id="191" w:name="page192"/>
    <w:bookmarkEnd w:id="191"/>
    <w:p>
      <w:pPr>
        <w:ind w:left="97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9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consideration per share (or having a conversion price per share) that is less than 90% of the Market Price on the last trading day preceding the date of the agreement on pricing such shares (or such convertible securities) then, in such event:</w:t>
      </w:r>
    </w:p>
    <w:p>
      <w:pPr>
        <w:spacing w:after="0" w:line="51" w:lineRule="exact"/>
        <w:rPr>
          <w:sz w:val="20"/>
          <w:szCs w:val="20"/>
          <w:color w:val="auto"/>
        </w:rPr>
      </w:pPr>
    </w:p>
    <w:p>
      <w:pPr>
        <w:ind w:left="920" w:right="40" w:firstLine="1"/>
        <w:spacing w:after="0" w:line="289" w:lineRule="auto"/>
        <w:tabs>
          <w:tab w:leader="none" w:pos="12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number of Shares issuable upon the exercise of this Warrant immediately prior to the date of the agreement on pricing of such shares (or of such convertible securities) (the “</w:t>
      </w:r>
      <w:r>
        <w:rPr>
          <w:rFonts w:ascii="Arial" w:cs="Arial" w:eastAsia="Arial" w:hAnsi="Arial"/>
          <w:sz w:val="16"/>
          <w:szCs w:val="16"/>
          <w:i w:val="1"/>
          <w:iCs w:val="1"/>
          <w:color w:val="auto"/>
        </w:rPr>
        <w:t>Initial Number</w:t>
      </w:r>
      <w:r>
        <w:rPr>
          <w:rFonts w:ascii="Arial" w:cs="Arial" w:eastAsia="Arial" w:hAnsi="Arial"/>
          <w:sz w:val="16"/>
          <w:szCs w:val="16"/>
          <w:color w:val="auto"/>
        </w:rPr>
        <w:t>”) shall be increased to the number obtained by multiplying the Initial Number by a fraction (A) the numerator of which shall be the sum of (x) the number of shares of Common Stock of the Company outstanding on such date and (y) the number of additional shares of Common Stock issued (or into which convertible securities may be exercised or convert) and (B) the denominator of which shall be the sum of (I) the number of shares of Common Stock outstanding on such date and (II) the number of shares of Common Stock which the aggregate consideration receivable by the Company for the total number of shares of Common Stock so issued (or into which convertible securities may be exercised or convert) would purchase at the Market Price on the last trading day preceding the date of the agreement on pricing such shares (or such convertible securities); and</w:t>
      </w:r>
    </w:p>
    <w:p>
      <w:pPr>
        <w:spacing w:after="0" w:line="37" w:lineRule="exact"/>
        <w:rPr>
          <w:rFonts w:ascii="Arial" w:cs="Arial" w:eastAsia="Arial" w:hAnsi="Arial"/>
          <w:sz w:val="16"/>
          <w:szCs w:val="16"/>
          <w:color w:val="auto"/>
        </w:rPr>
      </w:pPr>
    </w:p>
    <w:p>
      <w:pPr>
        <w:ind w:left="920" w:right="20" w:firstLine="1"/>
        <w:spacing w:after="0" w:line="298" w:lineRule="auto"/>
        <w:tabs>
          <w:tab w:leader="none" w:pos="119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Exercise Price payable upon exercise of the Warrant shall be adjusted by multiplying such Exercise Price in effect immediately prior to the date of the agreement on pricing of such shares (or of such convertible securities) by a fraction, the numerator of which shall be the number of shares of Common Stock issuable upon exercise of this Warrant prior to such date and the denominator of which shall be the number of shares of Common Stock issuable upon exercise of this Warrant immediately after the adjustment described in clause (A) above.</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For purposes of the foregoing, the aggregate consideration receivable by the Company in connection with the issuance of such shares of Common Stock or convertible securities shall be deemed to be equal to the sum of the net offering price (including the Fair Market Value of any non-cash consideration and after deduction of any related expenses payable to third parties) of all such securities plus the minimum aggregate amount, if any, payable upon exercise or conversion of any such convertible securities into shares of Common Stock; and “</w:t>
      </w:r>
      <w:r>
        <w:rPr>
          <w:rFonts w:ascii="Arial" w:cs="Arial" w:eastAsia="Arial" w:hAnsi="Arial"/>
          <w:sz w:val="16"/>
          <w:szCs w:val="16"/>
          <w:i w:val="1"/>
          <w:iCs w:val="1"/>
          <w:color w:val="auto"/>
        </w:rPr>
        <w:t>Permitted Transactions</w:t>
      </w:r>
      <w:r>
        <w:rPr>
          <w:rFonts w:ascii="Arial" w:cs="Arial" w:eastAsia="Arial" w:hAnsi="Arial"/>
          <w:sz w:val="16"/>
          <w:szCs w:val="16"/>
          <w:color w:val="auto"/>
        </w:rPr>
        <w:t>” shall mean issuances (i) as consideration for or to fund the acquisition of businesses and/or related assets, (ii) in connection with employee benefit plans and compensation related arrangements in the ordinary course and consistent with past practice approved by the Board of Directors, (iii) in connection with a public or broadly marketed offering and sale of Common Stock or convertible securities for cash conducted by the Company or its affiliates pursuant to registration under the Securities Act or Rule 144A thereunder on a basis consistent with capital raising transactions by comparable financial institutions and (iv) in connection with the exercise of preemptive rights on terms existing as of the Issue Date. Any adjustment made pursuant to this Section 13(B) shall become effective immediately upon the date of such issuance.</w:t>
      </w:r>
    </w:p>
    <w:p>
      <w:pPr>
        <w:spacing w:after="0" w:line="120" w:lineRule="exact"/>
        <w:rPr>
          <w:sz w:val="20"/>
          <w:szCs w:val="20"/>
          <w:color w:val="auto"/>
        </w:rPr>
      </w:pPr>
    </w:p>
    <w:p>
      <w:pPr>
        <w:ind w:right="40" w:firstLine="464"/>
        <w:spacing w:after="0" w:line="259" w:lineRule="auto"/>
        <w:tabs>
          <w:tab w:leader="none" w:pos="73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Other Distributions</w:t>
      </w:r>
      <w:r>
        <w:rPr>
          <w:rFonts w:ascii="Arial" w:cs="Arial" w:eastAsia="Arial" w:hAnsi="Arial"/>
          <w:sz w:val="18"/>
          <w:szCs w:val="18"/>
          <w:color w:val="auto"/>
        </w:rPr>
        <w:t>. In case the Company shall fix a record date for the making of a distribution to all holders of shares of its Common Stock of securities, evidences of indebtedness, assets, cash, rights or warrants (excluding Ordinary Cash Dividends, dividends of its Common Stock and other dividends or distributions referred to in Section 13(A)), in each</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74" w:right="239" w:bottom="1440" w:gutter="0" w:footer="0" w:header="0"/>
        </w:sectPr>
      </w:pPr>
    </w:p>
    <w:bookmarkStart w:id="192" w:name="page193"/>
    <w:bookmarkEnd w:id="192"/>
    <w:p>
      <w:pPr>
        <w:ind w:left="97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UST Sequence No. 160</w:t>
      </w:r>
    </w:p>
    <w:p>
      <w:pPr>
        <w:spacing w:after="0" w:line="19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such case, the Exercise Price in effect prior to such record date shall be reduced immediately thereafter to the price determined by multiplying the Exercise Price in effect immediately prior to the reduction by the quotient of (x) the Market Price of the Common Stock on the last trading day preceding the first date on which the Common Stock trades regular way on the principal national securities exchange on which the Common Stock is listed or admitted to trading without the right to receive such distribution, minus the amount of cash and/or the Fair Market Value of the securities, evidences of indebtedness, assets, rights or warrants to be so distributed in respect of one share of Common Stock (such amount and/or Fair Market Value, the “</w:t>
      </w:r>
      <w:r>
        <w:rPr>
          <w:rFonts w:ascii="Arial" w:cs="Arial" w:eastAsia="Arial" w:hAnsi="Arial"/>
          <w:sz w:val="16"/>
          <w:szCs w:val="16"/>
          <w:i w:val="1"/>
          <w:iCs w:val="1"/>
          <w:color w:val="auto"/>
        </w:rPr>
        <w:t>Per Share Fair Market Value</w:t>
      </w:r>
      <w:r>
        <w:rPr>
          <w:rFonts w:ascii="Arial" w:cs="Arial" w:eastAsia="Arial" w:hAnsi="Arial"/>
          <w:sz w:val="16"/>
          <w:szCs w:val="16"/>
          <w:color w:val="auto"/>
        </w:rPr>
        <w:t>”) divided by (y) such Market Price on such date specified in clause (x); such adjustment shall be made successively whenever such a record date is fixed. In such event, the number of Shares issuable upon the exercise of this Warrant shall be increased to the number obtained by dividing (x) the product of (1) the number of Shares issuable upon the exercise of this Warrant before such adjustment, and (2) the Exercise Price in effect immediately prior to the distribution giving rise to this adjustment by (y) the new Exercise Price determined in accordance with the immediately preceding sentence. In the case of adjustment for a cash dividend that is, or is coincident with, a regular quarterly cash dividend, the Per Share Fair Market Value would be reduced by the per share amount of the portion of the cash dividend that would constitute an Ordinary Cash Dividend. In the event that such distribution is not so made, the Exercise Price and the number of Shares issuable upon exercise of this Warrant then in effect shall be readjusted, effective as of the date when the Board of Directors determines not to distribute such shares, evidences of indebtedness, assets, rights, cash or warrants, as the case may be, to the Exercise Price that would then be in effect and the number of Shares that would then be issuable upon exercise of this Warrant if such record date had not been fixed.</w:t>
      </w:r>
    </w:p>
    <w:p>
      <w:pPr>
        <w:spacing w:after="0" w:line="128" w:lineRule="exact"/>
        <w:rPr>
          <w:sz w:val="20"/>
          <w:szCs w:val="20"/>
          <w:color w:val="auto"/>
        </w:rPr>
      </w:pPr>
    </w:p>
    <w:p>
      <w:pPr>
        <w:ind w:right="80" w:firstLine="464"/>
        <w:spacing w:after="0" w:line="286" w:lineRule="auto"/>
        <w:tabs>
          <w:tab w:leader="none" w:pos="744"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Certain Repurchases of Common Stock</w:t>
      </w:r>
      <w:r>
        <w:rPr>
          <w:rFonts w:ascii="Arial" w:cs="Arial" w:eastAsia="Arial" w:hAnsi="Arial"/>
          <w:sz w:val="16"/>
          <w:szCs w:val="16"/>
          <w:color w:val="auto"/>
        </w:rPr>
        <w:t>. In case the Company effects a Pro Rata Repurchase of Common Stock, then the Exercise Price shall be reduced to the price determined by multiplying the Exercise Price in effect immediately prior to the Effective Date of such Pro Rata Repurchase by a fraction of which the numerator shall be (i) the product of (x) the number of shares of Common Stock outstanding immediately before such Pro Rata Repurchase and (y) the Market Price of a share of Common Stock on the trading day immediately preceding the first public announcement by the Company or any of its Affiliates of the intent to effect such Pro Rata Repurchase, minus (ii) the aggregate purchase price of the Pro Rata Repurchase, and of which the denominator shall be the product of (i) the number of shares of Common Stock outstanding immediately prior to such Pro Rata Repurchase minus the number of shares of Common Stock so repurchased and (ii) the Market Price per share of Common Stock on the trading day immediately preceding the first public announcement by the Company or any of its Affiliates of the intent to effect such Pro Rata Repurchase. In such event, the number of shares of Common Stock issuable upon the exercise of this Warrant shall be increased to the number obtained by dividing (x) the product of (1) the number of Shares issuable upon the exercise of this Warrant before such adjustment, and (2) the Exercise Price in effect immediately prior to the Pro Rata Repurchase giving rise to this adjustment by (y) the new Exercise Price determined in accordance with the immediately preceding sentence. For the avoidance of doubt, no increase to the Exercise Price or decrease in the number of Shares issuable upon exercise of this Warrant shall be made pursuant to this Section 13(D).</w:t>
      </w:r>
    </w:p>
    <w:p>
      <w:pPr>
        <w:spacing w:after="0" w:line="124" w:lineRule="exact"/>
        <w:rPr>
          <w:rFonts w:ascii="Arial" w:cs="Arial" w:eastAsia="Arial" w:hAnsi="Arial"/>
          <w:sz w:val="16"/>
          <w:szCs w:val="16"/>
          <w:color w:val="auto"/>
        </w:rPr>
      </w:pPr>
    </w:p>
    <w:p>
      <w:pPr>
        <w:ind w:right="340" w:firstLine="464"/>
        <w:spacing w:after="0" w:line="268" w:lineRule="auto"/>
        <w:tabs>
          <w:tab w:leader="none" w:pos="72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Business Combinations</w:t>
      </w:r>
      <w:r>
        <w:rPr>
          <w:rFonts w:ascii="Arial" w:cs="Arial" w:eastAsia="Arial" w:hAnsi="Arial"/>
          <w:sz w:val="18"/>
          <w:szCs w:val="18"/>
          <w:color w:val="auto"/>
        </w:rPr>
        <w:t>. In case of any Business Combination or reclassification of Common Stock (other than a reclassification of Common Stock referred to in Section 13(A)),</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74" w:right="239" w:bottom="1440" w:gutter="0" w:footer="0" w:header="0"/>
        </w:sectPr>
      </w:pPr>
    </w:p>
    <w:bookmarkStart w:id="193" w:name="page194"/>
    <w:bookmarkEnd w:id="193"/>
    <w:p>
      <w:pPr>
        <w:ind w:left="97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Warrantholder’s right to receive Shares upon exercise of this Warrant shall be converted into the right to exercise this Warrant to acquire the number of shares of stock or other securities or property (including cash) which the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and in any such case, if necessary, the provisions set forth herein with respect to the rights and interests thereafter of the Warrantholder shall be appropriately adjusted so as to be applicable, as nearly as may reasonably be, to the Warrantholder’s right to exercise this Warrant in exchange for any shares of stock or other securities or property pursuant to this paragraph. In determining the kind and amount of stock, securities or the property receivable upon exercise of this Warrant following the consummation of such Business Combination, if the holders of Common Stock have the right to elect the kind or amount of consideration receivable upon consummation of such Business Combination, then the consideration that the Warrantholder shall be entitled to receive upon exercise shall be deemed to be the types and amounts of consideration received by the majority of all holders of the shares of common stock that affirmatively make an election (or of all such holders if none make an election).</w:t>
      </w:r>
    </w:p>
    <w:p>
      <w:pPr>
        <w:spacing w:after="0" w:line="123" w:lineRule="exact"/>
        <w:rPr>
          <w:sz w:val="20"/>
          <w:szCs w:val="20"/>
          <w:color w:val="auto"/>
        </w:rPr>
      </w:pPr>
    </w:p>
    <w:p>
      <w:pPr>
        <w:ind w:right="400" w:firstLine="451"/>
        <w:spacing w:after="0" w:line="291" w:lineRule="auto"/>
        <w:tabs>
          <w:tab w:leader="none" w:pos="70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Rounding of Calculations; Minimum Adjustments</w:t>
      </w:r>
      <w:r>
        <w:rPr>
          <w:rFonts w:ascii="Arial" w:cs="Arial" w:eastAsia="Arial" w:hAnsi="Arial"/>
          <w:sz w:val="16"/>
          <w:szCs w:val="16"/>
          <w:color w:val="auto"/>
        </w:rPr>
        <w:t>. All calculations under this Section 13 shall be made to the nearest one-tenth (1/10th) of a cent or to the nearest one-hundredth (1/100th) of a share, as the case may be. Any provision of this Section 13 to the contrary notwithstanding, no adjustment in the Exercise Price or the number of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1/10th of a share of Common Stock, or more.</w:t>
      </w:r>
    </w:p>
    <w:p>
      <w:pPr>
        <w:spacing w:after="0" w:line="120" w:lineRule="exact"/>
        <w:rPr>
          <w:rFonts w:ascii="Arial" w:cs="Arial" w:eastAsia="Arial" w:hAnsi="Arial"/>
          <w:sz w:val="16"/>
          <w:szCs w:val="16"/>
          <w:color w:val="auto"/>
        </w:rPr>
      </w:pPr>
    </w:p>
    <w:p>
      <w:pPr>
        <w:ind w:right="20" w:firstLine="464"/>
        <w:spacing w:after="0" w:line="290" w:lineRule="auto"/>
        <w:tabs>
          <w:tab w:leader="none" w:pos="744"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Timing of Issuance of Additional Common Stock Upon Certain Adjustments</w:t>
      </w:r>
      <w:r>
        <w:rPr>
          <w:rFonts w:ascii="Arial" w:cs="Arial" w:eastAsia="Arial" w:hAnsi="Arial"/>
          <w:sz w:val="16"/>
          <w:szCs w:val="16"/>
          <w:color w:val="auto"/>
        </w:rPr>
        <w:t xml:space="preserve">. In any case in which the provisions of this Section 13 shall require that an adjustment shall become effective immediately after a record date for an event, the Company may defer until the occurrence of such event (i) issuing to the Warrantholder of this Warrant exercised after such record date and before the occurrence of such event the additional shares of Common Stock issuable upon such exercise by reason of the adjustment required by such event over and above the shares of Common Stock issuable upon such exercise before giving effect to such adjustment and (ii) paying to such Warrantholder any amount of cash in lieu of a fractional share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upon request shall deliver to such Warrantholder a due bill or other appropriate instrument evidencing such Warrantholder’s right to receive such additional shares, and such cash, upon the occurrence of the event requiring such adjustment.</w:t>
      </w:r>
    </w:p>
    <w:p>
      <w:pPr>
        <w:spacing w:after="0" w:line="118" w:lineRule="exact"/>
        <w:rPr>
          <w:rFonts w:ascii="Arial" w:cs="Arial" w:eastAsia="Arial" w:hAnsi="Arial"/>
          <w:sz w:val="16"/>
          <w:szCs w:val="16"/>
          <w:color w:val="auto"/>
        </w:rPr>
      </w:pPr>
    </w:p>
    <w:p>
      <w:pPr>
        <w:ind w:right="120" w:firstLine="464"/>
        <w:spacing w:after="0" w:line="306" w:lineRule="auto"/>
        <w:tabs>
          <w:tab w:leader="none" w:pos="744"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Completion of Qualified Equity Offering</w:t>
      </w:r>
      <w:r>
        <w:rPr>
          <w:rFonts w:ascii="Arial" w:cs="Arial" w:eastAsia="Arial" w:hAnsi="Arial"/>
          <w:sz w:val="16"/>
          <w:szCs w:val="16"/>
          <w:color w:val="auto"/>
        </w:rPr>
        <w:t>. In the event the Company (or any successor by Business Combination) completes one or more Qualified Equity Offerings on or prior to December 31, 2009 that result in the Company (or any such successor ) receiving aggregate gross proceeds of not less than 100% of the aggregate liquidation preference of the Preferred Shares (and any preferred stock issued by any such successor to the Original</w:t>
      </w:r>
    </w:p>
    <w:p>
      <w:pPr>
        <w:spacing w:after="0" w:line="93" w:lineRule="exact"/>
        <w:rPr>
          <w:rFonts w:ascii="Arial" w:cs="Arial" w:eastAsia="Arial" w:hAnsi="Arial"/>
          <w:sz w:val="16"/>
          <w:szCs w:val="16"/>
          <w:color w:val="auto"/>
        </w:rPr>
      </w:pPr>
    </w:p>
    <w:p>
      <w:pPr>
        <w:ind w:left="5620" w:hanging="93"/>
        <w:spacing w:after="0"/>
        <w:tabs>
          <w:tab w:leader="none" w:pos="5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74" w:right="239" w:bottom="1440" w:gutter="0" w:footer="0" w:header="0"/>
        </w:sectPr>
      </w:pPr>
    </w:p>
    <w:bookmarkStart w:id="194" w:name="page195"/>
    <w:bookmarkEnd w:id="194"/>
    <w:p>
      <w:pPr>
        <w:ind w:left="97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UST Sequence No. 160</w:t>
      </w:r>
    </w:p>
    <w:p>
      <w:pPr>
        <w:spacing w:after="0" w:line="19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Warrantholder under the CPP), the number of shares of Common Stock underlying the portion of this Warrant then held by the Original Warrantholder shall be thereafter reduced by a number of shares of Common Stock equal to the product of (i) 0.5 and (ii) the number of shares underlying the Warrant on the Issue Date (adjusted to take into account all other theretofore made adjustments pursuant to this Section 13).</w:t>
      </w:r>
    </w:p>
    <w:p>
      <w:pPr>
        <w:spacing w:after="0" w:line="107" w:lineRule="exact"/>
        <w:rPr>
          <w:sz w:val="20"/>
          <w:szCs w:val="20"/>
          <w:color w:val="auto"/>
        </w:rPr>
      </w:pPr>
    </w:p>
    <w:p>
      <w:pPr>
        <w:ind w:right="60" w:firstLine="464"/>
        <w:spacing w:after="0" w:line="291" w:lineRule="auto"/>
        <w:tabs>
          <w:tab w:leader="none" w:pos="67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For so long as the Original Warrantholder holds this Warrant or any portion thereof, if any event occurs as to which the provisions of this Section 13 are not strictly applicable or, if strictly applicable, would not, in the good faith judgment of the Board of Directors of the Company, fairly and adequately protect the purchase rights of the Warrants in accordance with the essential intent and principles of such provisions, then the Board of Directors shall make such adjustments in the application of such provisions, in accordance with such essential intent and principles, as shall be reasonably necessary, in the good faith opinion of the Board of Directors, to protect such purchase rights as aforesaid. The Exercise Price or the number of Shares into which this Warrant is exercisable shall not be adjusted in the event of a change in the par value of the Common Stock or a change in the jurisdiction of incorporation of the Company.</w:t>
      </w:r>
    </w:p>
    <w:p>
      <w:pPr>
        <w:spacing w:after="0" w:line="120" w:lineRule="exact"/>
        <w:rPr>
          <w:rFonts w:ascii="Arial" w:cs="Arial" w:eastAsia="Arial" w:hAnsi="Arial"/>
          <w:sz w:val="16"/>
          <w:szCs w:val="16"/>
          <w:color w:val="auto"/>
        </w:rPr>
      </w:pPr>
    </w:p>
    <w:p>
      <w:pPr>
        <w:ind w:right="140" w:firstLine="464"/>
        <w:spacing w:after="0" w:line="255"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Statement Regarding Adjustments</w:t>
      </w:r>
      <w:r>
        <w:rPr>
          <w:rFonts w:ascii="Arial" w:cs="Arial" w:eastAsia="Arial" w:hAnsi="Arial"/>
          <w:sz w:val="18"/>
          <w:szCs w:val="18"/>
          <w:color w:val="auto"/>
        </w:rPr>
        <w:t>. Whenever the Exercise Price or the number of Shares into which this Warrant is exercisable shall be adjusted as provided in Section 13, the Company shall forthwith file at the principal office of the Company a statement showing in reasonable detail the facts requiring such adjustment and the Exercise Price that shall be in effect and the number of Shares into which this Warrant shall be exercisable after such adjustment, and the Company shall also cause a copy of such statement to be sent by mail, first class postage prepaid, to each Warrantholder at the address appearing in the Company’s records.</w:t>
      </w:r>
    </w:p>
    <w:p>
      <w:pPr>
        <w:spacing w:after="0" w:line="142" w:lineRule="exact"/>
        <w:rPr>
          <w:rFonts w:ascii="Arial" w:cs="Arial" w:eastAsia="Arial" w:hAnsi="Arial"/>
          <w:sz w:val="18"/>
          <w:szCs w:val="18"/>
          <w:color w:val="auto"/>
        </w:rPr>
      </w:pPr>
    </w:p>
    <w:p>
      <w:pPr>
        <w:ind w:right="40" w:firstLine="464"/>
        <w:spacing w:after="0" w:line="288" w:lineRule="auto"/>
        <w:tabs>
          <w:tab w:leader="none" w:pos="744"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Notice of Adjustment Event</w:t>
      </w:r>
      <w:r>
        <w:rPr>
          <w:rFonts w:ascii="Arial" w:cs="Arial" w:eastAsia="Arial" w:hAnsi="Arial"/>
          <w:sz w:val="16"/>
          <w:szCs w:val="16"/>
          <w:color w:val="auto"/>
        </w:rPr>
        <w:t>. In the event that the Company shall propose to take any action of the type described in this Section 13 (but only if the action of the type described in this Section 13 would result in an adjustment in the Exercise Price or the number of Shares into which this Warrant is exercisable or a change in the type of securities or property to be delivered upon exercise of this Warrant), the Company shall give notice to the Warrantholder, in the manner set forth in Section 13(J),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10 days prior to the date so fixed, and in case of all other action, such notice shall be given at least 15 days prior to the taking of such proposed action. Failure to give such notice, or any defect therein, shall not affect the legality or validity of any such action.</w:t>
      </w:r>
    </w:p>
    <w:p>
      <w:pPr>
        <w:spacing w:after="0" w:line="119" w:lineRule="exact"/>
        <w:rPr>
          <w:rFonts w:ascii="Arial" w:cs="Arial" w:eastAsia="Arial" w:hAnsi="Arial"/>
          <w:sz w:val="16"/>
          <w:szCs w:val="16"/>
          <w:color w:val="auto"/>
        </w:rPr>
      </w:pPr>
    </w:p>
    <w:p>
      <w:pPr>
        <w:ind w:right="260" w:firstLine="464"/>
        <w:spacing w:after="0" w:line="306" w:lineRule="auto"/>
        <w:tabs>
          <w:tab w:leader="none" w:pos="724"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Proceedings Prior to Any Action Requiring Adjustment</w:t>
      </w:r>
      <w:r>
        <w:rPr>
          <w:rFonts w:ascii="Arial" w:cs="Arial" w:eastAsia="Arial" w:hAnsi="Arial"/>
          <w:sz w:val="16"/>
          <w:szCs w:val="16"/>
          <w:color w:val="auto"/>
        </w:rPr>
        <w:t>. As a condition precedent to the taking of any action which would require an adjustment pursuant to this Section 13, the Company shall take any action which may be necessary, including obtaining regulatory, New York Stock Exchange, NASDAQ Stock Market or other applicable national securities exchange or stockholder approvals or exemptions, in order that the Company may thereafter validly and</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195" w:name="page196"/>
    <w:bookmarkEnd w:id="195"/>
    <w:p>
      <w:pPr>
        <w:ind w:left="97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UST Sequence No. 160</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legally issue as fully paid and nonassessable all shares of Common Stock that the Warrantholder is entitled to receive upon exercise of this Warrant pursuant to this Section 13.</w:t>
      </w:r>
    </w:p>
    <w:p>
      <w:pPr>
        <w:spacing w:after="0" w:line="335" w:lineRule="exact"/>
        <w:rPr>
          <w:sz w:val="20"/>
          <w:szCs w:val="20"/>
          <w:color w:val="auto"/>
        </w:rPr>
      </w:pPr>
    </w:p>
    <w:p>
      <w:pPr>
        <w:jc w:val="both"/>
        <w:ind w:right="420" w:firstLine="464"/>
        <w:spacing w:after="0" w:line="306" w:lineRule="auto"/>
        <w:tabs>
          <w:tab w:leader="none" w:pos="77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Adjustment Rules</w:t>
      </w:r>
      <w:r>
        <w:rPr>
          <w:rFonts w:ascii="Arial" w:cs="Arial" w:eastAsia="Arial" w:hAnsi="Arial"/>
          <w:sz w:val="16"/>
          <w:szCs w:val="16"/>
          <w:color w:val="auto"/>
        </w:rPr>
        <w:t>. Any adjustments pursuant to this Section 13 shall be made successively whenever an event referred to herein shall occur. If an adjustment in Exercise Price made hereunder would reduce the Exercise Price to an amount below par value of the Common Stock, then such adjustment in Exercise Price made hereunder shall reduce the Exercise Price to the par value of the Common Stock.</w:t>
      </w:r>
    </w:p>
    <w:p>
      <w:pPr>
        <w:spacing w:after="0" w:line="107" w:lineRule="exact"/>
        <w:rPr>
          <w:sz w:val="20"/>
          <w:szCs w:val="20"/>
          <w:color w:val="auto"/>
        </w:rPr>
      </w:pPr>
    </w:p>
    <w:p>
      <w:pPr>
        <w:ind w:right="80" w:firstLine="464"/>
        <w:spacing w:after="0" w:line="294" w:lineRule="auto"/>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Exchange</w:t>
      </w:r>
      <w:r>
        <w:rPr>
          <w:rFonts w:ascii="Arial" w:cs="Arial" w:eastAsia="Arial" w:hAnsi="Arial"/>
          <w:sz w:val="16"/>
          <w:szCs w:val="16"/>
          <w:color w:val="auto"/>
        </w:rPr>
        <w:t>. At any time following the date on which the shares of Common Stock of the Company are no longer listed or admitted to trading on a national securities exchange (other than in connection with any Business Combination), the Original Warrantholder may cause the Company to exchange all or a portion of this Warrant for an economic interest (to be determined by the Original Warrantholder after consultation with the Company) of the Company classified as permanent equity under U.S. GAAP having a value equal to the Fair Market Value of the portion of the Warrant so exchanged. The Original Warrantholder shall calculate any Fair Market Value required to be calculated pursuant to this Section 14, which shall not be subject to the Appraisal Procedure.</w:t>
      </w:r>
    </w:p>
    <w:p>
      <w:pPr>
        <w:spacing w:after="0" w:line="115" w:lineRule="exact"/>
        <w:rPr>
          <w:rFonts w:ascii="Arial" w:cs="Arial" w:eastAsia="Arial" w:hAnsi="Arial"/>
          <w:sz w:val="16"/>
          <w:szCs w:val="16"/>
          <w:color w:val="auto"/>
        </w:rPr>
      </w:pPr>
    </w:p>
    <w:p>
      <w:pPr>
        <w:ind w:right="240" w:firstLine="464"/>
        <w:spacing w:after="0" w:line="298" w:lineRule="auto"/>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will not, by amendment of its Charter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106" w:lineRule="exact"/>
        <w:rPr>
          <w:rFonts w:ascii="Arial" w:cs="Arial" w:eastAsia="Arial" w:hAnsi="Arial"/>
          <w:sz w:val="16"/>
          <w:szCs w:val="16"/>
          <w:color w:val="auto"/>
        </w:rPr>
      </w:pPr>
    </w:p>
    <w:p>
      <w:pPr>
        <w:ind w:right="80" w:firstLine="464"/>
        <w:spacing w:after="0" w:line="290" w:lineRule="auto"/>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Warrant will be governed by and construed in accordance with the federal law of the United States if and to the extent</w:t>
      </w:r>
      <w:r>
        <w:rPr>
          <w:rFonts w:ascii="Arial" w:cs="Arial" w:eastAsia="Arial" w:hAnsi="Arial"/>
          <w:sz w:val="16"/>
          <w:szCs w:val="16"/>
          <w:color w:val="auto"/>
        </w:rPr>
        <w:t xml:space="preserve"> </w:t>
      </w:r>
      <w:r>
        <w:rPr>
          <w:rFonts w:ascii="Arial" w:cs="Arial" w:eastAsia="Arial" w:hAnsi="Arial"/>
          <w:sz w:val="16"/>
          <w:szCs w:val="16"/>
          <w:b w:val="1"/>
          <w:bCs w:val="1"/>
          <w:color w:val="auto"/>
        </w:rPr>
        <w:t>such law is applicable, and otherwise in accordance with the laws of the State of New York applicable to contracts made and to be performed entirely within such State. Each of the Company and the Warrantholder agrees (a) to submit to the exclusive jurisdiction and venue of the United States District Court for the District of Columbia for any civil action, suit or proceeding arising out of or relating to this Warrant or the transactions contemplated hereby, and (b) that notice may be served upon the Company at the address in Section 20 below and upon the Warrantholder at the address for the Warrantholder set forth in the registry maintained by the Company pursuant to Section 9 hereof. To the extent permitted by applicable law, each of the Company and the Warrantholder hereby unconditionally waives trial by jury in any civil legal action or proceeding relating to the Warrant or the transactions contemplated hereby or thereby.</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Warrant shall be binding upon any successors or assigns of the Company.</w:t>
      </w:r>
    </w:p>
    <w:p>
      <w:pPr>
        <w:spacing w:after="0" w:line="171" w:lineRule="exact"/>
        <w:rPr>
          <w:rFonts w:ascii="Arial" w:cs="Arial" w:eastAsia="Arial" w:hAnsi="Arial"/>
          <w:sz w:val="18"/>
          <w:szCs w:val="18"/>
          <w:color w:val="auto"/>
        </w:rPr>
      </w:pPr>
    </w:p>
    <w:p>
      <w:pPr>
        <w:ind w:right="540" w:firstLine="464"/>
        <w:spacing w:after="0" w:line="268"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Warrant may be amended and the observance of any term of this Warrant may be waived only with the written consent of the Company and the Warrantholder.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326" w:lineRule="exact"/>
        <w:rPr>
          <w:sz w:val="20"/>
          <w:szCs w:val="20"/>
          <w:color w:val="auto"/>
        </w:rPr>
      </w:pPr>
    </w:p>
    <w:p>
      <w:pPr>
        <w:jc w:val="both"/>
        <w:ind w:right="40" w:firstLine="464"/>
        <w:spacing w:after="0" w:line="256"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Prohibited Actions</w:t>
      </w:r>
      <w:r>
        <w:rPr>
          <w:rFonts w:ascii="Arial" w:cs="Arial" w:eastAsia="Arial" w:hAnsi="Arial"/>
          <w:sz w:val="18"/>
          <w:szCs w:val="18"/>
          <w:color w:val="auto"/>
        </w:rPr>
        <w:t>. The Company agrees that it will not take any action which would entitle the Warrantholder to an adjustment of the Exercise Price if the total number of shares of Common Stock issuable after such action upon exercise of this Warrant, together with all shares of Common Stock then outstanding and all shares of Common Stock then issuable upon the exercise of all outstanding options, warrants, conversion and other rights, would exceed the total number of shares of Common Stock then authorized by its Charter.</w:t>
      </w:r>
    </w:p>
    <w:p>
      <w:pPr>
        <w:spacing w:after="0" w:line="143" w:lineRule="exact"/>
        <w:rPr>
          <w:rFonts w:ascii="Arial" w:cs="Arial" w:eastAsia="Arial" w:hAnsi="Arial"/>
          <w:sz w:val="18"/>
          <w:szCs w:val="18"/>
          <w:color w:val="auto"/>
        </w:rPr>
      </w:pPr>
    </w:p>
    <w:p>
      <w:pPr>
        <w:ind w:right="40" w:firstLine="464"/>
        <w:spacing w:after="0" w:line="298"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hereunder shall be delivered as set forth in Item 8 of Schedule A hereto, or pursuant to such other instructions as may be designated in writing by the party to receive such notice.</w:t>
      </w:r>
    </w:p>
    <w:p>
      <w:pPr>
        <w:spacing w:after="0" w:line="112" w:lineRule="exact"/>
        <w:rPr>
          <w:rFonts w:ascii="Arial" w:cs="Arial" w:eastAsia="Arial" w:hAnsi="Arial"/>
          <w:sz w:val="16"/>
          <w:szCs w:val="16"/>
          <w:color w:val="auto"/>
        </w:rPr>
      </w:pPr>
    </w:p>
    <w:p>
      <w:pPr>
        <w:jc w:val="both"/>
        <w:ind w:right="220" w:firstLine="464"/>
        <w:spacing w:after="0" w:line="306"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Warrant, the forms attached hereto and Schedule A hereto (the terms of which are incorporated by reference herein), and the Letter Agreement (including all documents incorporated therein), contain the entire agreement between the parties with respect to the subject matter hereof and supersede all prior and contemporaneous arrangements or undertakings with respect thereto.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UST Sequence No. 160</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[Form of Notice of Exercise]</w:t>
      </w:r>
    </w:p>
    <w:p>
      <w:pPr>
        <w:spacing w:after="0" w:line="17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-13970</wp:posOffset>
            </wp:positionV>
            <wp:extent cx="5575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Election to Purchase Common Stock</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undersigned, pursuant to the provisions set forth in the attached Warrant, hereby agrees to subscribe for and purchase the number of shares of the Common Stock set forth below covered by such Warrant. The undersigned, in accordance with Section 3 of the Warrant, hereby agrees to pay the aggregate Exercise Price for such shares of Common Stock in the manner set forth below. A new warrant evidencing the remaining shares of Common Stock covered by such Warrant, but not yet subscribed for and purchased, if any, should be issued in the name set forth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-13970</wp:posOffset>
            </wp:positionV>
            <wp:extent cx="15887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Method of Payment of Exercise Price (note if cashless exercise pursuant to Section 3(i) of the Warrant or cash exercise pursuant to Section 3(ii) of the Warrant, with consent of the Company and the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-38735</wp:posOffset>
            </wp:positionV>
            <wp:extent cx="15887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-13970</wp:posOffset>
            </wp:positionV>
            <wp:extent cx="15887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21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-5715</wp:posOffset>
            </wp:positionV>
            <wp:extent cx="16979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left="8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6985</wp:posOffset>
            </wp:positionV>
            <wp:extent cx="16979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10795</wp:posOffset>
            </wp:positionV>
            <wp:extent cx="16979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10795</wp:posOffset>
            </wp:positionV>
            <wp:extent cx="16979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74"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Warrant to be duly executed by a duly authorized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2010</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René F. Jones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René F. Jones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&amp; 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Attest</w:t>
            </w:r>
          </w:p>
        </w:tc>
        <w:tc>
          <w:tcPr>
            <w:tcW w:w="3980" w:type="dxa"/>
            <w:vAlign w:val="bottom"/>
          </w:tcPr>
          <w:p>
            <w:pPr>
              <w:spacing w:after="0"/>
              <w:rPr>
                <w:sz w:val="24"/>
                <w:szCs w:val="24"/>
                <w:color w:val="auto"/>
              </w:rPr>
            </w:pP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Yoshida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Brian R. Yoshida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8"/>
              </w:rPr>
              <w:t>Administrative Vice President and Deputy General</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Counsel</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Warrant]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4"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UST Sequence No. 160</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M&amp;T Bank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or other organizational form: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Jurisdiction of organization: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$55.761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Issue Date: November 14,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Amount of last dividend declared by the Company prior to the Issue Date: $0.70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of Letter Agreement between Acquired Company and the United States Department of the Treasury: November 14,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of Post-Merger Side Letter: March 26,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407,542.10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Company’s address: One M&amp;T Plaza, Buffalo, New York 14203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M&amp;T Bank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M&amp;T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Buffalo, New York 14203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716-842-5376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Original Warrantholder: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Department of the Treasury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 Pennsylvania Avenue, NW, Room 2312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Assistant General Counsel (Banking and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202-622-1974</w:t>
      </w:r>
    </w:p>
    <w:p>
      <w:pPr>
        <w:sectPr>
          <w:pgSz w:w="11900" w:h="16838" w:orient="portrait"/>
          <w:cols w:equalWidth="0" w:num="1">
            <w:col w:w="11420"/>
          </w:cols>
          <w:pgMar w:left="240" w:top="274"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6 TO CREDIT AGREEMENT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Amendment Agreement dated as of November 26, 2012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between M&amp;T BANK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CITIBANK, N.A.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WHEREAS, the Borrower and the Lender entered into that certain Credit Agreement dated as of December 15, 2000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as amended by (i) that certain Amendment No. 1 dated as of December 9, 2003, (ii) that certain Amendment No.2 dated as of January 30, 2009, (iii) that certain Amendment No.3 dated as of December 4, 2009, (iv) that certain Amendment No. 4 dated as of December 3, 2010, and (v) that certain Amendment No. 5 dated as of November 21, 2011 (the Original Agreement, as so amended, being hereinafter referred to as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Borrower and the Lender desire to amend the Agreement in certain respects;</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NOW THEREFORE, in consideration of the premises and the mutual agreements, representations and warranties set forth herein, and for other good and valuable consideration, the receipt and sufficiency of which is hereby acknowledged, the parties hereto hereby agree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meanings attributed thereto in the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sz w:val="20"/>
          <w:szCs w:val="20"/>
          <w:color w:val="auto"/>
        </w:rPr>
      </w:pPr>
    </w:p>
    <w:p>
      <w:pPr>
        <w:ind w:left="920" w:right="1940" w:hanging="456"/>
        <w:spacing w:after="0" w:line="344" w:lineRule="auto"/>
        <w:tabs>
          <w:tab w:leader="none" w:pos="70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definition of “Applicable Facility Fee Rate” in Section 1.01 of the Agreement is amended and restated in full as follows: “</w:t>
      </w:r>
      <w:r>
        <w:rPr>
          <w:rFonts w:ascii="Arial" w:cs="Arial" w:eastAsia="Arial" w:hAnsi="Arial"/>
          <w:sz w:val="18"/>
          <w:szCs w:val="18"/>
          <w:u w:val="single" w:color="auto"/>
          <w:color w:val="auto"/>
        </w:rPr>
        <w:t>Applicable Facility Fee Rate</w:t>
      </w:r>
      <w:r>
        <w:rPr>
          <w:rFonts w:ascii="Arial" w:cs="Arial" w:eastAsia="Arial" w:hAnsi="Arial"/>
          <w:sz w:val="18"/>
          <w:szCs w:val="18"/>
          <w:color w:val="auto"/>
        </w:rPr>
        <w:t>” means 0.20% per annum.”</w:t>
      </w: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definition of “Commitment Termination Date” in Section 1.01 of the Agreement is amended and restated in full as follows:</w:t>
      </w:r>
    </w:p>
    <w:p>
      <w:pPr>
        <w:spacing w:after="0" w:line="90"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day 364 days after November 26, 2012 or, in the event that the Commitment is extended pursuant to Section 2.04(d), the date to which the Commitment is extended;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day is not a Business Day, the Commitment Termination Date shall be the immediately preceding Business Day.”</w:t>
      </w:r>
    </w:p>
    <w:p>
      <w:pPr>
        <w:sectPr>
          <w:pgSz w:w="11900" w:h="16838" w:orient="portrait"/>
          <w:cols w:equalWidth="0" w:num="1">
            <w:col w:w="11420"/>
          </w:cols>
          <w:pgMar w:left="240" w:top="125" w:right="239" w:bottom="1440" w:gutter="0" w:footer="0" w:header="0"/>
        </w:sectPr>
      </w:pPr>
    </w:p>
    <w:bookmarkStart w:id="201" w:name="page202"/>
    <w:bookmarkEnd w:id="201"/>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8"/>
          <w:szCs w:val="18"/>
          <w:u w:val="single" w:color="auto"/>
          <w:color w:val="auto"/>
        </w:rPr>
        <w:t>Representations True; No Default</w:t>
      </w:r>
      <w:r>
        <w:rPr>
          <w:rFonts w:ascii="Arial" w:cs="Arial" w:eastAsia="Arial" w:hAnsi="Arial"/>
          <w:sz w:val="18"/>
          <w:szCs w:val="18"/>
          <w:color w:val="auto"/>
        </w:rPr>
        <w:t>. On and as of the date hereof and on and as of the Effective Date (as defined below), the Borrower represents and warrants to the Lender that:</w:t>
      </w:r>
    </w:p>
    <w:p>
      <w:pPr>
        <w:spacing w:after="0" w:line="132" w:lineRule="exact"/>
        <w:rPr>
          <w:sz w:val="20"/>
          <w:szCs w:val="20"/>
          <w:color w:val="auto"/>
        </w:rPr>
      </w:pPr>
    </w:p>
    <w:p>
      <w:pPr>
        <w:ind w:right="20" w:firstLine="464"/>
        <w:spacing w:after="0" w:line="268"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representations and warranties contained in Article IV of the Agreement are correct on and as of the date of this Amendment as though made on and as of such date;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event has occurred and is continuing, or would result from the execution and delivery of this Amendment, which constitutes a Default.</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Legal Obligation</w:t>
      </w:r>
      <w:r>
        <w:rPr>
          <w:rFonts w:ascii="Arial" w:cs="Arial" w:eastAsia="Arial" w:hAnsi="Arial"/>
          <w:sz w:val="18"/>
          <w:szCs w:val="18"/>
          <w:color w:val="auto"/>
        </w:rPr>
        <w:t>. The Borrower represents and warrants to the Lender that this Amendment has been duly authorized, executed and delivered on its behalf, and that the Agreement, as amended hereby, constitutes a legal, valid and binding obligation of the Borrower, enforceable against the Borrower in accordance with its terms.</w:t>
      </w:r>
    </w:p>
    <w:p>
      <w:pPr>
        <w:spacing w:after="0" w:line="140"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Ratification</w:t>
      </w:r>
      <w:r>
        <w:rPr>
          <w:rFonts w:ascii="Arial" w:cs="Arial" w:eastAsia="Arial" w:hAnsi="Arial"/>
          <w:sz w:val="18"/>
          <w:szCs w:val="18"/>
          <w:color w:val="auto"/>
        </w:rPr>
        <w:t>. Except as amended hereby, the Agreement and all other documents executed in connection therewith (including, without limitation, the Note) shall remain unchanged and in full force and effect. The Agreement, as amended hereby, and all rights and powers created thereby or thereunder and under such other documents, are in all respects ratified and confirmed.</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Conditions Precedent</w:t>
      </w:r>
      <w:r>
        <w:rPr>
          <w:rFonts w:ascii="Arial" w:cs="Arial" w:eastAsia="Arial" w:hAnsi="Arial"/>
          <w:sz w:val="16"/>
          <w:szCs w:val="16"/>
          <w:color w:val="auto"/>
        </w:rPr>
        <w:t>. The amendments to the Agreement set forth in Section 2 hereof will become effective on and as of the first date on which the Lender has received the following, each in form and substance satisfactory to the Lender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85" w:lineRule="exact"/>
        <w:rPr>
          <w:sz w:val="20"/>
          <w:szCs w:val="20"/>
          <w:color w:val="auto"/>
        </w:rPr>
      </w:pPr>
    </w:p>
    <w:p>
      <w:pPr>
        <w:ind w:left="700" w:hanging="23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counterpart of this Agreement duly executed by the Lender and the Borrower;</w:t>
      </w:r>
    </w:p>
    <w:p>
      <w:pPr>
        <w:spacing w:after="0" w:line="17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certified copies of all documents evidencing necessary corporate action and governmental and other third party approvals, if any, with respect to this Amendment;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favorable written opinion of the Deputy General Counsel of the Borrower, covering such matters relating to this Amendment as the Lender may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164"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certificate of the Borrower’s Corporate Secretary or Assistant Secretary certifying the names and true signatures of the Borrower’s officers authorized to sign this Amendment; and</w:t>
      </w:r>
    </w:p>
    <w:p>
      <w:pPr>
        <w:spacing w:after="0" w:line="131"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evidence of payment by the Borrower of all documented fees and expenses of the Lender, including the reasonable fees and expenses of counsel to the Lender, in connection with the negotiation, preparation, execution and delivery of this Amendment.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02" w:name="page203"/>
    <w:bookmarkEnd w:id="2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left="680" w:hanging="236"/>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Agreement and this Amendment shall be read, taken and construed as one and the same instrument.</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 of the State of New York.</w:t>
      </w:r>
    </w:p>
    <w:p>
      <w:pPr>
        <w:spacing w:after="0" w:line="171" w:lineRule="exact"/>
        <w:rPr>
          <w:rFonts w:ascii="Arial" w:cs="Arial" w:eastAsia="Arial" w:hAnsi="Arial"/>
          <w:sz w:val="18"/>
          <w:szCs w:val="18"/>
          <w:color w:val="auto"/>
        </w:rPr>
      </w:pPr>
    </w:p>
    <w:p>
      <w:pPr>
        <w:ind w:left="-20" w:firstLine="464"/>
        <w:spacing w:after="0" w:line="259" w:lineRule="auto"/>
        <w:tabs>
          <w:tab w:leader="none" w:pos="6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reference in the Agreement to “this Agreement”, “hereunder”, “herein” or words of like import, and each reference in any other document executed in connection with the Agreement (including, without limitation, the Note) to “the Agreement”, “thereunder”, “therein” or words of like import, shall mean and be a reference to the Agreement as amended hereby.</w:t>
      </w:r>
    </w:p>
    <w:p>
      <w:pPr>
        <w:spacing w:after="0" w:line="140" w:lineRule="exact"/>
        <w:rPr>
          <w:rFonts w:ascii="Arial" w:cs="Arial" w:eastAsia="Arial" w:hAnsi="Arial"/>
          <w:sz w:val="18"/>
          <w:szCs w:val="18"/>
          <w:color w:val="auto"/>
        </w:rPr>
      </w:pPr>
    </w:p>
    <w:p>
      <w:pPr>
        <w:ind w:left="-20" w:right="540" w:firstLine="464"/>
        <w:spacing w:after="0" w:line="332" w:lineRule="auto"/>
        <w:tabs>
          <w:tab w:leader="none" w:pos="6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Amendment may be executed in any number of counterparts and by different parties hereto in separate counterparts, each of which when so executed shall be deemed an original and all of which when taken together shall constitute one and the same agreement.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03" w:name="page204"/>
    <w:bookmarkEnd w:id="203"/>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executed by their respective officers thereunto duly authorized,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Spychala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Darlene Spychala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Administrative Vice President</w:t>
            </w:r>
          </w:p>
        </w:tc>
      </w:tr>
    </w:tbl>
    <w:p>
      <w:pPr>
        <w:sectPr>
          <w:pgSz w:w="11900" w:h="16838" w:orient="portrait"/>
          <w:cols w:equalWidth="0" w:num="1">
            <w:col w:w="11420"/>
          </w:cols>
          <w:pgMar w:left="240" w:top="280" w:right="239" w:bottom="1440" w:gutter="0" w:footer="0" w:header="0"/>
        </w:sectPr>
      </w:pPr>
    </w:p>
    <w:bookmarkStart w:id="204" w:name="page205"/>
    <w:bookmarkEnd w:id="20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25400</wp:posOffset>
            </wp:positionV>
            <wp:extent cx="25215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Robert B. Goldstein</w:t>
      </w:r>
    </w:p>
    <w:p>
      <w:pPr>
        <w:spacing w:after="0" w:line="3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9019"/>
          </w:cols>
          <w:pgMar w:left="1440" w:top="280"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10.22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M&amp;T BANK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EMPLOYEE STOCK PURCHASE PLAN</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PLAN DOCUMENT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(February 1, 2013)</w:t>
      </w:r>
    </w:p>
    <w:p>
      <w:pPr>
        <w:sectPr>
          <w:pgSz w:w="11900" w:h="16838" w:orient="portrait"/>
          <w:cols w:equalWidth="0" w:num="1">
            <w:col w:w="10220"/>
          </w:cols>
          <w:pgMar w:left="1440" w:top="125" w:right="239" w:bottom="1440" w:gutter="0" w:footer="0" w:header="0"/>
        </w:sectPr>
      </w:pPr>
    </w:p>
    <w:bookmarkStart w:id="206" w:name="page207"/>
    <w:bookmarkEnd w:id="20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M&amp;T BANK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STOCK PURCHASE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Except where the context otherwise indicates, the following definitions apply: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 a bookkeeping account established and maintained by the Administrator in the name of each Participant. Account does not include a Brokerage Account.</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 the Nomination and Compensation Committee of the Board. Any reference to the Administrator includes a person appointed by the Administrator under Section 3.3 for purposes of the reference.</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 a parent or subsidiary corporation of the Corporation, as defined in Code Sections 424(e) and (f) (but substituting “the Corporation” for “employer corporation”), including parents or subsidiaries of the Corporation that become such after adoption of the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 the Board of Directors of the Corporation.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Brokerage Account</w:t>
      </w:r>
      <w:r>
        <w:rPr>
          <w:rFonts w:ascii="Arial" w:cs="Arial" w:eastAsia="Arial" w:hAnsi="Arial"/>
          <w:sz w:val="18"/>
          <w:szCs w:val="18"/>
          <w:color w:val="auto"/>
        </w:rPr>
        <w:t xml:space="preserve"> – an account established and maintained by a broker-dealer or financial institution in the name of each Participant to which is transferred Shares purchased hereunder on behalf of such Participant. The Administrator may transfer cash to a Participant’s Brokerage Account if a cash refund is owed to the Participant under the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 any day other than a Saturday, Sunday or legal holiday in New York, New York, except as otherwise determined by the Administrator.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 the Internal Revenue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 the common stock, par value $.50 per share, of the Corporation.</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 the sum of the following amounts paid to an Employee by the Corporation and its Designated Affiliates during the Plan Year: (a) the Employee’s base salary for the Plan Year, and (b) if the Employee’s sales commissions for the calendar year within which the Plan Year begins are expected to exceed 50% of his total salary from the Corporation and its Designated Affiliates for the calendar year, 75% of the Employee’s sales commissions for the Plan Year. All forms of compensation paid in addition to base salary, (including, but not limited to, bonuses, overtime, commissions, and incentives), other than the commissions described in (b) above, are excluded from Compensation.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 M&amp;T Bank Corporation, and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Designated Affiliate</w:t>
      </w:r>
      <w:r>
        <w:rPr>
          <w:rFonts w:ascii="Arial" w:cs="Arial" w:eastAsia="Arial" w:hAnsi="Arial"/>
          <w:sz w:val="18"/>
          <w:szCs w:val="18"/>
          <w:color w:val="auto"/>
        </w:rPr>
        <w:t xml:space="preserve"> – any Affiliate that has been designated by the Board or the Administrator as eligible to participate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 a common law employee of the Corporation or a Designated Affiliate, excluding an individual who:</w:t>
      </w:r>
    </w:p>
    <w:p>
      <w:pPr>
        <w:spacing w:after="0" w:line="90" w:lineRule="exact"/>
        <w:rPr>
          <w:sz w:val="20"/>
          <w:szCs w:val="20"/>
          <w:color w:val="auto"/>
        </w:rPr>
      </w:pPr>
    </w:p>
    <w:p>
      <w:pPr>
        <w:ind w:left="920" w:right="60" w:firstLine="1"/>
        <w:spacing w:after="0" w:line="268" w:lineRule="auto"/>
        <w:tabs>
          <w:tab w:leader="none" w:pos="11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an officer of the Corporation or a Designated Affiliate at the Administrative Vice President level or any higher level. However, this exclusion does not apply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07" w:name="page208"/>
    <w:bookmarkEnd w:id="207"/>
    <w:p>
      <w:pPr>
        <w:ind w:left="92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and until the individual is a “highly compensated employee” of the Corporation or a Designated Affiliate, as determined for purposes of the M&amp;T Bank Corporation Retirement Savings Plan; or</w:t>
      </w:r>
    </w:p>
    <w:p>
      <w:pPr>
        <w:spacing w:after="0" w:line="51" w:lineRule="exact"/>
        <w:rPr>
          <w:sz w:val="20"/>
          <w:szCs w:val="20"/>
          <w:color w:val="auto"/>
        </w:rPr>
      </w:pPr>
    </w:p>
    <w:p>
      <w:pPr>
        <w:ind w:left="920" w:right="40" w:firstLine="1"/>
        <w:spacing w:after="0" w:line="259" w:lineRule="auto"/>
        <w:tabs>
          <w:tab w:leader="none" w:pos="116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under age 18, or is classified by the Corporation or a Designated Affiliate as a “fixed-term” employee who (i) has been employed by the Corporation and its Designated Affiliates less than two years or (ii) customarily works 20 hours or less per week or not more than five months in any calendar year.</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status of an individual as an Employee is not affected by a leave of absence from employment with the Corporation or a Designated Affiliate, provided that such leave is for a period of not more than 90 days or reemployment upon the expiration of such leave is guaranteed by contract, policy or statute.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Enrollment Form</w:t>
      </w:r>
      <w:r>
        <w:rPr>
          <w:rFonts w:ascii="Arial" w:cs="Arial" w:eastAsia="Arial" w:hAnsi="Arial"/>
          <w:sz w:val="18"/>
          <w:szCs w:val="18"/>
          <w:color w:val="auto"/>
        </w:rPr>
        <w:t xml:space="preserve"> – the form prescribed by the Administrator that is completed and executed by an Employee to participate in the Plan, and that is filed with the Administrator.</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u w:val="single" w:color="auto"/>
          <w:color w:val="auto"/>
        </w:rPr>
        <w:t>Exercise Date</w:t>
      </w:r>
      <w:r>
        <w:rPr>
          <w:rFonts w:ascii="Arial" w:cs="Arial" w:eastAsia="Arial" w:hAnsi="Arial"/>
          <w:sz w:val="18"/>
          <w:szCs w:val="18"/>
          <w:color w:val="auto"/>
        </w:rPr>
        <w:t xml:space="preserve"> – January 31 of each Plan Year, or such other date as may be specified by the Administrator. If an Exercise Date is not a Business Day, then the Exercise Date is the next following Business Day.</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 unless otherwise determined by the Administrator, an amount equal to the regular closing price (not taking into account extended trading sessions) for a Share on a given date on the New York Stock Exchange, as reported by the New York Stock Exchange, or, if such price quotations of the Common Stock are not then reported, then the fair market value of a Share, as determined by the Administrator, using a reasonable method adopted in good faith for such purpose.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 a notice provided by an Employee to the Administrator in such form as may be specified by the Administrator.</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u w:val="single" w:color="auto"/>
          <w:color w:val="auto"/>
        </w:rPr>
        <w:t>Offering Date</w:t>
      </w:r>
      <w:r>
        <w:rPr>
          <w:rFonts w:ascii="Arial" w:cs="Arial" w:eastAsia="Arial" w:hAnsi="Arial"/>
          <w:sz w:val="18"/>
          <w:szCs w:val="18"/>
          <w:color w:val="auto"/>
        </w:rPr>
        <w:t xml:space="preserve"> – February 1 and August 1 of each Plan Year, or such other date as may be specified by the Administrator. If an Offering Date is not a Business Day, then the Offering Date is the next following Business 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 an option granted under Section 8.</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u w:val="single" w:color="auto"/>
          <w:color w:val="auto"/>
        </w:rPr>
        <w:t>Option Period</w:t>
      </w:r>
      <w:r>
        <w:rPr>
          <w:rFonts w:ascii="Arial" w:cs="Arial" w:eastAsia="Arial" w:hAnsi="Arial"/>
          <w:sz w:val="16"/>
          <w:szCs w:val="16"/>
          <w:color w:val="auto"/>
        </w:rPr>
        <w:t xml:space="preserve"> – the period beginning on an Offering Date and ending on the next following Exercise Date. For example, assuming the Administrator does not specify an Exercise Date other than January 31 and/or Offering Dates other than February 1 and August 1, each Plan Year would contain two Option Periods, the first one running from February 1 through January 31, and a second one running from August 1 through January 31.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 the purchase price of a share of Common Stock as provided in Section 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 any Employee who is eligible to participate in the Plan under Section 5, and elects for an Option Period to participate in this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 the M&amp;T Bank Corporation Employee Stock Purchase Plan, as set forth herein, as amended.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08" w:name="page209"/>
    <w:bookmarkEnd w:id="208"/>
    <w:p>
      <w:pPr>
        <w:ind w:right="18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Year</w:t>
      </w:r>
      <w:r>
        <w:rPr>
          <w:rFonts w:ascii="Arial" w:cs="Arial" w:eastAsia="Arial" w:hAnsi="Arial"/>
          <w:sz w:val="18"/>
          <w:szCs w:val="18"/>
          <w:color w:val="auto"/>
        </w:rPr>
        <w:t xml:space="preserve"> – February 1 – January 31. If the Administrator specifies an Exercise Date other than January 31, then the Plan Year will become the 12 month period ending on the new Exercise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w:t>
      </w:r>
      <w:r>
        <w:rPr>
          <w:rFonts w:ascii="Arial" w:cs="Arial" w:eastAsia="Arial" w:hAnsi="Arial"/>
          <w:sz w:val="18"/>
          <w:szCs w:val="18"/>
          <w:color w:val="auto"/>
        </w:rPr>
        <w:t xml:space="preserve"> – a share of Common Stock.</w:t>
      </w:r>
    </w:p>
    <w:p>
      <w:pPr>
        <w:spacing w:after="0" w:line="171"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purpose of this Plan is to provide Employees of the Corporation and its Designated Affiliates with an opportunity to purchase shares of Common Stock of the Corporation and thereby to encourage Employee participation in the ownership and economic success of the Corporation. It is the Corporation’s intention that this Plan qualify as an employee stock purchase plan under Code Section 423 and be construed in a manner consistent with the requirements thereof.</w:t>
      </w:r>
    </w:p>
    <w:p>
      <w:pPr>
        <w:spacing w:after="0" w:line="107" w:lineRule="exact"/>
        <w:rPr>
          <w:sz w:val="20"/>
          <w:szCs w:val="20"/>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 The Administrator will administer the Plan, and have discretionary authority and full power to:</w:t>
      </w:r>
    </w:p>
    <w:p>
      <w:pPr>
        <w:spacing w:after="0" w:line="171" w:lineRule="exact"/>
        <w:rPr>
          <w:sz w:val="20"/>
          <w:szCs w:val="20"/>
          <w:color w:val="auto"/>
        </w:rPr>
      </w:pPr>
    </w:p>
    <w:p>
      <w:pPr>
        <w:ind w:left="1740" w:hanging="248"/>
        <w:spacing w:after="0"/>
        <w:tabs>
          <w:tab w:leader="none" w:pos="17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Construe and interpret the Plan and any Enrollment Form or Notice;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Adopt rules not inconsistent with the Plan or Code Section 423 relating to the administration of the Plan, including but not limited to,</w:t>
      </w:r>
    </w:p>
    <w:p>
      <w:pPr>
        <w:spacing w:after="0" w:line="38" w:lineRule="exact"/>
        <w:rPr>
          <w:rFonts w:ascii="Arial" w:cs="Arial" w:eastAsia="Arial" w:hAnsi="Arial"/>
          <w:sz w:val="16"/>
          <w:szCs w:val="16"/>
          <w:color w:val="auto"/>
        </w:rPr>
      </w:pPr>
    </w:p>
    <w:p>
      <w:pPr>
        <w:ind w:right="20" w:firstLine="8"/>
        <w:spacing w:after="0" w:line="255" w:lineRule="auto"/>
        <w:tabs>
          <w:tab w:leader="none" w:pos="2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determining the time and manner in which to refund amounts credited to a Participant’s Account upon such Participant’s withdrawal from, or termination of eligibility to participate in, the Plan, (ii) specifying Offering Dates and Exercise Dates, (iii) specifying the duration of any Option Period (not to exceed one year), and (iv) specifying Option Prices; and</w:t>
      </w:r>
    </w:p>
    <w:p>
      <w:pPr>
        <w:spacing w:after="0" w:line="144" w:lineRule="exact"/>
        <w:rPr>
          <w:rFonts w:ascii="Arial" w:cs="Arial" w:eastAsia="Arial" w:hAnsi="Arial"/>
          <w:sz w:val="18"/>
          <w:szCs w:val="18"/>
          <w:color w:val="auto"/>
        </w:rPr>
      </w:pPr>
    </w:p>
    <w:p>
      <w:pPr>
        <w:ind w:left="1740" w:hanging="248"/>
        <w:spacing w:after="0"/>
        <w:tabs>
          <w:tab w:leader="none" w:pos="17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 The interpretations, determinations and decisions of the Administrator under the Plan will be final, binding and conclusive.</w:t>
      </w:r>
    </w:p>
    <w:p>
      <w:pPr>
        <w:spacing w:after="0" w:line="171"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3.3. Notwithstanding any other provision of the Plan, the Administrator has the discretionary authority to appoint any other person or entity to manage the Plan and to delegate to them such authority with respect to the Plan as the Administrator deems advisable.</w:t>
      </w:r>
    </w:p>
    <w:p>
      <w:pPr>
        <w:spacing w:after="0" w:line="85"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Effective Date; Term of Plan</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4.1. The Plan is effective as of February 1, 2013. For purposes of qualifying the Plan under Code Section 423, the Plan will be submitted to the Corporation’s stockholders for approval at the Corporation’s 2013 annual meeting of stockholders.</w:t>
      </w:r>
    </w:p>
    <w:p>
      <w:pPr>
        <w:spacing w:after="0" w:line="132"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4.2. The Plan will terminate as provided in Sections 16 and 23. Upon any termination of the Plan, any amount credited to a Participant’s Account will be refunded, in the manner prescribed by the Administrator, to each Participant or, in cases where a refund may not be possible, otherwise disposed of as determined by the Administrator.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09" w:name="page210"/>
    <w:bookmarkEnd w:id="209"/>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Employee is eligible to participate in the Plan as of the first Offering Date occurring at least 30 days after becoming an Employee. An eligible Employee may become a Participant as of such Offering Date or as of any subsequent Offering Date by executing and filing an Enrollment Form with the Administrator by the date prescribed by the Administrator. No Employee may participate in the Plan if immediately after an Offering Date, the Employee would be deemed for purposes of Code Section 423(b)(3) to possess 5% or more of the total combined voting power or value of all classes of stock of the Corporation or any Affiliate.</w:t>
      </w:r>
    </w:p>
    <w:p>
      <w:pPr>
        <w:spacing w:after="0" w:line="143" w:lineRule="exact"/>
        <w:rPr>
          <w:sz w:val="20"/>
          <w:szCs w:val="20"/>
          <w:color w:val="auto"/>
        </w:rPr>
      </w:pPr>
    </w:p>
    <w:p>
      <w:pPr>
        <w:ind w:left="640" w:hanging="17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6.1. Payment by a Participant for Shares to be purchased under the Plan will be made by after-tax payroll deductions from the Compensation paid to the Participant on each payday during an Option Period in increments of a whole percentage, from one percent to 10 percent, in accordance with the Enrollment Form executed by the Participant. A Participant who elects payroll deductions for an Option Period may not elect payroll deductions for a subsequent Option Period in the same Plan Year, even if the Participant discontinues payroll deductions and withdraws from the Plan in accordance with Section 6.4(c) before the subsequent Option Period begins.</w:t>
      </w:r>
    </w:p>
    <w:p>
      <w:pPr>
        <w:spacing w:after="0" w:line="143"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6.2. Payroll deductions will start on the first payday following the Offering Date for the Option Period and will end on the last payday before the Exercise Date of the Option Period.</w:t>
      </w:r>
    </w:p>
    <w:p>
      <w:pPr>
        <w:spacing w:after="0" w:line="132"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6.3. All amounts deducted from a Participant’s Compensation will be credited to the Participant’s Account. A Participant may not make any payments or contributions to his Account other than payroll deductions under this Section 6.</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 A Participant may change his payroll deductions during an Option Period as follows:</w:t>
      </w:r>
    </w:p>
    <w:p>
      <w:pPr>
        <w:spacing w:after="0" w:line="171" w:lineRule="exact"/>
        <w:rPr>
          <w:sz w:val="20"/>
          <w:szCs w:val="20"/>
          <w:color w:val="auto"/>
        </w:rPr>
      </w:pPr>
    </w:p>
    <w:p>
      <w:pPr>
        <w:ind w:left="1740" w:hanging="248"/>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Participant may not increase the percentage of his payroll deductions during an Option Period.</w:t>
      </w:r>
    </w:p>
    <w:p>
      <w:pPr>
        <w:spacing w:after="0" w:line="171" w:lineRule="exact"/>
        <w:rPr>
          <w:rFonts w:ascii="Arial" w:cs="Arial" w:eastAsia="Arial" w:hAnsi="Arial"/>
          <w:sz w:val="18"/>
          <w:szCs w:val="18"/>
          <w:color w:val="auto"/>
        </w:rPr>
      </w:pPr>
    </w:p>
    <w:p>
      <w:pPr>
        <w:ind w:right="460" w:firstLine="1492"/>
        <w:spacing w:after="0" w:line="268" w:lineRule="auto"/>
        <w:tabs>
          <w:tab w:leader="none" w:pos="17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Participant may decrease the percentage of his payroll deductions to any whole percentage greater than zero one time during any Option Period, by giving Notice to the Administrator by the date prescribed by the Administrator.</w:t>
      </w:r>
    </w:p>
    <w:p>
      <w:pPr>
        <w:spacing w:after="0" w:line="131" w:lineRule="exact"/>
        <w:rPr>
          <w:rFonts w:ascii="Arial" w:cs="Arial" w:eastAsia="Arial" w:hAnsi="Arial"/>
          <w:sz w:val="18"/>
          <w:szCs w:val="18"/>
          <w:color w:val="auto"/>
        </w:rPr>
      </w:pPr>
    </w:p>
    <w:p>
      <w:pPr>
        <w:ind w:right="260" w:firstLine="1492"/>
        <w:spacing w:after="0" w:line="306" w:lineRule="auto"/>
        <w:tabs>
          <w:tab w:leader="none" w:pos="1722"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Participant may discontinue payroll deductions at any time during an Option Period, effective for the first payday that is as soon as practical after the Administrator receives the Participant’s Notice to discontinue deductions. If a Participant discontinues payroll deductions during any Option Period of a Plan Year, he will withdraw from the Plan in accordance with Section 19 for the remainder of the Plan Year.</w:t>
      </w:r>
    </w:p>
    <w:p>
      <w:pPr>
        <w:spacing w:after="0" w:line="107"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6.5. If a Participant does not withdraw from the Plan during an Option Period, his Enrollment Form will remain in effect for the first Option Period of the next Plan Year. Alternatively, a Participant may increase or decrease the percentage of his payroll deductions for the first Option Period of the next Plan Year by executing and filing a new Enrollment Form with the Administrator by the date prescribed by the Administrator.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0" w:name="page211"/>
    <w:bookmarkEnd w:id="210"/>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Interest Credits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Participant’s Account will not be credited with interest.</w:t>
      </w:r>
    </w:p>
    <w:p>
      <w:pPr>
        <w:spacing w:after="0" w:line="171"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Grant of Option</w:t>
      </w:r>
    </w:p>
    <w:p>
      <w:pPr>
        <w:spacing w:after="0" w:line="17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On the Offering Date for each Option Period, each Participant will be granted an Option to purchase the number of whole Shares that can be purchased with the Participant’s Account balance as of the Exercise Date for the Option Period. The number of whole Shares purchased during an Option Period is determined by (a) dividing the Participant’s Account balance as of the Exercise Date by the Option Price per Share, and (b) rounding the result down to the nearest whole number.</w:t>
      </w:r>
    </w:p>
    <w:p>
      <w:pPr>
        <w:spacing w:after="0" w:line="143" w:lineRule="exact"/>
        <w:rPr>
          <w:sz w:val="20"/>
          <w:szCs w:val="20"/>
          <w:color w:val="auto"/>
        </w:rPr>
      </w:pPr>
    </w:p>
    <w:p>
      <w:pPr>
        <w:ind w:left="640" w:hanging="176"/>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Option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Option Price per Share purchased by a Participant by the exercise of an Option is 90 percent of the Fair Market Value of a Share on the Exercise Date.</w:t>
      </w:r>
    </w:p>
    <w:p>
      <w:pPr>
        <w:spacing w:after="0" w:line="125" w:lineRule="exact"/>
        <w:rPr>
          <w:sz w:val="20"/>
          <w:szCs w:val="20"/>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the Exercise Date for each Option Period, the Option granted to each Participant under Section 8 for the Option Period will be exercised automatically, and the number of whole Shares subject to the Option will be purchased by charging the Participant’s Account with the product of (a) the Option Price of such Option, and (b) the number of Shares covered by the Option as determined in accordance with Section 8. If any balance remains in the Participant’s Account after the purchase of Shares for an Option Period, the remaining balance will be refunded to the Participant, in the manner prescribed by the Administrator, as soon as practicable after the Exercise Date.</w:t>
      </w:r>
    </w:p>
    <w:p>
      <w:pPr>
        <w:spacing w:after="0" w:line="143" w:lineRule="exact"/>
        <w:rPr>
          <w:sz w:val="20"/>
          <w:szCs w:val="20"/>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Limitations on Purchase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Subject to adjustment under Section 15, no Participant may purchase more than 5,000 Shares for any Option Period. No Participant may be granted an Option that gives the Participant the right to purchase Shares that exceed the limitations imposed by Code Section 423(b)(8) (relating to an annual $25,000 per Participant limitation on purchases of Shares under the Plan).</w:t>
      </w:r>
    </w:p>
    <w:p>
      <w:pPr>
        <w:spacing w:after="0" w:line="140" w:lineRule="exact"/>
        <w:rPr>
          <w:sz w:val="20"/>
          <w:szCs w:val="20"/>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a Participant’s lifetime, an Option granted to a Participant may be exercised only by the Participant. Neither amounts credited to a Participant’s Account nor any rights of a Participant regarding an Option may be assigned, alienated, encumbered, transferred, pledged or otherwise disposed of in any way by the Participant other than by will or the laws of descent and distribution. Any attempt by a Participant to make any such prohibited assignment, alienation, encumberment, transfer, pledge or disposition will be null and void and without effect, provided that the Administrator may treat any such attempt as a withdrawal Notice in accordance with Section 19.</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11" w:name="page212"/>
    <w:bookmarkEnd w:id="211"/>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promptly as practicable after each Option Period, the Corporation will arrange for the Shares purchased by each Participant for such Option Period to be delivered to the custodian of the Participant’s Brokerage Account.</w:t>
      </w:r>
    </w:p>
    <w:p>
      <w:pPr>
        <w:spacing w:after="0" w:line="132" w:lineRule="exact"/>
        <w:rPr>
          <w:sz w:val="20"/>
          <w:szCs w:val="20"/>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Common Stock Subject to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14.1. Subject to adjustment under Section 15, there is hereby reserved for issuance upon exercise of Options granted under the Plan an aggregate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2,500,000 Shares.</w:t>
      </w:r>
    </w:p>
    <w:p>
      <w:pPr>
        <w:spacing w:after="0" w:line="165"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14.2. If an Option terminates or is cancelled for any reason without being exercised under Section 10, the unissued Shares which had been subject to such Option will continue to be reserved for issuance and will be available for the grant of additional Options and for issuance and sale under the Plan.</w:t>
      </w:r>
    </w:p>
    <w:p>
      <w:pPr>
        <w:spacing w:after="0" w:line="85" w:lineRule="exact"/>
        <w:rPr>
          <w:sz w:val="20"/>
          <w:szCs w:val="20"/>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of any change or adjustment in the outstanding Shares by reason of any stock dividend, stock split (or reverse stock split), recapitalization, reclassification, reorganization, reincorporation, combination or exchange of shares, merger, consolidation, liquidation or other similar change in corporate structure or otherwise, the Administrator, in its discretion, may make or provide for a substitution for, or adjustment in, (a) the number and class of stock or other securities that may be reserved for purchase or purchased under the Plan, (b) the number of Shares covered by each Option that has not yet been exercised, (c) the maximum number of Shares that may be purchased by a Participant for any Option Period, (d) the Option Price, and (e) the aggregate number and class of Shares that may be issued and purchased under the Plan.</w:t>
      </w:r>
    </w:p>
    <w:p>
      <w:pPr>
        <w:spacing w:after="0" w:line="120" w:lineRule="exact"/>
        <w:rPr>
          <w:sz w:val="20"/>
          <w:szCs w:val="20"/>
          <w:color w:val="auto"/>
        </w:rPr>
      </w:pPr>
    </w:p>
    <w:p>
      <w:pPr>
        <w:ind w:left="720" w:hanging="25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the aggregate funds available for the purchase of Shares on any Exercise Date would cause an issuance of Shares in excess of the number of Shares then available for issuance and sale under the Plan, then (a) the Administrator will proportionately reduce the number of Shares that would otherwise be purchased by each Participant on such Exercise Date in order to eliminate such excess, and (b) the Plan will automatically terminate immediately after such Exercise Date. In that event, the Corporation will give notice of such reduction to each Participant affected thereby.</w:t>
      </w:r>
    </w:p>
    <w:p>
      <w:pPr>
        <w:spacing w:after="0" w:line="113" w:lineRule="exact"/>
        <w:rPr>
          <w:sz w:val="20"/>
          <w:szCs w:val="20"/>
          <w:color w:val="auto"/>
        </w:rPr>
      </w:pPr>
    </w:p>
    <w:p>
      <w:pPr>
        <w:ind w:left="720" w:hanging="25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Confirmation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purchase of Shares under the Plan by a Participant will be confirmed by the Corporation in writing to the Participant.</w:t>
      </w:r>
    </w:p>
    <w:p>
      <w:pPr>
        <w:spacing w:after="0" w:line="171" w:lineRule="exact"/>
        <w:rPr>
          <w:sz w:val="20"/>
          <w:szCs w:val="20"/>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Rights as Stockholders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Shares purchased by a Participant on any Exercise Date will, for all purposes, be deemed to have been issued, sold and transferred to the Participant as of the close of business on such Exercise Date. Prior to that time, none of the rights or privileges of a stockholder of the Corporation will exist with respect to such Shares, and the Participant will have no interest, or voting or dividend rights, in such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2" w:name="page213"/>
    <w:bookmarkEnd w:id="212"/>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Withdrawal from the Plan</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Participant may withdraw from participation in the Plan during an Option Period by discontinuing payroll deductions in accordance with Section 6.4(c). Upon withdrawal, (a) the entire amount of a Participant’s Account balance will be refunded to the Participant at the time and in the manner prescribed by the Administrator, but not later than the Exercise Date following the Participant’s withdrawal (or as soon as practicable thereafter), (b) the Participant’s Option for the Option Period during which the Participant filed a withdrawal Notice will automatically terminate, (c) the Participant will not purchase any Shares under Section 10 on the Exercise Date for such Option Period, (d) no further payroll deductions for the purchase of Shares will be made from the Participant’s Compensation during such Option Period, and (e) the withdrawing Participant will cease to be a Participant for any subsequent Option Period in the same Plan Year. Any Participant who withdraws from the Plan under Section 6.4(c) and this Section 19 may again become a Participant for an Option Period in a subsequent Plan Year in accordance with Section 5.</w:t>
      </w:r>
    </w:p>
    <w:p>
      <w:pPr>
        <w:spacing w:after="0" w:line="118" w:lineRule="exact"/>
        <w:rPr>
          <w:sz w:val="20"/>
          <w:szCs w:val="20"/>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Sale or Withdrawal of Shares from Account</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20.1. During the first two years from the Offering Date for an Option Period, a Participant may not withdraw Shares acquired on the Exercise Date for that Option Period from his Brokerage Account or transfer such Shares from his Brokerage Account to an account of the Participant maintained with a broker-dealer, financial institution or other person or entity, but he may sell or otherwise transfer title to such Shares at any time. Such sales and title transfers may be effected only by the custodian of the Participant’s Brokerage Account on the Participant’s behalf. Sales and other title transfers will be subject to any fees imposed under Section 32.</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20.2. Following the completion of two years from the Offering Date for an Option Period, a Participant may withdraw Shares acquired on the Exercise Date for that Option Period from his Brokerage Account in certificated form or transfer such Shares from his Brokerage Account to an account of the Participant maintained with a broker-dealer, financial institution or other person or entity as may be permitted by the custodian of the Brokerage Account. If a Participant elects to withdraw Shares, one or more certificates for whole Shares will be issued in the name of, and delivered to, the Participant, plus cash in lieu of fractional Shares based on the Fair Market Value of a Share on the date of withdrawal. If Shares are transferred from a Participant’s Brokerage Account to a broker-dealer, financial institution or other permitted recipient, only whole Shares will be transferred and cash in lieu of any fractional Share will be paid to the Participant based on the Fair Market Value of a Share on the date of transfer. A Participant seeking to withdraw or transfer Shares from his Brokerage Account must provide instructions to the custodian thereof in such manner as prescribed by the custodian. Withdrawals and transfers are subject to any fees imposed in accordance with Section 32.</w:t>
      </w:r>
    </w:p>
    <w:p>
      <w:pPr>
        <w:spacing w:after="0" w:line="120" w:lineRule="exact"/>
        <w:rPr>
          <w:sz w:val="20"/>
          <w:szCs w:val="20"/>
          <w:color w:val="auto"/>
        </w:rPr>
      </w:pPr>
    </w:p>
    <w:p>
      <w:pPr>
        <w:ind w:right="20" w:firstLine="913"/>
        <w:spacing w:after="0" w:line="303" w:lineRule="auto"/>
        <w:rPr>
          <w:sz w:val="20"/>
          <w:szCs w:val="20"/>
          <w:color w:val="auto"/>
        </w:rPr>
      </w:pPr>
      <w:r>
        <w:rPr>
          <w:rFonts w:ascii="Arial" w:cs="Arial" w:eastAsia="Arial" w:hAnsi="Arial"/>
          <w:sz w:val="15"/>
          <w:szCs w:val="15"/>
          <w:color w:val="auto"/>
        </w:rPr>
        <w:t>20.3. Upon termination of employment of a Participant for any reason, (a) the Administrator will cause the Participant’s Brokerage Account to continue to be maintained until the earlier of such time as the Participant sells or otherwise transfers title to all Shares in his Brokerage Account or two years after the Offering Date immediately preceding or coincident with the date on which the Participant ceases to be employed by the Corporation and its Affiliates, and</w:t>
      </w:r>
    </w:p>
    <w:p>
      <w:pPr>
        <w:spacing w:after="0" w:line="1" w:lineRule="exact"/>
        <w:rPr>
          <w:sz w:val="20"/>
          <w:szCs w:val="20"/>
          <w:color w:val="auto"/>
        </w:rPr>
      </w:pPr>
    </w:p>
    <w:p>
      <w:pPr>
        <w:ind w:right="160" w:firstLine="8"/>
        <w:spacing w:after="0" w:line="261" w:lineRule="auto"/>
        <w:tabs>
          <w:tab w:leader="none" w:pos="2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upon the expiration of such two-year period, the Participant may elect to continue to maintain the Brokerage Account, at the Participant’s expense, or to sell, withdraw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transfer the Shares credited thereto, as permitted by the custodian of the Brokerage Account.</w:t>
      </w:r>
    </w:p>
    <w:p>
      <w:pPr>
        <w:spacing w:after="0" w:line="171" w:lineRule="exact"/>
        <w:rPr>
          <w:sz w:val="20"/>
          <w:szCs w:val="20"/>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Eligibility</w:t>
      </w:r>
    </w:p>
    <w:p>
      <w:pPr>
        <w:spacing w:after="0" w:line="171"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21.1. Except as otherwise provided in this Section 21, if a Participant ceases to be an Employee during an Option Period, then (a) the entire amount of his Account balance will be refunded to the Participant at the time and in the manner prescribed by the Administrator, but not later than the Exercise Date following the date the Participant ceases to be an Employee (or as soon as practicable thereafter), (b) the Participant’s Option for the Option Period during which he ceases to be an Employee will automatically terminate as of the date he ceases to be an Employee, (c) the Participant will not purchase any Shares under Section 10 on the Exercise Date for such Option Period, and (d) no further payroll deductions for the purchase of Shares may be made by the Participant after he ceases to be an Employee.</w:t>
      </w:r>
    </w:p>
    <w:p>
      <w:pPr>
        <w:spacing w:after="0" w:line="144"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21.2. If a Participant ceases to be an Employee during an Option Period by reason of death, the Participant’s beneficiary may elect either (a) to be treated as a terminated Employee under Section 21.1 and to have the entire amount of the Participant’s Account balance refunded to him, or (b) to have the entire amount of the Participant’s Account balance applied toward the purchase of Shares on the Exercise Date for the Option Period in which the Participant dies. In either event, no further payroll deductions for the purchase of Shares under Section 10 may be made on behalf of the Participant after he dies.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21.3. If a Participant ceases to be an Employee during the three-month period ending on the Exercise Date for an Option Period by reason of</w:t>
      </w:r>
    </w:p>
    <w:p>
      <w:pPr>
        <w:spacing w:after="0" w:line="38" w:lineRule="exact"/>
        <w:rPr>
          <w:sz w:val="20"/>
          <w:szCs w:val="20"/>
          <w:color w:val="auto"/>
        </w:rPr>
      </w:pPr>
    </w:p>
    <w:p>
      <w:pPr>
        <w:ind w:firstLine="8"/>
        <w:spacing w:after="0" w:line="252" w:lineRule="auto"/>
        <w:tabs>
          <w:tab w:leader="none" w:pos="2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termination of employment after attaining age 55 and with at least 10 years of service that is taken into account for vesting purposes under the M&amp;T Bank Corporation Retirement Savings Plan, or (ii) disability under any disability plan maintained by the Corporation or a Designated Affiliate, the Participant may elect either (a) to be treated as a terminated Employee under Section 21.1 and to have the entire amount of his Account balance refunded to him, or (b) to have the entire amount of his Account balance applied toward the purchase of Shares on the Exercise Date for the Option Period during which the Participant ceases to be an Employee. In either event, no further payroll deductions for the purchase of Shares under Section 10 may be made by the Participant after he ceases to be an Employee.</w:t>
      </w:r>
    </w:p>
    <w:p>
      <w:pPr>
        <w:spacing w:after="0" w:line="14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21.4. If a Participant becomes excluded from the definition of Employee during an Option Period, either because the Participant was promoted to the Administrative Vice President level or higher, or because the Participant became a “highly compensated employee”, the Participant may elect either (a) to be treated as a terminated Employee under Section 21.1 and to have the entire amount of his Account balance refunded to him, or (b) to have the entire amount of his Account balance applied toward the purchase of Shares on the Exercise Date for the Option Period in which the Participant is promoted or becomes a highly compensated employee. If a Participant elects the option in clause (b), payroll deductions for the purchase of Shares under Section 10 will continue for the remainder of the Option Period in which he is promoted or becomes a highly compensated employee, and will cease upon the expiration of the Period.</w:t>
      </w:r>
    </w:p>
    <w:p>
      <w:pPr>
        <w:spacing w:after="0" w:line="120" w:lineRule="exact"/>
        <w:rPr>
          <w:sz w:val="20"/>
          <w:szCs w:val="20"/>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Notice that a Participant provides under the Plan must be made in such form and manner as prescribed by the Administrator, and any Notice or other communications by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to the Administrator under or in connection with the Plan will not be effective until received by the Administrator.</w:t>
      </w:r>
    </w:p>
    <w:p>
      <w:pPr>
        <w:spacing w:after="0" w:line="171" w:lineRule="exact"/>
        <w:rPr>
          <w:sz w:val="20"/>
          <w:szCs w:val="20"/>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Termination or Amendment of Plan</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23.1. The Board may amend or terminate this Plan in any respect at any time, except that after this Plan has been approved by the stockholders of the Corporation, no amendment or termination of the Plan may be made without approval of (a) the Corporation’s stockholders to the extent stockholder approval is required by applicable law or regulations or the requirements of the principal securities exchange or interdealer quotation system upon which the Common Stock then is listed or quoted, if any, and (b) each affected Participant if such amendment or termination would adversely affect his rights or obligations under any Option granted prior to the date of amendment or termination. No Options may be granted, no Shares may be issued and no payroll deductions may be made under the Plan after termination of the Plan. If the Plan terminates during an Option Period, the entire amount, if any, in the Participant’s Account will be refunded as soon as practicable and in the manner prescribed by the Administrator, to the Participant or, in the event of the Participant’s death, to the beneficiary designated by the Participant under Section 28.</w:t>
      </w:r>
    </w:p>
    <w:p>
      <w:pPr>
        <w:spacing w:after="0" w:line="11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23.2. Notwithstanding Section 23.1, without stockholder or Participant approval the Administrator may (a) change the duration and/or frequency of Option Periods for future offerings and (b) change the Option Price for future offerings. Any change in Option Period or Option Price will be communicated to Participants prior to the scheduled beginning of the first affected Option Period.</w:t>
      </w:r>
    </w:p>
    <w:p>
      <w:pPr>
        <w:spacing w:after="0" w:line="140" w:lineRule="exact"/>
        <w:rPr>
          <w:sz w:val="20"/>
          <w:szCs w:val="20"/>
          <w:color w:val="auto"/>
        </w:rPr>
      </w:pPr>
    </w:p>
    <w:p>
      <w:pPr>
        <w:ind w:left="720" w:hanging="256"/>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Use of Funds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funds received by the Corporation in connection with this Plan may be used by the Corporation for any corporate purpose, and the Corporation is under no obligation to segregate such funds.</w:t>
      </w:r>
    </w:p>
    <w:p>
      <w:pPr>
        <w:spacing w:after="0" w:line="132" w:lineRule="exact"/>
        <w:rPr>
          <w:sz w:val="20"/>
          <w:szCs w:val="20"/>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Legal Restrictions</w:t>
      </w:r>
    </w:p>
    <w:p>
      <w:pPr>
        <w:spacing w:after="0" w:line="171"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25.1. The Corporation is not obligated to issue or sell Shares under the Plan (a) unless the approval of all regulatory bodies deemed necessary by the Administrator has been obtained and unless the issuance, sale and delivery of Shares under the Plan complies, to the Administrator’s complete satisfaction, with all provisions of federal, state or local law deemed applicable by the Administrator and all rules and regulations thereunder, and the requirements of any securities exchange upon which the Common Stock may then be listed or interdealer quotation system upon which the Common Stock is then quoted, or (b) if the Corporation determines that the issuance, sale or delivery of Shares under the Plan would violate any applicable law or regulation.</w:t>
      </w:r>
    </w:p>
    <w:p>
      <w:pPr>
        <w:spacing w:after="0" w:line="11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25.2. The Administrator may require any person acquiring Shares under the Plan to represent to, and agree with, the Corporation in writing that such person is acquiring the Shares without a view to distribution thereof. The certificates for such Shares may include any legend that the Administrator deems appropriate to reflect any restrictions on transfer. All certificates for Shares issued under this Plan will be subject to such stock transfer orders and other restrictions as the Administrator may deem advisable under the rules, regulations and other requirements of the Securities and Exchange Commission, any stock exchange upon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5" w:name="page216"/>
    <w:bookmarkEnd w:id="215"/>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the Common Stock is then listed or interdealer quotation system upon which the Common Stock is then quoted, and any applicable federal or state securities laws. The Administrator may place or cause to be placed a legend or legends on any such certificates to make appropriate reference to such restrictions.</w:t>
      </w:r>
    </w:p>
    <w:p>
      <w:pPr>
        <w:spacing w:after="0" w:line="62" w:lineRule="exact"/>
        <w:rPr>
          <w:sz w:val="20"/>
          <w:szCs w:val="20"/>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Plan and all rights and obligations thereunder will be governed, construed, administered and enforced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65" w:lineRule="exact"/>
        <w:rPr>
          <w:sz w:val="20"/>
          <w:szCs w:val="20"/>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Notice of Disposition of Shares</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Each Participant must agree in the form prescribed by the Administrator to promptly provide Notice to the Administrator of any disposition of Shares purchased under the Plan that occurs within two years after the Offering Date of the Option under which the Shares were purchased.</w:t>
      </w:r>
    </w:p>
    <w:p>
      <w:pPr>
        <w:spacing w:after="0" w:line="85" w:lineRule="exact"/>
        <w:rPr>
          <w:sz w:val="20"/>
          <w:szCs w:val="20"/>
          <w:color w:val="auto"/>
        </w:rPr>
      </w:pPr>
    </w:p>
    <w:p>
      <w:pPr>
        <w:ind w:left="720" w:hanging="256"/>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Participant’s Beneficiary will be the beneficiary under the M&amp;T Bank Corporation Life Insurance Plan unless the Participant designates otherwise. To designate a different beneficiary, a Participant may file with the Administrator a written designation of beneficiary, which designation will be effective when filed with the Administrator. Such designation of beneficiary may be changed by the Participant in writing at any time.</w:t>
      </w:r>
    </w:p>
    <w:p>
      <w:pPr>
        <w:spacing w:after="0" w:line="107" w:lineRule="exact"/>
        <w:rPr>
          <w:sz w:val="20"/>
          <w:szCs w:val="20"/>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Indemnification of Administrator</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to such other rights of indemnification as they may have as members of the Board or as the Administrator, each person serving as the Administrator (either alone or with one or more other persons) will be indemnified by the Corporation against the reasonable expenses, including attorneys’ fees, actually and reasonably incurred in connection with the defense of any action, suit or proceeding, or in connection with any appeal therein, to which such person may be a party by reason of any action taken or failure to act under or in connection with the Plan or any Option and against all amounts reasonably paid by such person in settlement thereof or paid by such person in satisfaction of a judgment in any such action, suit or proceeding, if such person acted in good faith and in a manner which such person believed to be in, and not opposed to, the best interests of the Corporation.</w:t>
      </w:r>
    </w:p>
    <w:p>
      <w:pPr>
        <w:spacing w:after="0" w:line="120" w:lineRule="exact"/>
        <w:rPr>
          <w:sz w:val="20"/>
          <w:szCs w:val="20"/>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Reports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Individual Accounts will be maintained for all Participants. A statement of Account will be provided to each Participant as soon as possible following the end of each Option Period, which sets forth the amounts credited to the Participant’s Account during the Option Period, the Option Price for Shares purchased for the Option Period, the number of Shares purchased for the Option Period, and the Participant’s remaining Account balance after the purchase of Shares, if any, to be refunded after the Option Period.</w:t>
      </w:r>
    </w:p>
    <w:p>
      <w:pPr>
        <w:spacing w:after="0" w:line="143" w:lineRule="exact"/>
        <w:rPr>
          <w:sz w:val="20"/>
          <w:szCs w:val="20"/>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or any Designated Affiliate may withhold from any payment made 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16" w:name="page217"/>
    <w:bookmarkEnd w:id="216"/>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Participant, including any payroll or other payments not related to the Plan, amounts of withholding and other taxes due in connection with any transaction under the Plan, including any disposition of Shares acquired under the Plan. A Participant’s enrollment in the Plan by executing an Enrollment Form constitutes his consent to such withholding. At the time of a Participant’s exercise of an Option or the disposition of Shares acquired under the Plan, the Corporation may require the Participant to make other arrangements to satisfy tax withholding obligations as a condition to exercise of rights or the distribution of Shares or other amounts credited to the Participant’s Account. If so required by the Administrator, a Participant must provide Notice to the Corporation of sales and other dispositions of Shares acquired under the Plan in order to permit the Corporation to comply with tax laws and to claim any tax deductions to which the Corporation may be entitled with respect to the Plan.</w:t>
      </w:r>
    </w:p>
    <w:p>
      <w:pPr>
        <w:spacing w:after="0" w:line="118" w:lineRule="exact"/>
        <w:rPr>
          <w:sz w:val="20"/>
          <w:szCs w:val="20"/>
          <w:color w:val="auto"/>
        </w:rPr>
      </w:pPr>
    </w:p>
    <w:p>
      <w:pPr>
        <w:ind w:left="720" w:hanging="256"/>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Cost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Costs and expenses incurred in the administration of the Plan and maintenance of Accounts will be paid by the Corporation, including annual fees for maintenance of Brokerage Accounts under Sections 20.1, 20.2 and 20.3(a) (but not under Section 20.3(b)), provided that brokerage fees and commissions for the purchase of Shares upon any reinvestment of dividends and in connection with distributions will be charged to Participants’ Brokerage Accounts to the extent not paid by the Corporation. The custodian of Participants’ Brokerage Accounts may impose or charge to Participants’ Brokerage Accounts a reasonable fee for the withdrawal of Shares in the form of stock certificates, and reasonable fees for other services unrelated to the purchase of Shares under the Plan, to the extent communicated to Participants by the custodian of Participants’ Brokerage Accounts in connection with the establishment thereof. In no event will the Corporation pay any brokerage fees and commissions for the sale of Shares acquired under the Plan by a Participant.</w:t>
      </w:r>
    </w:p>
    <w:p>
      <w:pPr>
        <w:spacing w:after="0" w:line="118" w:lineRule="exact"/>
        <w:rPr>
          <w:sz w:val="20"/>
          <w:szCs w:val="20"/>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Number and Gender</w:t>
      </w:r>
    </w:p>
    <w:p>
      <w:pPr>
        <w:spacing w:after="0" w:line="171"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Where necessary or appropriate to the meaning thereof, the singular includes the plural, the plural includes the singular, the masculine includes the feminine and neuter, the feminine includes the masculine and neuter, and the neuter includes the masculine and feminine.</w:t>
      </w:r>
    </w:p>
    <w:p>
      <w:pPr>
        <w:spacing w:after="0" w:line="85" w:lineRule="exact"/>
        <w:rPr>
          <w:sz w:val="20"/>
          <w:szCs w:val="20"/>
          <w:color w:val="auto"/>
        </w:rPr>
      </w:pPr>
    </w:p>
    <w:p>
      <w:pPr>
        <w:ind w:left="720" w:hanging="256"/>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34.1. The establishment of the Plan does not confer upon any Employee any legal or equitable right against the Corporation, any Affiliate or the Administrator, except as expressly provided in the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34.2. Participation in the Plan does not give an Employee any right to be retained in the service of the Corporation or any Affiliate.</w:t>
      </w:r>
    </w:p>
    <w:p>
      <w:pPr>
        <w:spacing w:after="0" w:line="171"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34.3. Neither the adoption of the Plan nor its submission to, or approval by, the stockholders of the Corporation will impose any limitations on the powers of the Corporation or its Affiliates to issue, grant, or assume options otherwise than under this Plan, or to adopt other stock option plans, stock purchase plans, or other plans, or to impose any requirement of stockholder approval upon the same.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Computations of Consolidated Ratios of Earnings to Fixed Charges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auto"/>
            </w:tcBorders>
            <w:gridSpan w:val="2"/>
          </w:tcPr>
          <w:p>
            <w:pPr>
              <w:jc w:val="center"/>
              <w:ind w:left="134"/>
              <w:spacing w:after="0"/>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left="576"/>
              <w:spacing w:after="0"/>
              <w:rPr>
                <w:sz w:val="20"/>
                <w:szCs w:val="20"/>
                <w:color w:val="auto"/>
              </w:rPr>
            </w:pPr>
            <w:r>
              <w:rPr>
                <w:rFonts w:ascii="Arial" w:cs="Arial" w:eastAsia="Arial" w:hAnsi="Arial"/>
                <w:sz w:val="14"/>
                <w:szCs w:val="14"/>
                <w:b w:val="1"/>
                <w:bCs w:val="1"/>
                <w:color w:val="auto"/>
                <w:w w:val="85"/>
              </w:rPr>
              <w:t>(Dollars in thousands)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Excluding interest on deposits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(excluding interest on deposits)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226,583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274,584</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347,166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Interest factor within rent expense (a)</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36,696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31,565</w:t>
            </w: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29,670</w:t>
            </w:r>
          </w:p>
        </w:tc>
        <w:tc>
          <w:tcPr>
            <w:tcW w:w="760" w:type="dxa"/>
            <w:vAlign w:val="bottom"/>
          </w:tcPr>
          <w:p>
            <w:pPr>
              <w:jc w:val="right"/>
              <w:spacing w:after="0"/>
              <w:rPr>
                <w:sz w:val="20"/>
                <w:szCs w:val="20"/>
                <w:color w:val="auto"/>
              </w:rPr>
            </w:pPr>
            <w:r>
              <w:rPr>
                <w:rFonts w:ascii="Arial" w:cs="Arial" w:eastAsia="Arial" w:hAnsi="Arial"/>
                <w:sz w:val="18"/>
                <w:szCs w:val="18"/>
                <w:color w:val="auto"/>
              </w:rPr>
              <w:t>24,618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263,279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306,149</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376,836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$1,552,526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1,224,600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1,092,789</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519,291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263,279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279,237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306,149</w:t>
            </w: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376,836</w:t>
            </w:r>
          </w:p>
        </w:tc>
        <w:tc>
          <w:tcPr>
            <w:tcW w:w="760" w:type="dxa"/>
            <w:vAlign w:val="bottom"/>
          </w:tcPr>
          <w:p>
            <w:pPr>
              <w:jc w:val="right"/>
              <w:spacing w:after="0"/>
              <w:rPr>
                <w:sz w:val="20"/>
                <w:szCs w:val="20"/>
                <w:color w:val="auto"/>
              </w:rPr>
            </w:pPr>
            <w:r>
              <w:rPr>
                <w:rFonts w:ascii="Arial" w:cs="Arial" w:eastAsia="Arial" w:hAnsi="Arial"/>
                <w:sz w:val="18"/>
                <w:szCs w:val="18"/>
                <w:color w:val="auto"/>
              </w:rPr>
              <w:t>696,564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earnings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1,815,805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1,503,837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1,398,938</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896,127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1,436,343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00" w:type="dxa"/>
            <w:vAlign w:val="bottom"/>
            <w:gridSpan w:val="2"/>
          </w:tcPr>
          <w:p>
            <w:pPr>
              <w:spacing w:after="0"/>
              <w:rPr>
                <w:sz w:val="20"/>
                <w:szCs w:val="20"/>
                <w:color w:val="auto"/>
              </w:rPr>
            </w:pPr>
            <w:r>
              <w:rPr>
                <w:rFonts w:ascii="Arial" w:cs="Arial" w:eastAsia="Arial" w:hAnsi="Arial"/>
                <w:sz w:val="18"/>
                <w:szCs w:val="18"/>
                <w:color w:val="auto"/>
              </w:rPr>
              <w:t>Ratio of earnings to fixed charges, excluding interest on deposits</w:t>
            </w:r>
          </w:p>
        </w:tc>
        <w:tc>
          <w:tcPr>
            <w:tcW w:w="160" w:type="dxa"/>
            <w:vAlign w:val="bottom"/>
          </w:tcPr>
          <w:p>
            <w:pPr>
              <w:spacing w:after="0"/>
              <w:rPr>
                <w:sz w:val="20"/>
                <w:szCs w:val="20"/>
                <w:color w:val="auto"/>
              </w:rPr>
            </w:pPr>
            <w:r>
              <w:rPr>
                <w:rFonts w:ascii="Arial" w:cs="Arial" w:eastAsia="Arial" w:hAnsi="Arial"/>
                <w:sz w:val="18"/>
                <w:szCs w:val="18"/>
                <w:color w:val="auto"/>
              </w:rPr>
              <w:t>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Including interest on deposits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343,169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462,269</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669,449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1,337,795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Interest factor within rent expense (a)</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36,696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31,565</w:t>
            </w: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29,670</w:t>
            </w:r>
          </w:p>
        </w:tc>
        <w:tc>
          <w:tcPr>
            <w:tcW w:w="760" w:type="dxa"/>
            <w:vAlign w:val="bottom"/>
          </w:tcPr>
          <w:p>
            <w:pPr>
              <w:jc w:val="right"/>
              <w:spacing w:after="0"/>
              <w:rPr>
                <w:sz w:val="20"/>
                <w:szCs w:val="20"/>
                <w:color w:val="auto"/>
              </w:rPr>
            </w:pPr>
            <w:r>
              <w:rPr>
                <w:rFonts w:ascii="Arial" w:cs="Arial" w:eastAsia="Arial" w:hAnsi="Arial"/>
                <w:sz w:val="18"/>
                <w:szCs w:val="18"/>
                <w:color w:val="auto"/>
              </w:rPr>
              <w:t>24,618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379,865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493,834</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699,119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1,362,413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$1,552,526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1,224,600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1,092,789</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519,291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379,865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436,672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493,834</w:t>
            </w: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699,119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1,362,413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earnings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1,932,391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1,661,272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1,586,623</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1,218,410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2,102,192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00" w:type="dxa"/>
            <w:vAlign w:val="bottom"/>
            <w:gridSpan w:val="2"/>
          </w:tcPr>
          <w:p>
            <w:pPr>
              <w:spacing w:after="0"/>
              <w:rPr>
                <w:sz w:val="20"/>
                <w:szCs w:val="20"/>
                <w:color w:val="auto"/>
              </w:rPr>
            </w:pPr>
            <w:r>
              <w:rPr>
                <w:rFonts w:ascii="Arial" w:cs="Arial" w:eastAsia="Arial" w:hAnsi="Arial"/>
                <w:sz w:val="18"/>
                <w:szCs w:val="18"/>
                <w:color w:val="auto"/>
              </w:rPr>
              <w:t>Ratio of earnings to fixed charges, including interest on deposits</w:t>
            </w:r>
          </w:p>
        </w:tc>
        <w:tc>
          <w:tcPr>
            <w:tcW w:w="160" w:type="dxa"/>
            <w:vAlign w:val="bottom"/>
          </w:tcPr>
          <w:p>
            <w:pPr>
              <w:spacing w:after="0"/>
              <w:rPr>
                <w:sz w:val="20"/>
                <w:szCs w:val="20"/>
                <w:color w:val="auto"/>
              </w:rPr>
            </w:pPr>
            <w:r>
              <w:rPr>
                <w:rFonts w:ascii="Arial" w:cs="Arial" w:eastAsia="Arial" w:hAnsi="Arial"/>
                <w:sz w:val="18"/>
                <w:szCs w:val="18"/>
                <w:color w:val="auto"/>
              </w:rPr>
              <w:t>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portion of rents shown as representative of the interest factor is one-third of total net operating lease expenses.</w:t>
      </w:r>
    </w:p>
    <w:p>
      <w:pPr>
        <w:sectPr>
          <w:pgSz w:w="11900" w:h="16838" w:orient="portrait"/>
          <w:cols w:equalWidth="0" w:num="1">
            <w:col w:w="11420"/>
          </w:cols>
          <w:pgMar w:left="240" w:top="12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333-57330, 333-63660, 33-12207, 33-58500, 33-63917, 333-43171, 333-43175, 333-63985, 333-97031, 33-32044, 333-16077, 333-84384, 333-127406, 333-150122, 333-164015, 333-163992, 333-160769, 333-159795, 333-170740 and 333-174312) of M&amp;T Bank Corporation of our report dated February 22, 2013, relating to the financial statements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ectPr>
          <w:pgSz w:w="11900" w:h="16838" w:orient="portrait"/>
          <w:cols w:equalWidth="0" w:num="1">
            <w:col w:w="11420"/>
          </w:cols>
          <w:pgMar w:left="240" w:top="125"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62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G. W</w:t>
      </w:r>
      <w:r>
        <w:rPr>
          <w:rFonts w:ascii="Arial" w:cs="Arial" w:eastAsia="Arial" w:hAnsi="Arial"/>
          <w:sz w:val="13"/>
          <w:szCs w:val="13"/>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ectPr>
          <w:pgSz w:w="11900" w:h="16838" w:orient="portrait"/>
          <w:cols w:equalWidth="0" w:num="1">
            <w:col w:w="11420"/>
          </w:cols>
          <w:pgMar w:left="240" w:top="125"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62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w:t>
      </w:r>
      <w:r>
        <w:rPr>
          <w:rFonts w:ascii="Arial" w:cs="Arial" w:eastAsia="Arial" w:hAnsi="Arial"/>
          <w:sz w:val="12"/>
          <w:szCs w:val="12"/>
          <w:color w:val="auto"/>
        </w:rPr>
        <w:t>ENÉ</w:t>
      </w:r>
      <w:r>
        <w:rPr>
          <w:rFonts w:ascii="Arial" w:cs="Arial" w:eastAsia="Arial" w:hAnsi="Arial"/>
          <w:sz w:val="15"/>
          <w:szCs w:val="15"/>
          <w:color w:val="auto"/>
        </w:rPr>
        <w:t xml:space="preserve"> F. J</w:t>
      </w:r>
      <w:r>
        <w:rPr>
          <w:rFonts w:ascii="Arial" w:cs="Arial" w:eastAsia="Arial" w:hAnsi="Arial"/>
          <w:sz w:val="12"/>
          <w:szCs w:val="12"/>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jc w:val="center"/>
        <w:ind w:left="72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7280"/>
        <w:spacing w:after="0"/>
        <w:rPr>
          <w:sz w:val="20"/>
          <w:szCs w:val="20"/>
          <w:color w:val="auto"/>
        </w:rPr>
      </w:pPr>
      <w:r>
        <w:rPr>
          <w:rFonts w:ascii="Arial" w:cs="Arial" w:eastAsia="Arial" w:hAnsi="Arial"/>
          <w:sz w:val="18"/>
          <w:szCs w:val="18"/>
          <w:i w:val="1"/>
          <w:iCs w:val="1"/>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ectPr>
          <w:pgSz w:w="11900" w:h="16838" w:orient="portrait"/>
          <w:cols w:equalWidth="0" w:num="1">
            <w:col w:w="11420"/>
          </w:cols>
          <w:pgMar w:left="240" w:top="125"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132" w:lineRule="exact"/>
        <w:rPr>
          <w:sz w:val="20"/>
          <w:szCs w:val="20"/>
          <w:color w:val="auto"/>
        </w:rPr>
      </w:pPr>
    </w:p>
    <w:p>
      <w:pPr>
        <w:ind w:right="300" w:firstLine="464"/>
        <w:spacing w:after="0" w:line="268"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2012 (the “Report”) fully complies with the requirements of Section 13(a) or 15(d) of the Securities Exchange Act of 1934 (15 U.S.C. 78m or 78o(d)); and</w:t>
      </w:r>
    </w:p>
    <w:p>
      <w:pPr>
        <w:spacing w:after="0" w:line="131" w:lineRule="exact"/>
        <w:rPr>
          <w:rFonts w:ascii="Arial" w:cs="Arial" w:eastAsia="Arial" w:hAnsi="Arial"/>
          <w:sz w:val="18"/>
          <w:szCs w:val="18"/>
          <w:color w:val="auto"/>
        </w:rPr>
      </w:pPr>
    </w:p>
    <w:p>
      <w:pPr>
        <w:ind w:right="740" w:firstLine="464"/>
        <w:spacing w:after="0" w:line="268"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2"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G. W</w:t>
      </w:r>
      <w:r>
        <w:rPr>
          <w:rFonts w:ascii="Arial" w:cs="Arial" w:eastAsia="Arial" w:hAnsi="Arial"/>
          <w:sz w:val="13"/>
          <w:szCs w:val="13"/>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8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132" w:lineRule="exact"/>
        <w:rPr>
          <w:sz w:val="20"/>
          <w:szCs w:val="20"/>
          <w:color w:val="auto"/>
        </w:rPr>
      </w:pPr>
    </w:p>
    <w:p>
      <w:pPr>
        <w:ind w:right="300" w:firstLine="464"/>
        <w:spacing w:after="0" w:line="268"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2012 (the “Report”) fully complies with the requirements of Section 13(a) or 15(d) of the Securities Exchange Act of 1934 (15 U.S.C. 78m or 78o(d)); and</w:t>
      </w:r>
    </w:p>
    <w:p>
      <w:pPr>
        <w:spacing w:after="0" w:line="131" w:lineRule="exact"/>
        <w:rPr>
          <w:rFonts w:ascii="Arial" w:cs="Arial" w:eastAsia="Arial" w:hAnsi="Arial"/>
          <w:sz w:val="18"/>
          <w:szCs w:val="18"/>
          <w:color w:val="auto"/>
        </w:rPr>
      </w:pPr>
    </w:p>
    <w:p>
      <w:pPr>
        <w:ind w:right="740" w:firstLine="464"/>
        <w:spacing w:after="0" w:line="268"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2"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ENÉ</w:t>
      </w:r>
      <w:r>
        <w:rPr>
          <w:rFonts w:ascii="Arial" w:cs="Arial" w:eastAsia="Arial" w:hAnsi="Arial"/>
          <w:sz w:val="16"/>
          <w:szCs w:val="16"/>
          <w:color w:val="auto"/>
        </w:rPr>
        <w:t xml:space="preserve"> F. J</w:t>
      </w:r>
      <w:r>
        <w:rPr>
          <w:rFonts w:ascii="Arial" w:cs="Arial" w:eastAsia="Arial" w:hAnsi="Arial"/>
          <w:sz w:val="13"/>
          <w:szCs w:val="13"/>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René F. Jones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OF CHIEF EXECUTIVE OFFICER UNDER EESA §111(b)(4)</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 Robert G. Wilmers, Chairman of the Board and Chief Executive Officer of M&amp;T Bank Corporation (“M&amp;T”), certify, based on my knowledge, that:</w:t>
      </w:r>
    </w:p>
    <w:p>
      <w:pPr>
        <w:spacing w:after="0" w:line="194" w:lineRule="exact"/>
        <w:rPr>
          <w:sz w:val="20"/>
          <w:szCs w:val="20"/>
          <w:color w:val="auto"/>
        </w:rPr>
      </w:pPr>
    </w:p>
    <w:p>
      <w:pPr>
        <w:ind w:right="200" w:firstLine="464"/>
        <w:spacing w:after="0" w:line="259" w:lineRule="auto"/>
        <w:tabs>
          <w:tab w:leader="none" w:pos="66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compensation committee of M&amp;T has discussed, reviewed, and evaluated with senior risk officers at least every six months during any part of the most recently completed fiscal year that was a TARP period (the “applicable period”), senior executive officer (SEO) compensation plans and employee compensation plans and the risk these plans pose to M&amp;T;</w:t>
      </w:r>
    </w:p>
    <w:p>
      <w:pPr>
        <w:spacing w:after="0" w:line="140" w:lineRule="exact"/>
        <w:rPr>
          <w:rFonts w:ascii="Arial" w:cs="Arial" w:eastAsia="Arial" w:hAnsi="Arial"/>
          <w:sz w:val="18"/>
          <w:szCs w:val="18"/>
          <w:color w:val="auto"/>
        </w:rPr>
      </w:pPr>
    </w:p>
    <w:p>
      <w:pPr>
        <w:ind w:right="60" w:firstLine="464"/>
        <w:spacing w:after="0" w:line="306" w:lineRule="auto"/>
        <w:tabs>
          <w:tab w:leader="none" w:pos="71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compensation committee of M&amp;T has identified and limited during the applicable period any features of the SEO compensation plans that could lead SEOs to take unnecessary and excessive risks that could threaten the value of M&amp;T, and during that same applicable period has identified any features of the employee compensation plans that pose risks to M&amp;T and has limited those features to ensure that M&amp;T is not unnecessarily exposed to risks;</w:t>
      </w:r>
    </w:p>
    <w:p>
      <w:pPr>
        <w:spacing w:after="0" w:line="106" w:lineRule="exact"/>
        <w:rPr>
          <w:rFonts w:ascii="Arial" w:cs="Arial" w:eastAsia="Arial" w:hAnsi="Arial"/>
          <w:sz w:val="16"/>
          <w:szCs w:val="16"/>
          <w:color w:val="auto"/>
        </w:rPr>
      </w:pPr>
    </w:p>
    <w:p>
      <w:pPr>
        <w:jc w:val="both"/>
        <w:ind w:right="40" w:firstLine="464"/>
        <w:spacing w:after="0" w:line="259" w:lineRule="auto"/>
        <w:tabs>
          <w:tab w:leader="none" w:pos="7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compensation committee of M&amp;T has reviewed, at least every six months during the applicable period, the terms of each employee compensation plan and identified any features of the plan that could encourage the manipulation of reported earnings of M&amp;T to enhance the compensation of an employee, and has limited any such features;</w:t>
      </w:r>
    </w:p>
    <w:p>
      <w:pPr>
        <w:spacing w:after="0" w:line="140" w:lineRule="exact"/>
        <w:rPr>
          <w:rFonts w:ascii="Arial" w:cs="Arial" w:eastAsia="Arial" w:hAnsi="Arial"/>
          <w:sz w:val="18"/>
          <w:szCs w:val="18"/>
          <w:color w:val="auto"/>
        </w:rPr>
      </w:pPr>
    </w:p>
    <w:p>
      <w:pPr>
        <w:ind w:left="760" w:hanging="296"/>
        <w:spacing w:after="0"/>
        <w:tabs>
          <w:tab w:leader="none" w:pos="7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compensation committee of M&amp;T will certify to the reviews of the SEO compensation plans and employee compensation plans required under</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and (iii) above;</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compensation committee of M&amp;T will provide a narrative description of how it limited during the applicable period the features in</w:t>
      </w:r>
    </w:p>
    <w:p>
      <w:pPr>
        <w:spacing w:after="0" w:line="171" w:lineRule="exact"/>
        <w:rPr>
          <w:rFonts w:ascii="Arial" w:cs="Arial" w:eastAsia="Arial" w:hAnsi="Arial"/>
          <w:sz w:val="18"/>
          <w:szCs w:val="18"/>
          <w:color w:val="auto"/>
        </w:rPr>
      </w:pPr>
    </w:p>
    <w:p>
      <w:pPr>
        <w:ind w:left="1200" w:hanging="297"/>
        <w:spacing w:after="0"/>
        <w:tabs>
          <w:tab w:leader="none" w:pos="12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SEO compensation plans that could lead SEOs to take unnecessary and excessive risks that could threaten the value of M&amp;T;</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M&amp;T to risks; and</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2"/>
          <w:numId w:val="139"/>
        </w:numPr>
        <w:rPr>
          <w:rFonts w:ascii="Arial" w:cs="Arial" w:eastAsia="Arial" w:hAnsi="Arial"/>
          <w:sz w:val="15"/>
          <w:szCs w:val="15"/>
          <w:color w:val="auto"/>
        </w:rPr>
      </w:pPr>
      <w:r>
        <w:rPr>
          <w:rFonts w:ascii="Arial" w:cs="Arial" w:eastAsia="Arial" w:hAnsi="Arial"/>
          <w:sz w:val="15"/>
          <w:szCs w:val="15"/>
          <w:color w:val="auto"/>
        </w:rPr>
        <w:t>Employee compensation plans that could encourage the manipulation of reported earnings of M&amp;T to enhance the compensation of an employee;</w:t>
      </w:r>
    </w:p>
    <w:p>
      <w:pPr>
        <w:spacing w:after="0" w:line="124" w:lineRule="exact"/>
        <w:rPr>
          <w:rFonts w:ascii="Arial" w:cs="Arial" w:eastAsia="Arial" w:hAnsi="Arial"/>
          <w:sz w:val="15"/>
          <w:szCs w:val="15"/>
          <w:color w:val="auto"/>
        </w:rPr>
      </w:pPr>
    </w:p>
    <w:p>
      <w:pPr>
        <w:ind w:right="140" w:firstLine="464"/>
        <w:spacing w:after="0" w:line="306" w:lineRule="auto"/>
        <w:tabs>
          <w:tab w:leader="none" w:pos="75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M&amp;T has required that bonus payments, as defined in the regulations and guidance established under section 111 of EESA (bonus payments), of the SEOs and twenty next most highly compensated employees be subject to a recovery or “clawback” provision during the applicable period if the bonus payments were based on materially inaccurate financial statements or any other materially inaccurate performance metric criteria;</w:t>
      </w:r>
    </w:p>
    <w:p>
      <w:pPr>
        <w:spacing w:after="0" w:line="106" w:lineRule="exact"/>
        <w:rPr>
          <w:rFonts w:ascii="Arial" w:cs="Arial" w:eastAsia="Arial" w:hAnsi="Arial"/>
          <w:sz w:val="16"/>
          <w:szCs w:val="16"/>
          <w:color w:val="auto"/>
        </w:rPr>
      </w:pPr>
    </w:p>
    <w:p>
      <w:pPr>
        <w:ind w:right="160" w:firstLine="464"/>
        <w:spacing w:after="0" w:line="268" w:lineRule="auto"/>
        <w:tabs>
          <w:tab w:leader="none" w:pos="80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M&amp;T has prohibited any golden parachute payment, as defined in the regulations and guidance established under section 111 of EESA, to an SEO or any of the next five most highly compensated employees during the applicable period;</w:t>
      </w:r>
    </w:p>
    <w:p>
      <w:pPr>
        <w:spacing w:after="0" w:line="131" w:lineRule="exact"/>
        <w:rPr>
          <w:rFonts w:ascii="Arial" w:cs="Arial" w:eastAsia="Arial" w:hAnsi="Arial"/>
          <w:sz w:val="18"/>
          <w:szCs w:val="18"/>
          <w:color w:val="auto"/>
        </w:rPr>
      </w:pPr>
    </w:p>
    <w:p>
      <w:pPr>
        <w:ind w:right="160" w:firstLine="464"/>
        <w:spacing w:after="0" w:line="268" w:lineRule="auto"/>
        <w:tabs>
          <w:tab w:leader="none" w:pos="85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M&amp;T has limited bonus payments to its applicable employees in accordance with section 111 of EESA and the regulations and guidance established thereunder during the applicable period;</w:t>
      </w:r>
    </w:p>
    <w:p>
      <w:pPr>
        <w:spacing w:after="0" w:line="131" w:lineRule="exact"/>
        <w:rPr>
          <w:rFonts w:ascii="Arial" w:cs="Arial" w:eastAsia="Arial" w:hAnsi="Arial"/>
          <w:sz w:val="18"/>
          <w:szCs w:val="18"/>
          <w:color w:val="auto"/>
        </w:rPr>
      </w:pPr>
    </w:p>
    <w:p>
      <w:pPr>
        <w:ind w:right="100" w:firstLine="464"/>
        <w:spacing w:after="0" w:line="259" w:lineRule="auto"/>
        <w:tabs>
          <w:tab w:leader="none" w:pos="75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M&amp;T and its employees have complied with the excessive or luxury expenditures policy during the applicable period; and any expenses that, pursuant to this policy, required approval of the board of directors, a committee of the board of directors, an SEO, or an executive officer with a similar level of responsibility were properly approved;</w:t>
      </w:r>
    </w:p>
    <w:p>
      <w:pPr>
        <w:spacing w:after="0" w:line="140" w:lineRule="exact"/>
        <w:rPr>
          <w:rFonts w:ascii="Arial" w:cs="Arial" w:eastAsia="Arial" w:hAnsi="Arial"/>
          <w:sz w:val="18"/>
          <w:szCs w:val="18"/>
          <w:color w:val="auto"/>
        </w:rPr>
      </w:pPr>
    </w:p>
    <w:p>
      <w:pPr>
        <w:ind w:right="360" w:firstLine="464"/>
        <w:spacing w:after="0" w:line="268" w:lineRule="auto"/>
        <w:tabs>
          <w:tab w:leader="none" w:pos="70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M&amp;T will permit a non-binding shareholder resolution in compliance with any applicable federal securities rules and regulations on the disclosures provided under federal securities laws related to SEO compensation paid or accrued during the applicable period;</w:t>
      </w:r>
    </w:p>
    <w:p>
      <w:pPr>
        <w:sectPr>
          <w:pgSz w:w="11900" w:h="16838" w:orient="portrait"/>
          <w:cols w:equalWidth="0" w:num="1">
            <w:col w:w="11420"/>
          </w:cols>
          <w:pgMar w:left="240" w:top="125" w:right="239" w:bottom="1440" w:gutter="0" w:footer="0" w:header="0"/>
        </w:sectPr>
      </w:pPr>
    </w:p>
    <w:bookmarkStart w:id="224" w:name="page225"/>
    <w:bookmarkEnd w:id="224"/>
    <w:p>
      <w:pPr>
        <w:ind w:right="220" w:firstLine="464"/>
        <w:spacing w:after="0" w:line="259" w:lineRule="auto"/>
        <w:tabs>
          <w:tab w:leader="none" w:pos="754"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140" w:lineRule="exact"/>
        <w:rPr>
          <w:rFonts w:ascii="Arial" w:cs="Arial" w:eastAsia="Arial" w:hAnsi="Arial"/>
          <w:sz w:val="18"/>
          <w:szCs w:val="18"/>
          <w:color w:val="auto"/>
        </w:rPr>
      </w:pPr>
    </w:p>
    <w:p>
      <w:pPr>
        <w:ind w:firstLine="464"/>
        <w:spacing w:after="0" w:line="332" w:lineRule="auto"/>
        <w:tabs>
          <w:tab w:leader="none" w:pos="80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M&amp;T will disclose whether M&amp;T, the board of directors of M&amp;T, or the compensation committee of M&amp;T has engaged during the applicable period a compensation consultant; and the services the compensation consultant or any affiliate of the compensation consultant provided during this period;</w:t>
      </w:r>
    </w:p>
    <w:p>
      <w:pPr>
        <w:spacing w:after="0" w:line="85" w:lineRule="exact"/>
        <w:rPr>
          <w:rFonts w:ascii="Arial" w:cs="Arial" w:eastAsia="Arial" w:hAnsi="Arial"/>
          <w:sz w:val="16"/>
          <w:szCs w:val="16"/>
          <w:color w:val="auto"/>
        </w:rPr>
      </w:pPr>
    </w:p>
    <w:p>
      <w:pPr>
        <w:ind w:right="220" w:firstLine="464"/>
        <w:spacing w:after="0" w:line="268" w:lineRule="auto"/>
        <w:tabs>
          <w:tab w:leader="none" w:pos="8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M&amp;T has prohibited the payment of any gross-ups, as defined in the regulations and guidance established under section 111 of EESA, to the SEOs and the next twenty most highly compensated employees during the applicable period;</w:t>
      </w:r>
    </w:p>
    <w:p>
      <w:pPr>
        <w:spacing w:after="0" w:line="131" w:lineRule="exact"/>
        <w:rPr>
          <w:rFonts w:ascii="Arial" w:cs="Arial" w:eastAsia="Arial" w:hAnsi="Arial"/>
          <w:sz w:val="18"/>
          <w:szCs w:val="18"/>
          <w:color w:val="auto"/>
        </w:rPr>
      </w:pPr>
    </w:p>
    <w:p>
      <w:pPr>
        <w:ind w:right="320" w:firstLine="464"/>
        <w:spacing w:after="0" w:line="268" w:lineRule="auto"/>
        <w:tabs>
          <w:tab w:leader="none" w:pos="8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M&amp;T has substantially complied with all other requirements related to employee compensation that are provided in the agreement between M&amp;T Bank Corporation and Treasury, including any amendments;</w:t>
      </w:r>
    </w:p>
    <w:p>
      <w:pPr>
        <w:spacing w:after="0" w:line="131" w:lineRule="exact"/>
        <w:rPr>
          <w:rFonts w:ascii="Arial" w:cs="Arial" w:eastAsia="Arial" w:hAnsi="Arial"/>
          <w:sz w:val="18"/>
          <w:szCs w:val="18"/>
          <w:color w:val="auto"/>
        </w:rPr>
      </w:pPr>
    </w:p>
    <w:p>
      <w:pPr>
        <w:ind w:firstLine="464"/>
        <w:spacing w:after="0" w:line="306" w:lineRule="auto"/>
        <w:tabs>
          <w:tab w:leader="none" w:pos="79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August 21, 2012, the U.S. Department of the Treasury completed its sale of the M&amp;T preferred stock that it held as a result of M&amp;T’s participation in the TARP Capital Purchase Program. Therefore, the standard referred to in paragraph (xv) of the Model Certification for Years Following First Year Certification (the “Model Certification”) set forth in the regulations and guidance established under section 111 of EESA, was not required to be met by M&amp;T;</w:t>
      </w:r>
    </w:p>
    <w:p>
      <w:pPr>
        <w:spacing w:after="0" w:line="106" w:lineRule="exact"/>
        <w:rPr>
          <w:rFonts w:ascii="Arial" w:cs="Arial" w:eastAsia="Arial" w:hAnsi="Arial"/>
          <w:sz w:val="16"/>
          <w:szCs w:val="16"/>
          <w:color w:val="auto"/>
        </w:rPr>
      </w:pPr>
    </w:p>
    <w:p>
      <w:pPr>
        <w:ind w:right="940" w:firstLine="464"/>
        <w:spacing w:after="0" w:line="268" w:lineRule="auto"/>
        <w:tabs>
          <w:tab w:leader="none" w:pos="8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understand that a knowing and willful false or fraudulent statement made in connection with this certification may be punished by fine, imprisonment, or both.</w:t>
      </w:r>
    </w:p>
    <w:p>
      <w:pPr>
        <w:spacing w:after="0" w:line="172" w:lineRule="exact"/>
        <w:rPr>
          <w:sz w:val="20"/>
          <w:szCs w:val="20"/>
          <w:color w:val="auto"/>
        </w:rPr>
      </w:pPr>
    </w:p>
    <w:p>
      <w:pPr>
        <w:jc w:val="right"/>
        <w:ind w:right="1580"/>
        <w:spacing w:after="0"/>
        <w:tabs>
          <w:tab w:leader="none" w:pos="2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Robert G. Wilmers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2013</w:t>
      </w:r>
    </w:p>
    <w:p>
      <w:pPr>
        <w:sectPr>
          <w:pgSz w:w="11900" w:h="16838" w:orient="portrait"/>
          <w:cols w:equalWidth="0" w:num="1">
            <w:col w:w="11380"/>
          </w:cols>
          <w:pgMar w:left="240" w:top="280" w:right="27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CERTIFICATION OF CHIEF FINANCIAL OFFICER UNDER EESA §111(b)(4)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Executive Vice President and Chief Financial Officer of M&amp;T Bank Corporation, certify, based on my knowledge, that:</w:t>
      </w:r>
    </w:p>
    <w:p>
      <w:pPr>
        <w:spacing w:after="0" w:line="171" w:lineRule="exact"/>
        <w:rPr>
          <w:sz w:val="20"/>
          <w:szCs w:val="20"/>
          <w:color w:val="auto"/>
        </w:rPr>
      </w:pPr>
    </w:p>
    <w:p>
      <w:pPr>
        <w:ind w:right="200" w:firstLine="464"/>
        <w:spacing w:after="0" w:line="259" w:lineRule="auto"/>
        <w:tabs>
          <w:tab w:leader="none" w:pos="66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compensation committee of M&amp;T has discussed, reviewed, and evaluated with senior risk officers at least every six months during any part of the most recently completed fiscal year that was a TARP period (the “applicable period”), senior executive officer (SEO) compensation plans and employee compensation plans and the risk these plans pose to M&amp;T;</w:t>
      </w:r>
    </w:p>
    <w:p>
      <w:pPr>
        <w:spacing w:after="0" w:line="140" w:lineRule="exact"/>
        <w:rPr>
          <w:rFonts w:ascii="Arial" w:cs="Arial" w:eastAsia="Arial" w:hAnsi="Arial"/>
          <w:sz w:val="18"/>
          <w:szCs w:val="18"/>
          <w:color w:val="auto"/>
        </w:rPr>
      </w:pPr>
    </w:p>
    <w:p>
      <w:pPr>
        <w:ind w:right="60" w:firstLine="464"/>
        <w:spacing w:after="0" w:line="306" w:lineRule="auto"/>
        <w:tabs>
          <w:tab w:leader="none" w:pos="71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compensation committee of M&amp;T has identified and limited during the applicable period any features of the SEO compensation plans that could lead SEOs to take unnecessary and excessive risks that could threaten the value of M&amp;T, and during that same applicable period has identified any features of the employee compensation plans that pose risks to M&amp;T and has limited those features to ensure that M&amp;T is not unnecessarily exposed to risks;</w:t>
      </w:r>
    </w:p>
    <w:p>
      <w:pPr>
        <w:spacing w:after="0" w:line="106" w:lineRule="exact"/>
        <w:rPr>
          <w:rFonts w:ascii="Arial" w:cs="Arial" w:eastAsia="Arial" w:hAnsi="Arial"/>
          <w:sz w:val="16"/>
          <w:szCs w:val="16"/>
          <w:color w:val="auto"/>
        </w:rPr>
      </w:pPr>
    </w:p>
    <w:p>
      <w:pPr>
        <w:jc w:val="both"/>
        <w:ind w:right="40" w:firstLine="464"/>
        <w:spacing w:after="0" w:line="259" w:lineRule="auto"/>
        <w:tabs>
          <w:tab w:leader="none" w:pos="76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compensation committee of M&amp;T has reviewed, at least every six months during the applicable period, the terms of each employee compensation plan and identified any features of the plan that could encourage the manipulation of reported earnings of M&amp;T to enhance the compensation of an employee, and has limited any such features;</w:t>
      </w:r>
    </w:p>
    <w:p>
      <w:pPr>
        <w:spacing w:after="0" w:line="140" w:lineRule="exact"/>
        <w:rPr>
          <w:rFonts w:ascii="Arial" w:cs="Arial" w:eastAsia="Arial" w:hAnsi="Arial"/>
          <w:sz w:val="18"/>
          <w:szCs w:val="18"/>
          <w:color w:val="auto"/>
        </w:rPr>
      </w:pPr>
    </w:p>
    <w:p>
      <w:pPr>
        <w:ind w:left="760" w:hanging="296"/>
        <w:spacing w:after="0"/>
        <w:tabs>
          <w:tab w:leader="none" w:pos="7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compensation committee of M&amp;T will certify to the reviews of the SEO compensation plans and employee compensation plans required under</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and (iii) above;</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compensation committee of M&amp;T will provide a narrative description of how it limited during the applicable period the features in</w:t>
      </w:r>
    </w:p>
    <w:p>
      <w:pPr>
        <w:spacing w:after="0" w:line="171" w:lineRule="exact"/>
        <w:rPr>
          <w:rFonts w:ascii="Arial" w:cs="Arial" w:eastAsia="Arial" w:hAnsi="Arial"/>
          <w:sz w:val="18"/>
          <w:szCs w:val="18"/>
          <w:color w:val="auto"/>
        </w:rPr>
      </w:pPr>
    </w:p>
    <w:p>
      <w:pPr>
        <w:ind w:left="1200" w:hanging="297"/>
        <w:spacing w:after="0"/>
        <w:tabs>
          <w:tab w:leader="none" w:pos="12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SEO compensation plans that could lead SEOs to take unnecessary and excessive risks that could threaten the value of M&amp;T;</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M&amp;T to risks; and</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2"/>
          <w:numId w:val="142"/>
        </w:numPr>
        <w:rPr>
          <w:rFonts w:ascii="Arial" w:cs="Arial" w:eastAsia="Arial" w:hAnsi="Arial"/>
          <w:sz w:val="15"/>
          <w:szCs w:val="15"/>
          <w:color w:val="auto"/>
        </w:rPr>
      </w:pPr>
      <w:r>
        <w:rPr>
          <w:rFonts w:ascii="Arial" w:cs="Arial" w:eastAsia="Arial" w:hAnsi="Arial"/>
          <w:sz w:val="15"/>
          <w:szCs w:val="15"/>
          <w:color w:val="auto"/>
        </w:rPr>
        <w:t>Employee compensation plans that could encourage the manipulation of reported earnings of M&amp;T to enhance the compensation of an employee;</w:t>
      </w:r>
    </w:p>
    <w:p>
      <w:pPr>
        <w:spacing w:after="0" w:line="124" w:lineRule="exact"/>
        <w:rPr>
          <w:rFonts w:ascii="Arial" w:cs="Arial" w:eastAsia="Arial" w:hAnsi="Arial"/>
          <w:sz w:val="15"/>
          <w:szCs w:val="15"/>
          <w:color w:val="auto"/>
        </w:rPr>
      </w:pPr>
    </w:p>
    <w:p>
      <w:pPr>
        <w:ind w:right="140" w:firstLine="464"/>
        <w:spacing w:after="0" w:line="306" w:lineRule="auto"/>
        <w:tabs>
          <w:tab w:leader="none" w:pos="75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M&amp;T has required that bonus payments, as defined in the regulations and guidance established under section 111 of EESA (bonus payments), of the SEOs and twenty next most highly compensated employees be subject to a recovery or “clawback” provision during the applicable period if the bonus payments were based on materially inaccurate financial statements or any other materially inaccurate performance metric criteria;</w:t>
      </w:r>
    </w:p>
    <w:p>
      <w:pPr>
        <w:spacing w:after="0" w:line="106" w:lineRule="exact"/>
        <w:rPr>
          <w:rFonts w:ascii="Arial" w:cs="Arial" w:eastAsia="Arial" w:hAnsi="Arial"/>
          <w:sz w:val="16"/>
          <w:szCs w:val="16"/>
          <w:color w:val="auto"/>
        </w:rPr>
      </w:pPr>
    </w:p>
    <w:p>
      <w:pPr>
        <w:ind w:right="160" w:firstLine="464"/>
        <w:spacing w:after="0" w:line="268" w:lineRule="auto"/>
        <w:tabs>
          <w:tab w:leader="none" w:pos="80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M&amp;T has prohibited any golden parachute payment, as defined in the regulations and guidance established under section 111 of EESA, to an SEO or any of the next five most highly compensated employees during the applicable period;</w:t>
      </w:r>
    </w:p>
    <w:p>
      <w:pPr>
        <w:spacing w:after="0" w:line="131" w:lineRule="exact"/>
        <w:rPr>
          <w:rFonts w:ascii="Arial" w:cs="Arial" w:eastAsia="Arial" w:hAnsi="Arial"/>
          <w:sz w:val="18"/>
          <w:szCs w:val="18"/>
          <w:color w:val="auto"/>
        </w:rPr>
      </w:pPr>
    </w:p>
    <w:p>
      <w:pPr>
        <w:ind w:right="160" w:firstLine="464"/>
        <w:spacing w:after="0" w:line="268" w:lineRule="auto"/>
        <w:tabs>
          <w:tab w:leader="none" w:pos="85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M&amp;T has limited bonus payments to its applicable employees in accordance with section 111 of EESA and the regulations and guidance established thereunder during the applicable period;</w:t>
      </w:r>
    </w:p>
    <w:p>
      <w:pPr>
        <w:spacing w:after="0" w:line="131" w:lineRule="exact"/>
        <w:rPr>
          <w:rFonts w:ascii="Arial" w:cs="Arial" w:eastAsia="Arial" w:hAnsi="Arial"/>
          <w:sz w:val="18"/>
          <w:szCs w:val="18"/>
          <w:color w:val="auto"/>
        </w:rPr>
      </w:pPr>
    </w:p>
    <w:p>
      <w:pPr>
        <w:ind w:right="100" w:firstLine="464"/>
        <w:spacing w:after="0" w:line="259" w:lineRule="auto"/>
        <w:tabs>
          <w:tab w:leader="none" w:pos="75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M&amp;T and its employees have complied with the excessive or luxury expenditures policy during the applicable period; and any expenses that, pursuant to this policy, required approval of the board of directors, a committee of the board of directors, an SEO, or an executive officer with a similar level of responsibility were properly approved;</w:t>
      </w:r>
    </w:p>
    <w:p>
      <w:pPr>
        <w:spacing w:after="0" w:line="140" w:lineRule="exact"/>
        <w:rPr>
          <w:rFonts w:ascii="Arial" w:cs="Arial" w:eastAsia="Arial" w:hAnsi="Arial"/>
          <w:sz w:val="18"/>
          <w:szCs w:val="18"/>
          <w:color w:val="auto"/>
        </w:rPr>
      </w:pPr>
    </w:p>
    <w:p>
      <w:pPr>
        <w:ind w:right="360" w:firstLine="464"/>
        <w:spacing w:after="0" w:line="268" w:lineRule="auto"/>
        <w:tabs>
          <w:tab w:leader="none" w:pos="70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M&amp;T will permit a non-binding shareholder resolution in compliance with any applicable federal securities rules and regulations on the disclosures provided under federal securities laws related to SEO compensation paid or accrued during the applicable period;</w:t>
      </w:r>
    </w:p>
    <w:p>
      <w:pPr>
        <w:sectPr>
          <w:pgSz w:w="11900" w:h="16838" w:orient="portrait"/>
          <w:cols w:equalWidth="0" w:num="1">
            <w:col w:w="11420"/>
          </w:cols>
          <w:pgMar w:left="240" w:top="125" w:right="239" w:bottom="1440" w:gutter="0" w:footer="0" w:header="0"/>
        </w:sectPr>
      </w:pPr>
    </w:p>
    <w:bookmarkStart w:id="226" w:name="page227"/>
    <w:bookmarkEnd w:id="226"/>
    <w:p>
      <w:pPr>
        <w:ind w:right="220" w:firstLine="464"/>
        <w:spacing w:after="0" w:line="259" w:lineRule="auto"/>
        <w:tabs>
          <w:tab w:leader="none" w:pos="7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140" w:lineRule="exact"/>
        <w:rPr>
          <w:rFonts w:ascii="Arial" w:cs="Arial" w:eastAsia="Arial" w:hAnsi="Arial"/>
          <w:sz w:val="18"/>
          <w:szCs w:val="18"/>
          <w:color w:val="auto"/>
        </w:rPr>
      </w:pPr>
    </w:p>
    <w:p>
      <w:pPr>
        <w:ind w:firstLine="464"/>
        <w:spacing w:after="0" w:line="332" w:lineRule="auto"/>
        <w:tabs>
          <w:tab w:leader="none" w:pos="80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M&amp;T will disclose whether M&amp;T, the board of directors of M&amp;T, or the compensation committee of M&amp;T has engaged during the applicable period a compensation consultant; and the services the compensation consultant or any affiliate of the compensation consultant provided during this period;</w:t>
      </w:r>
    </w:p>
    <w:p>
      <w:pPr>
        <w:spacing w:after="0" w:line="85" w:lineRule="exact"/>
        <w:rPr>
          <w:rFonts w:ascii="Arial" w:cs="Arial" w:eastAsia="Arial" w:hAnsi="Arial"/>
          <w:sz w:val="16"/>
          <w:szCs w:val="16"/>
          <w:color w:val="auto"/>
        </w:rPr>
      </w:pPr>
    </w:p>
    <w:p>
      <w:pPr>
        <w:ind w:right="220" w:firstLine="464"/>
        <w:spacing w:after="0" w:line="268" w:lineRule="auto"/>
        <w:tabs>
          <w:tab w:leader="none" w:pos="85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M&amp;T has prohibited the payment of any gross-ups, as defined in the regulations and guidance established under section 111 of EESA, to the SEOs and the next twenty most highly compensated employees during the applicable period;</w:t>
      </w:r>
    </w:p>
    <w:p>
      <w:pPr>
        <w:spacing w:after="0" w:line="131" w:lineRule="exact"/>
        <w:rPr>
          <w:rFonts w:ascii="Arial" w:cs="Arial" w:eastAsia="Arial" w:hAnsi="Arial"/>
          <w:sz w:val="18"/>
          <w:szCs w:val="18"/>
          <w:color w:val="auto"/>
        </w:rPr>
      </w:pPr>
    </w:p>
    <w:p>
      <w:pPr>
        <w:ind w:right="320" w:firstLine="464"/>
        <w:spacing w:after="0" w:line="268" w:lineRule="auto"/>
        <w:tabs>
          <w:tab w:leader="none" w:pos="84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M&amp;T has substantially complied with all other requirements related to employee compensation that are provided in the agreement between M&amp;T Bank Corporation and Treasury, including any amendments;</w:t>
      </w:r>
    </w:p>
    <w:p>
      <w:pPr>
        <w:spacing w:after="0" w:line="131" w:lineRule="exact"/>
        <w:rPr>
          <w:rFonts w:ascii="Arial" w:cs="Arial" w:eastAsia="Arial" w:hAnsi="Arial"/>
          <w:sz w:val="18"/>
          <w:szCs w:val="18"/>
          <w:color w:val="auto"/>
        </w:rPr>
      </w:pPr>
    </w:p>
    <w:p>
      <w:pPr>
        <w:ind w:firstLine="464"/>
        <w:spacing w:after="0" w:line="306" w:lineRule="auto"/>
        <w:tabs>
          <w:tab w:leader="none" w:pos="79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August 21, 2012, the U.S. Department of the Treasury completed its sale of the M&amp;T preferred stock that it held as a result of M&amp;T’s participation in the TARP Capital Purchase Program. Therefore, the standard referred to in paragraph (xv) of the Model Certification for Years Following First Year Certification (the “Model Certification”) set forth in the regulations and guidance established under section 111 of EESA, was not required to be met by M&amp;T;</w:t>
      </w:r>
    </w:p>
    <w:p>
      <w:pPr>
        <w:spacing w:after="0" w:line="106" w:lineRule="exact"/>
        <w:rPr>
          <w:rFonts w:ascii="Arial" w:cs="Arial" w:eastAsia="Arial" w:hAnsi="Arial"/>
          <w:sz w:val="16"/>
          <w:szCs w:val="16"/>
          <w:color w:val="auto"/>
        </w:rPr>
      </w:pPr>
    </w:p>
    <w:p>
      <w:pPr>
        <w:ind w:right="940" w:firstLine="464"/>
        <w:spacing w:after="0" w:line="268" w:lineRule="auto"/>
        <w:tabs>
          <w:tab w:leader="none" w:pos="84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understand that a knowing and willful false or fraudulent statement made in connection with this certification may be punished by fine, imprisonment, or both.</w:t>
      </w:r>
    </w:p>
    <w:p>
      <w:pPr>
        <w:spacing w:after="0" w:line="172" w:lineRule="exact"/>
        <w:rPr>
          <w:sz w:val="20"/>
          <w:szCs w:val="20"/>
          <w:color w:val="auto"/>
        </w:rPr>
      </w:pPr>
    </w:p>
    <w:p>
      <w:pPr>
        <w:jc w:val="right"/>
        <w:ind w:right="1760"/>
        <w:spacing w:after="0"/>
        <w:tabs>
          <w:tab w:leader="none" w:pos="2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René F. Jones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2013</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upperLetter"/>
      <w:start w:val="9"/>
    </w:lvl>
  </w:abstractNum>
  <w:abstractNum w:abstractNumId="3">
    <w:nsid w:val="661E3F1E"/>
    <w:multiLevelType w:val="hybridMultilevel"/>
    <w:lvl w:ilvl="0">
      <w:lvlJc w:val="left"/>
      <w:lvlText w:val="%1."/>
      <w:numFmt w:val="upperLetter"/>
      <w:start w:val="2"/>
    </w:lvl>
  </w:abstractNum>
  <w:abstractNum w:abstractNumId="4">
    <w:nsid w:val="5DC79EA8"/>
    <w:multiLevelType w:val="hybridMultilevel"/>
    <w:lvl w:ilvl="0">
      <w:lvlJc w:val="left"/>
      <w:lvlText w:val="%1."/>
      <w:numFmt w:val="upperLetter"/>
      <w:start w:val="61"/>
    </w:lvl>
  </w:abstractNum>
  <w:abstractNum w:abstractNumId="5">
    <w:nsid w:val="540A471C"/>
    <w:multiLevelType w:val="hybridMultilevel"/>
    <w:lvl w:ilvl="0">
      <w:lvlJc w:val="left"/>
      <w:lvlText w:val="%1."/>
      <w:numFmt w:val="upperLetter"/>
      <w:start w:val="3"/>
    </w:lvl>
  </w:abstractNum>
  <w:abstractNum w:abstractNumId="6">
    <w:nsid w:val="7BD3EE7B"/>
    <w:multiLevelType w:val="hybridMultilevel"/>
    <w:lvl w:ilvl="0">
      <w:lvlJc w:val="left"/>
      <w:lvlText w:val="%1."/>
      <w:numFmt w:val="upperLetter"/>
      <w:start w:val="22"/>
    </w:lvl>
  </w:abstractNum>
  <w:abstractNum w:abstractNumId="7">
    <w:nsid w:val="51D9C564"/>
    <w:multiLevelType w:val="hybridMultilevel"/>
    <w:lvl w:ilvl="0">
      <w:lvlJc w:val="left"/>
      <w:lvlText w:val="(%1)"/>
      <w:numFmt w:val="lowerRoman"/>
      <w:start w:val="2"/>
    </w:lvl>
  </w:abstractNum>
  <w:abstractNum w:abstractNumId="8">
    <w:nsid w:val="613EFDC5"/>
    <w:multiLevelType w:val="hybridMultilevel"/>
    <w:lvl w:ilvl="0">
      <w:lvlJc w:val="left"/>
      <w:lvlText w:val="\emdash "/>
      <w:numFmt w:val="bullet"/>
      <w:start w:val="1"/>
    </w:lvl>
  </w:abstractNum>
  <w:abstractNum w:abstractNumId="9">
    <w:nsid w:val="BF72B14"/>
    <w:multiLevelType w:val="hybridMultilevel"/>
    <w:lvl w:ilvl="0">
      <w:lvlJc w:val="left"/>
      <w:lvlText w:val="\emdash "/>
      <w:numFmt w:val="bullet"/>
      <w:start w:val="1"/>
    </w:lvl>
    <w:lvl w:ilvl="1">
      <w:lvlJc w:val="left"/>
      <w:lvlText w:val="\emdash "/>
      <w:numFmt w:val="bullet"/>
      <w:start w:val="1"/>
    </w:lvl>
  </w:abstractNum>
  <w:abstractNum w:abstractNumId="10">
    <w:nsid w:val="11447B73"/>
    <w:multiLevelType w:val="hybridMultilevel"/>
    <w:lvl w:ilvl="0">
      <w:lvlJc w:val="left"/>
      <w:lvlText w:val="\emdash "/>
      <w:numFmt w:val="bullet"/>
      <w:start w:val="1"/>
    </w:lvl>
  </w:abstractNum>
  <w:abstractNum w:abstractNumId="11">
    <w:nsid w:val="42963E5A"/>
    <w:multiLevelType w:val="hybridMultilevel"/>
    <w:lvl w:ilvl="0">
      <w:lvlJc w:val="left"/>
      <w:lvlText w:val="\emdash "/>
      <w:numFmt w:val="bullet"/>
      <w:start w:val="1"/>
    </w:lvl>
    <w:lvl w:ilvl="1">
      <w:lvlJc w:val="left"/>
      <w:lvlText w:val="\emdash "/>
      <w:numFmt w:val="bullet"/>
      <w:start w:val="1"/>
    </w:lvl>
  </w:abstractNum>
  <w:abstractNum w:abstractNumId="12">
    <w:nsid w:val="A0382C5"/>
    <w:multiLevelType w:val="hybridMultilevel"/>
    <w:lvl w:ilvl="0">
      <w:lvlJc w:val="left"/>
      <w:lvlText w:val="\emdash "/>
      <w:numFmt w:val="bullet"/>
      <w:start w:val="1"/>
    </w:lvl>
  </w:abstractNum>
  <w:abstractNum w:abstractNumId="13">
    <w:nsid w:val="8F2B15E"/>
    <w:multiLevelType w:val="hybridMultilevel"/>
    <w:lvl w:ilvl="0">
      <w:lvlJc w:val="left"/>
      <w:lvlText w:val="\emdash "/>
      <w:numFmt w:val="bullet"/>
      <w:start w:val="1"/>
    </w:lvl>
  </w:abstractNum>
  <w:abstractNum w:abstractNumId="14">
    <w:nsid w:val="1A32234B"/>
    <w:multiLevelType w:val="hybridMultilevel"/>
    <w:lvl w:ilvl="0">
      <w:lvlJc w:val="left"/>
      <w:lvlText w:val="\emdash "/>
      <w:numFmt w:val="bullet"/>
      <w:start w:val="1"/>
    </w:lvl>
  </w:abstractNum>
  <w:abstractNum w:abstractNumId="15">
    <w:nsid w:val="3B0FD379"/>
    <w:multiLevelType w:val="hybridMultilevel"/>
    <w:lvl w:ilvl="0">
      <w:lvlJc w:val="left"/>
      <w:lvlText w:val="(%1)"/>
      <w:numFmt w:val="lowerLetter"/>
      <w:start w:val="1"/>
    </w:lvl>
  </w:abstractNum>
  <w:abstractNum w:abstractNumId="16">
    <w:nsid w:val="68EB2F63"/>
    <w:multiLevelType w:val="hybridMultilevel"/>
    <w:lvl w:ilvl="0">
      <w:lvlJc w:val="left"/>
      <w:lvlText w:val="\emdash "/>
      <w:numFmt w:val="bullet"/>
      <w:start w:val="1"/>
    </w:lvl>
  </w:abstractNum>
  <w:abstractNum w:abstractNumId="17">
    <w:nsid w:val="4962813B"/>
    <w:multiLevelType w:val="hybridMultilevel"/>
    <w:lvl w:ilvl="0">
      <w:lvlJc w:val="left"/>
      <w:lvlText w:val="\emdash "/>
      <w:numFmt w:val="bullet"/>
      <w:start w:val="1"/>
    </w:lvl>
  </w:abstractNum>
  <w:abstractNum w:abstractNumId="18">
    <w:nsid w:val="60B6DF70"/>
    <w:multiLevelType w:val="hybridMultilevel"/>
    <w:lvl w:ilvl="0">
      <w:lvlJc w:val="left"/>
      <w:lvlText w:val="\emdash "/>
      <w:numFmt w:val="bullet"/>
      <w:start w:val="1"/>
    </w:lvl>
  </w:abstractNum>
  <w:abstractNum w:abstractNumId="19">
    <w:nsid w:val="6A5EE64"/>
    <w:multiLevelType w:val="hybridMultilevel"/>
    <w:lvl w:ilvl="0">
      <w:lvlJc w:val="left"/>
      <w:lvlText w:val="(%1)"/>
      <w:numFmt w:val="decimal"/>
      <w:start w:val="1"/>
    </w:lvl>
  </w:abstractNum>
  <w:abstractNum w:abstractNumId="20">
    <w:nsid w:val="14330624"/>
    <w:multiLevelType w:val="hybridMultilevel"/>
    <w:lvl w:ilvl="0">
      <w:lvlJc w:val="left"/>
      <w:lvlText w:val="(%1)"/>
      <w:numFmt w:val="decimal"/>
      <w:start w:val="1"/>
    </w:lvl>
  </w:abstractNum>
  <w:abstractNum w:abstractNumId="21">
    <w:nsid w:val="7FFFCA11"/>
    <w:multiLevelType w:val="hybridMultilevel"/>
    <w:lvl w:ilvl="0">
      <w:lvlJc w:val="left"/>
      <w:lvlText w:val="\emdash "/>
      <w:numFmt w:val="bullet"/>
      <w:start w:val="1"/>
    </w:lvl>
  </w:abstractNum>
  <w:abstractNum w:abstractNumId="22">
    <w:nsid w:val="1A27709E"/>
    <w:multiLevelType w:val="hybridMultilevel"/>
    <w:lvl w:ilvl="0">
      <w:lvlJc w:val="left"/>
      <w:lvlText w:val="\emdash "/>
      <w:numFmt w:val="bullet"/>
      <w:start w:val="1"/>
    </w:lvl>
  </w:abstractNum>
  <w:abstractNum w:abstractNumId="23">
    <w:nsid w:val="71EA1109"/>
    <w:multiLevelType w:val="hybridMultilevel"/>
    <w:lvl w:ilvl="0">
      <w:lvlJc w:val="left"/>
      <w:lvlText w:val="\emdash "/>
      <w:numFmt w:val="bullet"/>
      <w:start w:val="1"/>
    </w:lvl>
  </w:abstractNum>
  <w:abstractNum w:abstractNumId="24">
    <w:nsid w:val="100F59DC"/>
    <w:multiLevelType w:val="hybridMultilevel"/>
    <w:lvl w:ilvl="0">
      <w:lvlJc w:val="left"/>
      <w:lvlText w:val="\emdash "/>
      <w:numFmt w:val="bullet"/>
      <w:start w:val="1"/>
    </w:lvl>
  </w:abstractNum>
  <w:abstractNum w:abstractNumId="25">
    <w:nsid w:val="7FB7E0AA"/>
    <w:multiLevelType w:val="hybridMultilevel"/>
    <w:lvl w:ilvl="0">
      <w:lvlJc w:val="left"/>
      <w:lvlText w:val="(%1)"/>
      <w:numFmt w:val="lowerLetter"/>
      <w:start w:val="1"/>
    </w:lvl>
  </w:abstractNum>
  <w:abstractNum w:abstractNumId="26">
    <w:nsid w:val="6EB5BD4"/>
    <w:multiLevelType w:val="hybridMultilevel"/>
    <w:lvl w:ilvl="0">
      <w:lvlJc w:val="left"/>
      <w:lvlText w:val="(%1)"/>
      <w:numFmt w:val="lowerLetter"/>
      <w:start w:val="1"/>
    </w:lvl>
  </w:abstractNum>
  <w:abstractNum w:abstractNumId="27">
    <w:nsid w:val="6F6DD9AC"/>
    <w:multiLevelType w:val="hybridMultilevel"/>
    <w:lvl w:ilvl="0">
      <w:lvlJc w:val="left"/>
      <w:lvlText w:val="(%1)"/>
      <w:numFmt w:val="lowerLetter"/>
      <w:start w:val="1"/>
    </w:lvl>
  </w:abstractNum>
  <w:abstractNum w:abstractNumId="28">
    <w:nsid w:val="94211F2"/>
    <w:multiLevelType w:val="hybridMultilevel"/>
    <w:lvl w:ilvl="0">
      <w:lvlJc w:val="left"/>
      <w:lvlText w:val="(%1)"/>
      <w:numFmt w:val="lowerLetter"/>
      <w:start w:val="1"/>
    </w:lvl>
  </w:abstractNum>
  <w:abstractNum w:abstractNumId="29">
    <w:nsid w:val="885E1B"/>
    <w:multiLevelType w:val="hybridMultilevel"/>
    <w:lvl w:ilvl="0">
      <w:lvlJc w:val="left"/>
      <w:lvlText w:val="(%1)"/>
      <w:numFmt w:val="lowerLetter"/>
      <w:start w:val="1"/>
    </w:lvl>
  </w:abstractNum>
  <w:abstractNum w:abstractNumId="30">
    <w:nsid w:val="76272110"/>
    <w:multiLevelType w:val="hybridMultilevel"/>
    <w:lvl w:ilvl="0">
      <w:lvlJc w:val="left"/>
      <w:lvlText w:val="(%1)"/>
      <w:numFmt w:val="lowerLetter"/>
      <w:start w:val="1"/>
    </w:lvl>
  </w:abstractNum>
  <w:abstractNum w:abstractNumId="31">
    <w:nsid w:val="4C04A8AF"/>
    <w:multiLevelType w:val="hybridMultilevel"/>
    <w:lvl w:ilvl="0">
      <w:lvlJc w:val="left"/>
      <w:lvlText w:val="(%1)"/>
      <w:numFmt w:val="lowerLetter"/>
      <w:start w:val="1"/>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1)"/>
      <w:numFmt w:val="lowerRoman"/>
      <w:start w:val="5"/>
    </w:lvl>
  </w:abstractNum>
  <w:abstractNum w:abstractNumId="34">
    <w:nsid w:val="3222E7CD"/>
    <w:multiLevelType w:val="hybridMultilevel"/>
    <w:lvl w:ilvl="0">
      <w:lvlJc w:val="left"/>
      <w:lvlText w:val="(%1)"/>
      <w:numFmt w:val="lowerRoman"/>
      <w:start w:val="3"/>
    </w:lvl>
  </w:abstractNum>
  <w:abstractNum w:abstractNumId="35">
    <w:nsid w:val="74DE0EE3"/>
    <w:multiLevelType w:val="hybridMultilevel"/>
    <w:lvl w:ilvl="0">
      <w:lvlJc w:val="left"/>
      <w:lvlText w:val="\emdash "/>
      <w:numFmt w:val="bullet"/>
      <w:start w:val="1"/>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Letter"/>
      <w:start w:val="1"/>
    </w:lvl>
  </w:abstractNum>
  <w:abstractNum w:abstractNumId="42">
    <w:nsid w:val="CC1016F"/>
    <w:multiLevelType w:val="hybridMultilevel"/>
    <w:lvl w:ilvl="0">
      <w:lvlJc w:val="left"/>
      <w:lvlText w:val="(%1)"/>
      <w:numFmt w:val="lowerLetter"/>
      <w:start w:val="1"/>
    </w:lvl>
  </w:abstractNum>
  <w:abstractNum w:abstractNumId="43">
    <w:nsid w:val="43F18422"/>
    <w:multiLevelType w:val="hybridMultilevel"/>
    <w:lvl w:ilvl="0">
      <w:lvlJc w:val="left"/>
      <w:lvlText w:val="(%1)"/>
      <w:numFmt w:val="lowerLetter"/>
      <w:start w:val="1"/>
    </w:lvl>
  </w:abstractNum>
  <w:abstractNum w:abstractNumId="44">
    <w:nsid w:val="60EF0119"/>
    <w:multiLevelType w:val="hybridMultilevel"/>
    <w:lvl w:ilvl="0">
      <w:lvlJc w:val="left"/>
      <w:lvlText w:val="(%1)"/>
      <w:numFmt w:val="lowerLetter"/>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decimal"/>
      <w:start w:val="6"/>
    </w:lvl>
  </w:abstractNum>
  <w:abstractNum w:abstractNumId="47">
    <w:nsid w:val="49DA307D"/>
    <w:multiLevelType w:val="hybridMultilevel"/>
    <w:lvl w:ilvl="0">
      <w:lvlJc w:val="left"/>
      <w:lvlText w:val="%1."/>
      <w:numFmt w:val="decimal"/>
      <w:start w:val="7"/>
    </w:lvl>
  </w:abstractNum>
  <w:abstractNum w:abstractNumId="48">
    <w:nsid w:val="7055A5F5"/>
    <w:multiLevelType w:val="hybridMultilevel"/>
    <w:lvl w:ilvl="0">
      <w:lvlJc w:val="left"/>
      <w:lvlText w:val="%1."/>
      <w:numFmt w:val="decimal"/>
      <w:start w:val="8"/>
    </w:lvl>
  </w:abstractNum>
  <w:abstractNum w:abstractNumId="49">
    <w:nsid w:val="5FB8370B"/>
    <w:multiLevelType w:val="hybridMultilevel"/>
    <w:lvl w:ilvl="0">
      <w:lvlJc w:val="left"/>
      <w:lvlText w:val="%1."/>
      <w:numFmt w:val="decimal"/>
      <w:start w:val="10"/>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decimal"/>
      <w:start w:val="11"/>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1"/>
    </w:lvl>
  </w:abstractNum>
  <w:abstractNum w:abstractNumId="58">
    <w:nsid w:val="5F3534A4"/>
    <w:multiLevelType w:val="hybridMultilevel"/>
    <w:lvl w:ilvl="0">
      <w:lvlJc w:val="left"/>
      <w:lvlText w:val="(%1)"/>
      <w:numFmt w:val="lowerLetter"/>
      <w:start w:val="1"/>
    </w:lvl>
  </w:abstractNum>
  <w:abstractNum w:abstractNumId="59">
    <w:nsid w:val="73A1821B"/>
    <w:multiLevelType w:val="hybridMultilevel"/>
    <w:lvl w:ilvl="0">
      <w:lvlJc w:val="left"/>
      <w:lvlText w:val="(%1)"/>
      <w:numFmt w:val="lowerLetter"/>
      <w:start w:val="1"/>
    </w:lvl>
  </w:abstractNum>
  <w:abstractNum w:abstractNumId="60">
    <w:nsid w:val="7DE67713"/>
    <w:multiLevelType w:val="hybridMultilevel"/>
    <w:lvl w:ilvl="0">
      <w:lvlJc w:val="left"/>
      <w:lvlText w:val="(%1)"/>
      <w:numFmt w:val="lowerLetter"/>
      <w:start w:val="1"/>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67">
    <w:nsid w:val="53299938"/>
    <w:multiLevelType w:val="hybridMultilevel"/>
    <w:lvl w:ilvl="0">
      <w:lvlJc w:val="left"/>
      <w:lvlText w:val="%1."/>
      <w:numFmt w:val="lowerRoman"/>
      <w:start w:val="2"/>
    </w:lvl>
  </w:abstractNum>
  <w:abstractNum w:abstractNumId="68">
    <w:nsid w:val="1FBFE8E0"/>
    <w:multiLevelType w:val="hybridMultilevel"/>
    <w:lvl w:ilvl="0">
      <w:lvlJc w:val="left"/>
      <w:lvlText w:val="%1."/>
      <w:numFmt w:val="decimal"/>
      <w:start w:val="4"/>
    </w:lvl>
    <w:lvl w:ilvl="1">
      <w:lvlJc w:val="left"/>
      <w:lvlText w:val="-"/>
      <w:numFmt w:val="bullet"/>
      <w:start w:val="1"/>
    </w:lvl>
  </w:abstractNum>
  <w:abstractNum w:abstractNumId="69">
    <w:nsid w:val="5092CA79"/>
    <w:multiLevelType w:val="hybridMultilevel"/>
    <w:lvl w:ilvl="0">
      <w:lvlJc w:val="left"/>
      <w:lvlText w:val="%1."/>
      <w:numFmt w:val="decimal"/>
      <w:start w:val="6"/>
    </w:lvl>
  </w:abstractNum>
  <w:abstractNum w:abstractNumId="70">
    <w:nsid w:val="1D545C4D"/>
    <w:multiLevelType w:val="hybridMultilevel"/>
    <w:lvl w:ilvl="0">
      <w:lvlJc w:val="left"/>
      <w:lvlText w:val="(%1)"/>
      <w:numFmt w:val="upperLetter"/>
      <w:start w:val="1"/>
    </w:lvl>
  </w:abstractNum>
  <w:abstractNum w:abstractNumId="71">
    <w:nsid w:val="59ADEA3D"/>
    <w:multiLevelType w:val="hybridMultilevel"/>
    <w:lvl w:ilvl="0">
      <w:lvlJc w:val="left"/>
      <w:lvlText w:val="%1."/>
      <w:numFmt w:val="decimal"/>
      <w:start w:val="9"/>
    </w:lvl>
    <w:lvl w:ilvl="1">
      <w:lvlJc w:val="left"/>
      <w:lvlText w:val="-"/>
      <w:numFmt w:val="bullet"/>
      <w:start w:val="1"/>
    </w:lvl>
  </w:abstractNum>
  <w:abstractNum w:abstractNumId="72">
    <w:nsid w:val="288F1A34"/>
    <w:multiLevelType w:val="hybridMultilevel"/>
    <w:lvl w:ilvl="0">
      <w:lvlJc w:val="left"/>
      <w:lvlText w:val="%1."/>
      <w:numFmt w:val="decimal"/>
      <w:start w:val="12"/>
    </w:lvl>
  </w:abstractNum>
  <w:abstractNum w:abstractNumId="73">
    <w:nsid w:val="2A155DBC"/>
    <w:multiLevelType w:val="hybridMultilevel"/>
    <w:lvl w:ilvl="0">
      <w:lvlJc w:val="left"/>
      <w:lvlText w:val="(%1)"/>
      <w:numFmt w:val="upperLetter"/>
      <w:start w:val="1"/>
    </w:lvl>
    <w:lvl w:ilvl="1">
      <w:lvlJc w:val="left"/>
      <w:lvlText w:val="-"/>
      <w:numFmt w:val="bullet"/>
      <w:start w:val="1"/>
    </w:lvl>
  </w:abstractNum>
  <w:abstractNum w:abstractNumId="74">
    <w:nsid w:val="1D9F6E5F"/>
    <w:multiLevelType w:val="hybridMultilevel"/>
    <w:lvl w:ilvl="0">
      <w:lvlJc w:val="left"/>
      <w:lvlText w:val="(%1)"/>
      <w:numFmt w:val="upperLetter"/>
      <w:start w:val="1"/>
    </w:lvl>
  </w:abstractNum>
  <w:abstractNum w:abstractNumId="75">
    <w:nsid w:val="97E1B4E"/>
    <w:multiLevelType w:val="hybridMultilevel"/>
    <w:lvl w:ilvl="0">
      <w:lvlJc w:val="left"/>
      <w:lvlText w:val="(%1)"/>
      <w:numFmt w:val="upperLetter"/>
      <w:start w:val="3"/>
    </w:lvl>
    <w:lvl w:ilvl="1">
      <w:lvlJc w:val="left"/>
      <w:lvlText w:val="-"/>
      <w:numFmt w:val="bullet"/>
      <w:start w:val="1"/>
    </w:lvl>
  </w:abstractNum>
  <w:abstractNum w:abstractNumId="76">
    <w:nsid w:val="51088277"/>
    <w:multiLevelType w:val="hybridMultilevel"/>
    <w:lvl w:ilvl="0">
      <w:lvlJc w:val="left"/>
      <w:lvlText w:val="(%1)"/>
      <w:numFmt w:val="upperLetter"/>
      <w:start w:val="4"/>
    </w:lvl>
    <w:lvl w:ilvl="1">
      <w:lvlJc w:val="left"/>
      <w:lvlText w:val="-"/>
      <w:numFmt w:val="bullet"/>
      <w:start w:val="1"/>
    </w:lvl>
  </w:abstractNum>
  <w:abstractNum w:abstractNumId="77">
    <w:nsid w:val="1CA0C5FA"/>
    <w:multiLevelType w:val="hybridMultilevel"/>
    <w:lvl w:ilvl="0">
      <w:lvlJc w:val="left"/>
      <w:lvlText w:val="(%1)"/>
      <w:numFmt w:val="upperLetter"/>
      <w:start w:val="6"/>
    </w:lvl>
    <w:lvl w:ilvl="1">
      <w:lvlJc w:val="left"/>
      <w:lvlText w:val="(%2)"/>
      <w:numFmt w:val="upperLetter"/>
      <w:start w:val="7"/>
    </w:lvl>
    <w:lvl w:ilvl="2">
      <w:lvlJc w:val="left"/>
      <w:lvlText w:val="-"/>
      <w:numFmt w:val="bullet"/>
      <w:start w:val="1"/>
    </w:lvl>
  </w:abstractNum>
  <w:abstractNum w:abstractNumId="78">
    <w:nsid w:val="53584BCB"/>
    <w:multiLevelType w:val="hybridMultilevel"/>
    <w:lvl w:ilvl="0">
      <w:lvlJc w:val="left"/>
      <w:lvlText w:val="(%1)"/>
      <w:numFmt w:val="upperLetter"/>
      <w:start w:val="9"/>
    </w:lvl>
    <w:lvl w:ilvl="1">
      <w:lvlJc w:val="left"/>
      <w:lvlText w:val="-"/>
      <w:numFmt w:val="bullet"/>
      <w:start w:val="1"/>
    </w:lvl>
  </w:abstractNum>
  <w:abstractNum w:abstractNumId="79">
    <w:nsid w:val="415E286C"/>
    <w:multiLevelType w:val="hybridMultilevel"/>
    <w:lvl w:ilvl="0">
      <w:lvlJc w:val="left"/>
      <w:lvlText w:val="(%1)"/>
      <w:numFmt w:val="upperLetter"/>
      <w:start w:val="13"/>
    </w:lvl>
  </w:abstractNum>
  <w:abstractNum w:abstractNumId="80">
    <w:nsid w:val="7C58FD05"/>
    <w:multiLevelType w:val="hybridMultilevel"/>
    <w:lvl w:ilvl="0">
      <w:lvlJc w:val="left"/>
      <w:lvlText w:val="%1."/>
      <w:numFmt w:val="decimal"/>
      <w:start w:val="14"/>
    </w:lvl>
    <w:lvl w:ilvl="1">
      <w:lvlJc w:val="left"/>
      <w:lvlText w:val="-"/>
      <w:numFmt w:val="bullet"/>
      <w:start w:val="1"/>
    </w:lvl>
  </w:abstractNum>
  <w:abstractNum w:abstractNumId="81">
    <w:nsid w:val="23D86AAC"/>
    <w:multiLevelType w:val="hybridMultilevel"/>
    <w:lvl w:ilvl="0">
      <w:lvlJc w:val="left"/>
      <w:lvlText w:val="%1."/>
      <w:numFmt w:val="decimal"/>
      <w:start w:val="19"/>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1)"/>
      <w:numFmt w:val="lowerLetter"/>
      <w:start w:val="1"/>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lowerLetter"/>
      <w:start w:val="2"/>
    </w:lvl>
  </w:abstractNum>
  <w:abstractNum w:abstractNumId="88">
    <w:nsid w:val="39B7AAA2"/>
    <w:multiLevelType w:val="hybridMultilevel"/>
    <w:lvl w:ilvl="0">
      <w:lvlJc w:val="left"/>
      <w:lvlText w:val="%1."/>
      <w:numFmt w:val="decimal"/>
      <w:start w:val="2"/>
    </w:lvl>
  </w:abstractNum>
  <w:abstractNum w:abstractNumId="89">
    <w:nsid w:val="2B0D8DBE"/>
    <w:multiLevelType w:val="hybridMultilevel"/>
    <w:lvl w:ilvl="0">
      <w:lvlJc w:val="left"/>
      <w:lvlText w:val="%1."/>
      <w:numFmt w:val="decimal"/>
      <w:start w:val="3"/>
    </w:lvl>
  </w:abstractNum>
  <w:abstractNum w:abstractNumId="90">
    <w:nsid w:val="6C80EC70"/>
    <w:multiLevelType w:val="hybridMultilevel"/>
    <w:lvl w:ilvl="0">
      <w:lvlJc w:val="left"/>
      <w:lvlText w:val="%1"/>
      <w:numFmt w:val="lowerLetter"/>
      <w:start w:val="1"/>
    </w:lvl>
    <w:lvl w:ilvl="1">
      <w:lvlJc w:val="left"/>
      <w:lvlText w:val="(%2)"/>
      <w:numFmt w:val="lowerLetter"/>
      <w:start w:val="1"/>
    </w:lvl>
  </w:abstractNum>
  <w:abstractNum w:abstractNumId="91">
    <w:nsid w:val="379E21B5"/>
    <w:multiLevelType w:val="hybridMultilevel"/>
    <w:lvl w:ilvl="0">
      <w:lvlJc w:val="left"/>
      <w:lvlText w:val="(%1)"/>
      <w:numFmt w:val="lowerLetter"/>
      <w:start w:val="9"/>
    </w:lvl>
    <w:lvl w:ilvl="1">
      <w:lvlJc w:val="left"/>
      <w:lvlText w:val="(%2)"/>
      <w:numFmt w:val="lowerLetter"/>
      <w:start w:val="3"/>
    </w:lvl>
  </w:abstractNum>
  <w:abstractNum w:abstractNumId="92">
    <w:nsid w:val="69E373"/>
    <w:multiLevelType w:val="hybridMultilevel"/>
    <w:lvl w:ilvl="0">
      <w:lvlJc w:val="left"/>
      <w:lvlText w:val="%1."/>
      <w:numFmt w:val="decimal"/>
      <w:start w:val="4"/>
    </w:lvl>
  </w:abstractNum>
  <w:abstractNum w:abstractNumId="93">
    <w:nsid w:val="2C27173B"/>
    <w:multiLevelType w:val="hybridMultilevel"/>
    <w:lvl w:ilvl="0">
      <w:lvlJc w:val="left"/>
      <w:lvlText w:val="%1."/>
      <w:numFmt w:val="decimal"/>
      <w:start w:val="5"/>
    </w:lvl>
  </w:abstractNum>
  <w:abstractNum w:abstractNumId="94">
    <w:nsid w:val="4C9B0904"/>
    <w:multiLevelType w:val="hybridMultilevel"/>
    <w:lvl w:ilvl="0">
      <w:lvlJc w:val="left"/>
      <w:lvlText w:val="%1."/>
      <w:numFmt w:val="decimal"/>
      <w:start w:val="6"/>
    </w:lvl>
  </w:abstractNum>
  <w:abstractNum w:abstractNumId="95">
    <w:nsid w:val="6AA7B75C"/>
    <w:multiLevelType w:val="hybridMultilevel"/>
    <w:lvl w:ilvl="0">
      <w:lvlJc w:val="left"/>
      <w:lvlText w:val="(%1)"/>
      <w:numFmt w:val="lowerLetter"/>
      <w:start w:val="1"/>
    </w:lvl>
  </w:abstractNum>
  <w:abstractNum w:abstractNumId="96">
    <w:nsid w:val="1DF029D3"/>
    <w:multiLevelType w:val="hybridMultilevel"/>
    <w:lvl w:ilvl="0">
      <w:lvlJc w:val="left"/>
      <w:lvlText w:val="%1."/>
      <w:numFmt w:val="decimal"/>
      <w:start w:val="7"/>
    </w:lvl>
  </w:abstractNum>
  <w:abstractNum w:abstractNumId="97">
    <w:nsid w:val="5675FF36"/>
    <w:multiLevelType w:val="hybridMultilevel"/>
    <w:lvl w:ilvl="0">
      <w:lvlJc w:val="left"/>
      <w:lvlText w:val="%1."/>
      <w:numFmt w:val="decimal"/>
      <w:start w:val="8"/>
    </w:lvl>
  </w:abstractNum>
  <w:abstractNum w:abstractNumId="98">
    <w:nsid w:val="3DD15094"/>
    <w:multiLevelType w:val="hybridMultilevel"/>
    <w:lvl w:ilvl="0">
      <w:lvlJc w:val="left"/>
      <w:lvlText w:val="%1."/>
      <w:numFmt w:val="decimal"/>
      <w:start w:val="9"/>
    </w:lvl>
  </w:abstractNum>
  <w:abstractNum w:abstractNumId="99">
    <w:nsid w:val="3DB012B3"/>
    <w:multiLevelType w:val="hybridMultilevel"/>
    <w:lvl w:ilvl="0">
      <w:lvlJc w:val="left"/>
      <w:lvlText w:val="%1."/>
      <w:numFmt w:val="decimal"/>
      <w:start w:val="10"/>
    </w:lvl>
  </w:abstractNum>
  <w:abstractNum w:abstractNumId="100">
    <w:nsid w:val="2708C9AF"/>
    <w:multiLevelType w:val="hybridMultilevel"/>
    <w:lvl w:ilvl="0">
      <w:lvlJc w:val="left"/>
      <w:lvlText w:val="%1."/>
      <w:numFmt w:val="decimal"/>
      <w:start w:val="11"/>
    </w:lvl>
  </w:abstractNum>
  <w:abstractNum w:abstractNumId="101">
    <w:nsid w:val="5B25ACE2"/>
    <w:multiLevelType w:val="hybridMultilevel"/>
    <w:lvl w:ilvl="0">
      <w:lvlJc w:val="left"/>
      <w:lvlText w:val="%1."/>
      <w:numFmt w:val="decimal"/>
      <w:start w:val="12"/>
    </w:lvl>
  </w:abstractNum>
  <w:abstractNum w:abstractNumId="102">
    <w:nsid w:val="175DFCF0"/>
    <w:multiLevelType w:val="hybridMultilevel"/>
    <w:lvl w:ilvl="0">
      <w:lvlJc w:val="left"/>
      <w:lvlText w:val="%1."/>
      <w:numFmt w:val="decimal"/>
      <w:start w:val="13"/>
    </w:lvl>
  </w:abstractNum>
  <w:abstractNum w:abstractNumId="103">
    <w:nsid w:val="4F97E3E4"/>
    <w:multiLevelType w:val="hybridMultilevel"/>
    <w:lvl w:ilvl="0">
      <w:lvlJc w:val="left"/>
      <w:lvlText w:val="%1."/>
      <w:numFmt w:val="decimal"/>
      <w:start w:val="14"/>
    </w:lvl>
  </w:abstractNum>
  <w:abstractNum w:abstractNumId="104">
    <w:nsid w:val="53B0A9E"/>
    <w:multiLevelType w:val="hybridMultilevel"/>
    <w:lvl w:ilvl="0">
      <w:lvlJc w:val="left"/>
      <w:lvlText w:val="%1."/>
      <w:numFmt w:val="decimal"/>
      <w:start w:val="15"/>
    </w:lvl>
  </w:abstractNum>
  <w:abstractNum w:abstractNumId="105">
    <w:nsid w:val="34FD6B4F"/>
    <w:multiLevelType w:val="hybridMultilevel"/>
    <w:lvl w:ilvl="0">
      <w:lvlJc w:val="left"/>
      <w:lvlText w:val="%1."/>
      <w:numFmt w:val="decimal"/>
      <w:start w:val="16"/>
    </w:lvl>
  </w:abstractNum>
  <w:abstractNum w:abstractNumId="106">
    <w:nsid w:val="5915FF32"/>
    <w:multiLevelType w:val="hybridMultilevel"/>
    <w:lvl w:ilvl="0">
      <w:lvlJc w:val="left"/>
      <w:lvlText w:val="%1."/>
      <w:numFmt w:val="decimal"/>
      <w:start w:val="17"/>
    </w:lvl>
  </w:abstractNum>
  <w:abstractNum w:abstractNumId="107">
    <w:nsid w:val="56438D15"/>
    <w:multiLevelType w:val="hybridMultilevel"/>
    <w:lvl w:ilvl="0">
      <w:lvlJc w:val="left"/>
      <w:lvlText w:val="%1."/>
      <w:numFmt w:val="decimal"/>
      <w:start w:val="18"/>
    </w:lvl>
  </w:abstractNum>
  <w:abstractNum w:abstractNumId="108">
    <w:nsid w:val="519E3149"/>
    <w:multiLevelType w:val="hybridMultilevel"/>
    <w:lvl w:ilvl="0">
      <w:lvlJc w:val="left"/>
      <w:lvlText w:val="%1."/>
      <w:numFmt w:val="decimal"/>
      <w:start w:val="19"/>
    </w:lvl>
  </w:abstractNum>
  <w:abstractNum w:abstractNumId="109">
    <w:nsid w:val="2C6E4AFD"/>
    <w:multiLevelType w:val="hybridMultilevel"/>
    <w:lvl w:ilvl="0">
      <w:lvlJc w:val="left"/>
      <w:lvlText w:val="%1."/>
      <w:numFmt w:val="decimal"/>
      <w:start w:val="20"/>
    </w:lvl>
  </w:abstractNum>
  <w:abstractNum w:abstractNumId="110">
    <w:nsid w:val="17A1B582"/>
    <w:multiLevelType w:val="hybridMultilevel"/>
    <w:lvl w:ilvl="0">
      <w:lvlJc w:val="left"/>
      <w:lvlText w:val="(%1)"/>
      <w:numFmt w:val="lowerLetter"/>
      <w:start w:val="2"/>
    </w:lvl>
  </w:abstractNum>
  <w:abstractNum w:abstractNumId="111">
    <w:nsid w:val="4DF72E4E"/>
    <w:multiLevelType w:val="hybridMultilevel"/>
    <w:lvl w:ilvl="0">
      <w:lvlJc w:val="left"/>
      <w:lvlText w:val="%1."/>
      <w:numFmt w:val="decimal"/>
      <w:start w:val="21"/>
    </w:lvl>
  </w:abstractNum>
  <w:abstractNum w:abstractNumId="112">
    <w:nsid w:val="5046B5A9"/>
    <w:multiLevelType w:val="hybridMultilevel"/>
    <w:lvl w:ilvl="0">
      <w:lvlJc w:val="left"/>
      <w:lvlText w:val="(%1)"/>
      <w:numFmt w:val="lowerRoman"/>
      <w:start w:val="1"/>
    </w:lvl>
  </w:abstractNum>
  <w:abstractNum w:abstractNumId="113">
    <w:nsid w:val="5D888A08"/>
    <w:multiLevelType w:val="hybridMultilevel"/>
    <w:lvl w:ilvl="0">
      <w:lvlJc w:val="left"/>
      <w:lvlText w:val="%1."/>
      <w:numFmt w:val="decimal"/>
      <w:start w:val="22"/>
    </w:lvl>
  </w:abstractNum>
  <w:abstractNum w:abstractNumId="114">
    <w:nsid w:val="2A082C70"/>
    <w:multiLevelType w:val="hybridMultilevel"/>
    <w:lvl w:ilvl="0">
      <w:lvlJc w:val="left"/>
      <w:lvlText w:val="%1."/>
      <w:numFmt w:val="decimal"/>
      <w:start w:val="23"/>
    </w:lvl>
  </w:abstractNum>
  <w:abstractNum w:abstractNumId="115">
    <w:nsid w:val="5EC6AFD4"/>
    <w:multiLevelType w:val="hybridMultilevel"/>
    <w:lvl w:ilvl="0">
      <w:lvlJc w:val="left"/>
      <w:lvlText w:val="%1."/>
      <w:numFmt w:val="decimal"/>
      <w:start w:val="24"/>
    </w:lvl>
  </w:abstractNum>
  <w:abstractNum w:abstractNumId="116">
    <w:nsid w:val="19E21BB2"/>
    <w:multiLevelType w:val="hybridMultilevel"/>
    <w:lvl w:ilvl="0">
      <w:lvlJc w:val="left"/>
      <w:lvlText w:val="%1."/>
      <w:numFmt w:val="decimal"/>
      <w:start w:val="25"/>
    </w:lvl>
  </w:abstractNum>
  <w:abstractNum w:abstractNumId="117">
    <w:nsid w:val="75E0858A"/>
    <w:multiLevelType w:val="hybridMultilevel"/>
    <w:lvl w:ilvl="0">
      <w:lvlJc w:val="left"/>
      <w:lvlText w:val="%1."/>
      <w:numFmt w:val="decimal"/>
      <w:start w:val="26"/>
    </w:lvl>
  </w:abstractNum>
  <w:abstractNum w:abstractNumId="118">
    <w:nsid w:val="57A61A29"/>
    <w:multiLevelType w:val="hybridMultilevel"/>
    <w:lvl w:ilvl="0">
      <w:lvlJc w:val="left"/>
      <w:lvlText w:val="%1."/>
      <w:numFmt w:val="decimal"/>
      <w:start w:val="27"/>
    </w:lvl>
  </w:abstractNum>
  <w:abstractNum w:abstractNumId="119">
    <w:nsid w:val="5399C654"/>
    <w:multiLevelType w:val="hybridMultilevel"/>
    <w:lvl w:ilvl="0">
      <w:lvlJc w:val="left"/>
      <w:lvlText w:val="%1."/>
      <w:numFmt w:val="decimal"/>
      <w:start w:val="28"/>
    </w:lvl>
  </w:abstractNum>
  <w:abstractNum w:abstractNumId="120">
    <w:nsid w:val="20EE1348"/>
    <w:multiLevelType w:val="hybridMultilevel"/>
    <w:lvl w:ilvl="0">
      <w:lvlJc w:val="left"/>
      <w:lvlText w:val="%1."/>
      <w:numFmt w:val="decimal"/>
      <w:start w:val="29"/>
    </w:lvl>
  </w:abstractNum>
  <w:abstractNum w:abstractNumId="121">
    <w:nsid w:val="4427069A"/>
    <w:multiLevelType w:val="hybridMultilevel"/>
    <w:lvl w:ilvl="0">
      <w:lvlJc w:val="left"/>
      <w:lvlText w:val="%1."/>
      <w:numFmt w:val="decimal"/>
      <w:start w:val="30"/>
    </w:lvl>
  </w:abstractNum>
  <w:abstractNum w:abstractNumId="122">
    <w:nsid w:val="B37E80A"/>
    <w:multiLevelType w:val="hybridMultilevel"/>
    <w:lvl w:ilvl="0">
      <w:lvlJc w:val="left"/>
      <w:lvlText w:val="%1."/>
      <w:numFmt w:val="decimal"/>
      <w:start w:val="31"/>
    </w:lvl>
  </w:abstractNum>
  <w:abstractNum w:abstractNumId="123">
    <w:nsid w:val="2157F6BC"/>
    <w:multiLevelType w:val="hybridMultilevel"/>
    <w:lvl w:ilvl="0">
      <w:lvlJc w:val="left"/>
      <w:lvlText w:val="%1."/>
      <w:numFmt w:val="decimal"/>
      <w:start w:val="32"/>
    </w:lvl>
  </w:abstractNum>
  <w:abstractNum w:abstractNumId="124">
    <w:nsid w:val="704E1DD5"/>
    <w:multiLevelType w:val="hybridMultilevel"/>
    <w:lvl w:ilvl="0">
      <w:lvlJc w:val="left"/>
      <w:lvlText w:val="%1."/>
      <w:numFmt w:val="decimal"/>
      <w:start w:val="33"/>
    </w:lvl>
  </w:abstractNum>
  <w:abstractNum w:abstractNumId="125">
    <w:nsid w:val="57D2F10E"/>
    <w:multiLevelType w:val="hybridMultilevel"/>
    <w:lvl w:ilvl="0">
      <w:lvlJc w:val="left"/>
      <w:lvlText w:val="%1."/>
      <w:numFmt w:val="decimal"/>
      <w:start w:val="34"/>
    </w:lvl>
  </w:abstractNum>
  <w:abstractNum w:abstractNumId="126">
    <w:nsid w:val="BFFAE18"/>
    <w:multiLevelType w:val="hybridMultilevel"/>
    <w:lvl w:ilvl="0">
      <w:lvlJc w:val="left"/>
      <w:lvlText w:val="(%1)"/>
      <w:numFmt w:val="lowerLetter"/>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decimal"/>
      <w:start w:val="5"/>
    </w:lvl>
  </w:abstractNum>
  <w:abstractNum w:abstractNumId="130">
    <w:nsid w:val="4BEE5A5B"/>
    <w:multiLevelType w:val="hybridMultilevel"/>
    <w:lvl w:ilvl="0">
      <w:lvlJc w:val="left"/>
      <w:lvlText w:val="%1)"/>
      <w:numFmt w:val="lowerLetter"/>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lowerLetter"/>
      <w:start w:val="1"/>
    </w:lvl>
  </w:abstractNum>
  <w:abstractNum w:abstractNumId="133">
    <w:nsid w:val="634C574C"/>
    <w:multiLevelType w:val="hybridMultilevel"/>
    <w:lvl w:ilvl="0">
      <w:lvlJc w:val="left"/>
      <w:lvlText w:val="%1."/>
      <w:numFmt w:val="decimal"/>
      <w:start w:val="5"/>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38">
    <w:nsid w:val="754342"/>
    <w:multiLevelType w:val="hybridMultilevel"/>
    <w:lvl w:ilvl="0">
      <w:lvlJc w:val="left"/>
      <w:lvlText w:val="(%1)"/>
      <w:numFmt w:val="lowerRoman"/>
      <w:start w:val="1"/>
    </w:lvl>
    <w:lvl w:ilvl="1">
      <w:lvlJc w:val="left"/>
      <w:lvlText w:val="(%2)"/>
      <w:numFmt w:val="lowerRoman"/>
      <w:start w:val="5"/>
    </w:lvl>
    <w:lvl w:ilvl="2">
      <w:lvlJc w:val="left"/>
      <w:lvlText w:val="(%3)"/>
      <w:numFmt w:val="upperLetter"/>
      <w:start w:val="1"/>
    </w:lvl>
  </w:abstractNum>
  <w:abstractNum w:abstractNumId="139">
    <w:nsid w:val="69E7F3E5"/>
    <w:multiLevelType w:val="hybridMultilevel"/>
    <w:lvl w:ilvl="0">
      <w:lvlJc w:val="left"/>
      <w:lvlText w:val="(%1)"/>
      <w:numFmt w:val="lowerRoman"/>
      <w:start w:val="11"/>
    </w:lvl>
  </w:abstractNum>
  <w:abstractNum w:abstractNumId="140">
    <w:nsid w:val="2A6DE806"/>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41">
    <w:nsid w:val="1816F8C4"/>
    <w:multiLevelType w:val="hybridMultilevel"/>
    <w:lvl w:ilvl="0">
      <w:lvlJc w:val="left"/>
      <w:lvlText w:val="(%1)"/>
      <w:numFmt w:val="lowerRoman"/>
      <w:start w:val="1"/>
    </w:lvl>
    <w:lvl w:ilvl="1">
      <w:lvlJc w:val="left"/>
      <w:lvlText w:val="(%2)"/>
      <w:numFmt w:val="lowerRoman"/>
      <w:start w:val="5"/>
    </w:lvl>
    <w:lvl w:ilvl="2">
      <w:lvlJc w:val="left"/>
      <w:lvlText w:val="(%3)"/>
      <w:numFmt w:val="upperLetter"/>
      <w:start w:val="1"/>
    </w:lvl>
  </w:abstractNum>
  <w:abstractNum w:abstractNumId="142">
    <w:nsid w:val="37DF2233"/>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2019-12-05T10:45:58Z</dcterms:created>
  <dcterms:modified xsi:type="dcterms:W3CDTF">2019-12-05T10:45:58Z</dcterms:modified>
</cp:coreProperties>
</file>