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June 30, 2009</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1-9861</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M&amp;T BANK CORPORATION</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tbl>
      <w:tblPr>
        <w:tblLayout w:type="fixed"/>
        <w:tblInd w:w="1640" w:type="dxa"/>
        <w:tblCellMar>
          <w:top w:w="0" w:type="dxa"/>
          <w:left w:w="0" w:type="dxa"/>
          <w:bottom w:w="0" w:type="dxa"/>
          <w:right w:w="0" w:type="dxa"/>
        </w:tblCellMar>
      </w:tblPr>
      <w:tr>
        <w:trPr>
          <w:trHeight w:val="216"/>
        </w:trPr>
        <w:tc>
          <w:tcPr>
            <w:tcW w:w="4280" w:type="dxa"/>
            <w:vAlign w:val="bottom"/>
          </w:tcPr>
          <w:p>
            <w:pPr>
              <w:jc w:val="center"/>
              <w:ind w:right="2050"/>
              <w:spacing w:after="0"/>
              <w:rPr>
                <w:sz w:val="20"/>
                <w:szCs w:val="20"/>
                <w:color w:val="auto"/>
              </w:rPr>
            </w:pPr>
            <w:r>
              <w:rPr>
                <w:rFonts w:ascii="Arial" w:cs="Arial" w:eastAsia="Arial" w:hAnsi="Arial"/>
                <w:sz w:val="18"/>
                <w:szCs w:val="18"/>
                <w:color w:val="auto"/>
                <w:w w:val="94"/>
              </w:rPr>
              <w:t>New York</w:t>
            </w:r>
          </w:p>
        </w:tc>
        <w:tc>
          <w:tcPr>
            <w:tcW w:w="3460" w:type="dxa"/>
            <w:vAlign w:val="bottom"/>
          </w:tcPr>
          <w:p>
            <w:pPr>
              <w:jc w:val="right"/>
              <w:ind w:right="150"/>
              <w:spacing w:after="0"/>
              <w:rPr>
                <w:sz w:val="20"/>
                <w:szCs w:val="20"/>
                <w:color w:val="auto"/>
              </w:rPr>
            </w:pPr>
            <w:r>
              <w:rPr>
                <w:rFonts w:ascii="Arial" w:cs="Arial" w:eastAsia="Arial" w:hAnsi="Arial"/>
                <w:sz w:val="18"/>
                <w:szCs w:val="18"/>
                <w:color w:val="auto"/>
              </w:rPr>
              <w:t>16-0968385</w:t>
            </w:r>
          </w:p>
        </w:tc>
      </w:tr>
      <w:tr>
        <w:trPr>
          <w:trHeight w:val="216"/>
        </w:trPr>
        <w:tc>
          <w:tcPr>
            <w:tcW w:w="4280" w:type="dxa"/>
            <w:vAlign w:val="bottom"/>
          </w:tcPr>
          <w:p>
            <w:pPr>
              <w:jc w:val="center"/>
              <w:ind w:right="2090"/>
              <w:spacing w:after="0"/>
              <w:rPr>
                <w:sz w:val="20"/>
                <w:szCs w:val="20"/>
                <w:color w:val="auto"/>
              </w:rPr>
            </w:pPr>
            <w:r>
              <w:rPr>
                <w:rFonts w:ascii="Arial" w:cs="Arial" w:eastAsia="Arial" w:hAnsi="Arial"/>
                <w:sz w:val="18"/>
                <w:szCs w:val="18"/>
                <w:color w:val="auto"/>
                <w:w w:val="93"/>
              </w:rPr>
              <w:t>(State or other jurisdiction of</w:t>
            </w:r>
          </w:p>
        </w:tc>
        <w:tc>
          <w:tcPr>
            <w:tcW w:w="3460" w:type="dxa"/>
            <w:vAlign w:val="bottom"/>
          </w:tcPr>
          <w:p>
            <w:pPr>
              <w:jc w:val="center"/>
              <w:ind w:left="2030"/>
              <w:spacing w:after="0"/>
              <w:rPr>
                <w:sz w:val="20"/>
                <w:szCs w:val="20"/>
                <w:color w:val="auto"/>
              </w:rPr>
            </w:pPr>
            <w:r>
              <w:rPr>
                <w:rFonts w:ascii="Arial" w:cs="Arial" w:eastAsia="Arial" w:hAnsi="Arial"/>
                <w:sz w:val="18"/>
                <w:szCs w:val="18"/>
                <w:color w:val="auto"/>
                <w:w w:val="92"/>
              </w:rPr>
              <w:t>(I.R.S. Employer</w:t>
            </w:r>
          </w:p>
        </w:tc>
      </w:tr>
      <w:tr>
        <w:trPr>
          <w:trHeight w:val="230"/>
        </w:trPr>
        <w:tc>
          <w:tcPr>
            <w:tcW w:w="4280" w:type="dxa"/>
            <w:vAlign w:val="bottom"/>
          </w:tcPr>
          <w:p>
            <w:pPr>
              <w:jc w:val="center"/>
              <w:ind w:right="2030"/>
              <w:spacing w:after="0"/>
              <w:rPr>
                <w:sz w:val="20"/>
                <w:szCs w:val="20"/>
                <w:color w:val="auto"/>
              </w:rPr>
            </w:pPr>
            <w:r>
              <w:rPr>
                <w:rFonts w:ascii="Arial" w:cs="Arial" w:eastAsia="Arial" w:hAnsi="Arial"/>
                <w:sz w:val="18"/>
                <w:szCs w:val="18"/>
                <w:color w:val="auto"/>
                <w:w w:val="92"/>
              </w:rPr>
              <w:t>incorporation or organization)</w:t>
            </w:r>
          </w:p>
        </w:tc>
        <w:tc>
          <w:tcPr>
            <w:tcW w:w="3460" w:type="dxa"/>
            <w:vAlign w:val="bottom"/>
          </w:tcPr>
          <w:p>
            <w:pPr>
              <w:jc w:val="center"/>
              <w:ind w:left="203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4280" w:type="dxa"/>
            <w:vAlign w:val="bottom"/>
          </w:tcPr>
          <w:p>
            <w:pPr>
              <w:jc w:val="center"/>
              <w:ind w:right="2070"/>
              <w:spacing w:after="0"/>
              <w:rPr>
                <w:sz w:val="20"/>
                <w:szCs w:val="20"/>
                <w:color w:val="auto"/>
              </w:rPr>
            </w:pPr>
            <w:r>
              <w:rPr>
                <w:rFonts w:ascii="Arial" w:cs="Arial" w:eastAsia="Arial" w:hAnsi="Arial"/>
                <w:sz w:val="18"/>
                <w:szCs w:val="18"/>
                <w:color w:val="auto"/>
                <w:w w:val="93"/>
              </w:rPr>
              <w:t>One M &amp; T Plaza</w:t>
            </w:r>
          </w:p>
        </w:tc>
        <w:tc>
          <w:tcPr>
            <w:tcW w:w="3460" w:type="dxa"/>
            <w:vAlign w:val="bottom"/>
          </w:tcPr>
          <w:p>
            <w:pPr>
              <w:spacing w:after="0"/>
              <w:rPr>
                <w:sz w:val="24"/>
                <w:szCs w:val="24"/>
                <w:color w:val="auto"/>
              </w:rPr>
            </w:pPr>
          </w:p>
        </w:tc>
      </w:tr>
      <w:tr>
        <w:trPr>
          <w:trHeight w:val="216"/>
        </w:trPr>
        <w:tc>
          <w:tcPr>
            <w:tcW w:w="4280" w:type="dxa"/>
            <w:vAlign w:val="bottom"/>
          </w:tcPr>
          <w:p>
            <w:pPr>
              <w:jc w:val="center"/>
              <w:ind w:right="2050"/>
              <w:spacing w:after="0"/>
              <w:rPr>
                <w:sz w:val="20"/>
                <w:szCs w:val="20"/>
                <w:color w:val="auto"/>
              </w:rPr>
            </w:pPr>
            <w:r>
              <w:rPr>
                <w:rFonts w:ascii="Arial" w:cs="Arial" w:eastAsia="Arial" w:hAnsi="Arial"/>
                <w:sz w:val="18"/>
                <w:szCs w:val="18"/>
                <w:color w:val="auto"/>
                <w:w w:val="95"/>
              </w:rPr>
              <w:t>Buffalo, New York</w:t>
            </w:r>
          </w:p>
        </w:tc>
        <w:tc>
          <w:tcPr>
            <w:tcW w:w="3460" w:type="dxa"/>
            <w:vAlign w:val="bottom"/>
          </w:tcPr>
          <w:p>
            <w:pPr>
              <w:jc w:val="right"/>
              <w:ind w:right="350"/>
              <w:spacing w:after="0"/>
              <w:rPr>
                <w:sz w:val="20"/>
                <w:szCs w:val="20"/>
                <w:color w:val="auto"/>
              </w:rPr>
            </w:pPr>
            <w:r>
              <w:rPr>
                <w:rFonts w:ascii="Arial" w:cs="Arial" w:eastAsia="Arial" w:hAnsi="Arial"/>
                <w:sz w:val="18"/>
                <w:szCs w:val="18"/>
                <w:color w:val="auto"/>
              </w:rPr>
              <w:t>14203</w:t>
            </w:r>
          </w:p>
        </w:tc>
      </w:tr>
      <w:tr>
        <w:trPr>
          <w:trHeight w:val="216"/>
        </w:trPr>
        <w:tc>
          <w:tcPr>
            <w:tcW w:w="4280" w:type="dxa"/>
            <w:vAlign w:val="bottom"/>
          </w:tcPr>
          <w:p>
            <w:pPr>
              <w:jc w:val="center"/>
              <w:ind w:right="2030"/>
              <w:spacing w:after="0"/>
              <w:rPr>
                <w:sz w:val="20"/>
                <w:szCs w:val="20"/>
                <w:color w:val="auto"/>
              </w:rPr>
            </w:pPr>
            <w:r>
              <w:rPr>
                <w:rFonts w:ascii="Arial" w:cs="Arial" w:eastAsia="Arial" w:hAnsi="Arial"/>
                <w:sz w:val="18"/>
                <w:szCs w:val="18"/>
                <w:color w:val="auto"/>
                <w:w w:val="92"/>
              </w:rPr>
              <w:t>(Address of principal</w:t>
            </w:r>
          </w:p>
        </w:tc>
        <w:tc>
          <w:tcPr>
            <w:tcW w:w="3460" w:type="dxa"/>
            <w:vAlign w:val="bottom"/>
          </w:tcPr>
          <w:p>
            <w:pPr>
              <w:jc w:val="center"/>
              <w:ind w:left="2010"/>
              <w:spacing w:after="0"/>
              <w:rPr>
                <w:sz w:val="20"/>
                <w:szCs w:val="20"/>
                <w:color w:val="auto"/>
              </w:rPr>
            </w:pPr>
            <w:r>
              <w:rPr>
                <w:rFonts w:ascii="Arial" w:cs="Arial" w:eastAsia="Arial" w:hAnsi="Arial"/>
                <w:sz w:val="18"/>
                <w:szCs w:val="18"/>
                <w:color w:val="auto"/>
                <w:w w:val="94"/>
              </w:rPr>
              <w:t>(Zip Code)</w:t>
            </w:r>
          </w:p>
        </w:tc>
      </w:tr>
      <w:tr>
        <w:trPr>
          <w:trHeight w:val="230"/>
        </w:trPr>
        <w:tc>
          <w:tcPr>
            <w:tcW w:w="4280" w:type="dxa"/>
            <w:vAlign w:val="bottom"/>
          </w:tcPr>
          <w:p>
            <w:pPr>
              <w:jc w:val="center"/>
              <w:ind w:right="2030"/>
              <w:spacing w:after="0"/>
              <w:rPr>
                <w:sz w:val="20"/>
                <w:szCs w:val="20"/>
                <w:color w:val="auto"/>
              </w:rPr>
            </w:pPr>
            <w:r>
              <w:rPr>
                <w:rFonts w:ascii="Arial" w:cs="Arial" w:eastAsia="Arial" w:hAnsi="Arial"/>
                <w:sz w:val="18"/>
                <w:szCs w:val="18"/>
                <w:color w:val="auto"/>
                <w:w w:val="92"/>
              </w:rPr>
              <w:t>executive offices)</w:t>
            </w:r>
          </w:p>
        </w:tc>
        <w:tc>
          <w:tcPr>
            <w:tcW w:w="3460" w:type="dxa"/>
            <w:vAlign w:val="bottom"/>
          </w:tcPr>
          <w:p>
            <w:pPr>
              <w:spacing w:after="0"/>
              <w:rPr>
                <w:sz w:val="20"/>
                <w:szCs w:val="20"/>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(716) 842-5445</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o Yes o No</w:t>
      </w:r>
    </w:p>
    <w:p>
      <w:pPr>
        <w:spacing w:after="0" w:line="14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22" w:right="239" w:bottom="1440" w:gutter="0" w:footer="0" w:header="0"/>
        </w:sectPr>
      </w:pPr>
    </w:p>
    <w:p>
      <w:pPr>
        <w:spacing w:after="0" w:line="11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420" w:space="720"/>
            <w:col w:w="1440" w:space="720"/>
            <w:col w:w="3340" w:space="500"/>
            <w:col w:w="2280"/>
          </w:cols>
          <w:pgMar w:left="240" w:top="122" w:right="239" w:bottom="144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o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Number of shares of the registrant’s Common Stock, $0.50 par value, outstanding as of the close of business on July 24, 2009: 117,956,043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584835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u w:val="single" w:color="auto"/>
          <w:color w:val="auto"/>
        </w:rPr>
        <w:t>M&amp;T BANK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 the Quarterly Period Ended June 30, 2009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980" w:type="dxa"/>
            <w:vAlign w:val="bottom"/>
            <w:tcBorders>
              <w:bottom w:val="single" w:sz="8" w:color="auto"/>
            </w:tcBorders>
            <w:gridSpan w:val="26"/>
          </w:tcPr>
          <w:p>
            <w:pPr>
              <w:spacing w:after="0"/>
              <w:rPr>
                <w:sz w:val="20"/>
                <w:szCs w:val="20"/>
                <w:color w:val="auto"/>
              </w:rPr>
            </w:pPr>
            <w:r>
              <w:rPr>
                <w:rFonts w:ascii="Arial" w:cs="Arial" w:eastAsia="Arial" w:hAnsi="Arial"/>
                <w:sz w:val="14"/>
                <w:szCs w:val="14"/>
                <w:color w:val="auto"/>
              </w:rPr>
              <w:t>Table of Contents of Information Required in Report</w:t>
            </w:r>
          </w:p>
        </w:tc>
        <w:tc>
          <w:tcPr>
            <w:tcW w:w="580" w:type="dxa"/>
            <w:vAlign w:val="bottom"/>
          </w:tcPr>
          <w:p>
            <w:pPr>
              <w:spacing w:after="0"/>
              <w:rPr>
                <w:sz w:val="14"/>
                <w:szCs w:val="14"/>
                <w:color w:val="auto"/>
              </w:rPr>
            </w:pPr>
          </w:p>
        </w:tc>
        <w:tc>
          <w:tcPr>
            <w:tcW w:w="8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Page</w:t>
            </w:r>
          </w:p>
        </w:tc>
      </w:tr>
      <w:tr>
        <w:trPr>
          <w:trHeight w:val="169"/>
        </w:trPr>
        <w:tc>
          <w:tcPr>
            <w:tcW w:w="9980" w:type="dxa"/>
            <w:vAlign w:val="bottom"/>
            <w:gridSpan w:val="26"/>
          </w:tcPr>
          <w:p>
            <w:pPr>
              <w:spacing w:after="0" w:line="170" w:lineRule="exact"/>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412"/>
        </w:trPr>
        <w:tc>
          <w:tcPr>
            <w:tcW w:w="220" w:type="dxa"/>
            <w:vAlign w:val="bottom"/>
            <w:tcBorders>
              <w:top w:val="single" w:sz="8" w:color="0000EE"/>
            </w:tcBorders>
          </w:tcPr>
          <w:p>
            <w:pPr>
              <w:spacing w:after="0"/>
              <w:rPr>
                <w:sz w:val="24"/>
                <w:szCs w:val="24"/>
                <w:color w:val="auto"/>
              </w:rPr>
            </w:pPr>
          </w:p>
        </w:tc>
        <w:tc>
          <w:tcPr>
            <w:tcW w:w="210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Item 1. Financial Statements.</w:t>
              </w:r>
            </w:hyperlink>
          </w:p>
        </w:tc>
        <w:tc>
          <w:tcPr>
            <w:tcW w:w="420" w:type="dxa"/>
            <w:vAlign w:val="bottom"/>
            <w:tcBorders>
              <w:top w:val="single" w:sz="8" w:color="0000EE"/>
            </w:tcBorders>
            <w:gridSpan w:val="3"/>
          </w:tcPr>
          <w:p>
            <w:pPr>
              <w:spacing w:after="0"/>
              <w:rPr>
                <w:sz w:val="24"/>
                <w:szCs w:val="24"/>
                <w:color w:val="auto"/>
              </w:rPr>
            </w:pPr>
          </w:p>
        </w:tc>
        <w:tc>
          <w:tcPr>
            <w:tcW w:w="7240" w:type="dxa"/>
            <w:vAlign w:val="bottom"/>
            <w:gridSpan w:val="12"/>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560" w:type="dxa"/>
            <w:vAlign w:val="bottom"/>
            <w:gridSpan w:val="2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 — June 30, 2009 and December 31, 2008</w:t>
              </w:r>
            </w:hyperlink>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3</w:t>
            </w: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540" w:type="dxa"/>
            <w:vAlign w:val="bottom"/>
            <w:tcBorders>
              <w:bottom w:val="single" w:sz="8" w:color="0000EE"/>
            </w:tcBorders>
            <w:gridSpan w:val="21"/>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CONSOLIDATED STATEMENT OF INCOME — Three and six months ended June 30, 2009 and 2008</w:t>
              </w:r>
            </w:hyperlink>
          </w:p>
        </w:tc>
        <w:tc>
          <w:tcPr>
            <w:tcW w:w="2020" w:type="dxa"/>
            <w:vAlign w:val="bottom"/>
            <w:gridSpan w:val="3"/>
          </w:tcPr>
          <w:p>
            <w:pPr>
              <w:spacing w:after="0"/>
              <w:rPr>
                <w:sz w:val="24"/>
                <w:szCs w:val="24"/>
                <w:color w:val="auto"/>
              </w:rPr>
            </w:pPr>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4</w:t>
            </w: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20" w:type="dxa"/>
            <w:vAlign w:val="bottom"/>
            <w:tcBorders>
              <w:bottom w:val="single" w:sz="8" w:color="0000EE"/>
            </w:tcBorders>
            <w:gridSpan w:val="20"/>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CONSOLIDATED STATEMENT OF CASH FLOWS — Six months ended June 30, 2009 and 2008</w:t>
              </w:r>
            </w:hyperlink>
          </w:p>
        </w:tc>
        <w:tc>
          <w:tcPr>
            <w:tcW w:w="2340" w:type="dxa"/>
            <w:vAlign w:val="bottom"/>
            <w:gridSpan w:val="4"/>
          </w:tcPr>
          <w:p>
            <w:pPr>
              <w:spacing w:after="0"/>
              <w:rPr>
                <w:sz w:val="24"/>
                <w:szCs w:val="24"/>
                <w:color w:val="auto"/>
              </w:rPr>
            </w:pPr>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5</w:t>
            </w: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560" w:type="dxa"/>
            <w:vAlign w:val="bottom"/>
            <w:gridSpan w:val="24"/>
          </w:tcPr>
          <w:p>
            <w:pPr>
              <w:spacing w:after="0"/>
              <w:rPr>
                <w:rFonts w:ascii="Arial" w:cs="Arial" w:eastAsia="Arial" w:hAnsi="Arial"/>
                <w:sz w:val="18"/>
                <w:szCs w:val="18"/>
                <w:color w:val="0000EE"/>
                <w:w w:val="94"/>
              </w:rPr>
            </w:pPr>
            <w:hyperlink w:anchor="page8">
              <w:r>
                <w:rPr>
                  <w:rFonts w:ascii="Arial" w:cs="Arial" w:eastAsia="Arial" w:hAnsi="Arial"/>
                  <w:sz w:val="18"/>
                  <w:szCs w:val="18"/>
                  <w:color w:val="0000EE"/>
                  <w:w w:val="94"/>
                </w:rPr>
                <w:t>CONSOLIDATED STATEMENT OF CHANGES IN STOCKHOLDERS’ EQUITY — Six months ended June 30, 2009 and 2008</w:t>
              </w:r>
            </w:hyperlink>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6</w:t>
            </w: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0" w:type="dxa"/>
            <w:vAlign w:val="bottom"/>
            <w:tcBorders>
              <w:top w:val="single" w:sz="8" w:color="0000EE"/>
            </w:tcBorders>
            <w:gridSpan w:val="23"/>
          </w:tcPr>
          <w:p>
            <w:pPr>
              <w:spacing w:after="0"/>
              <w:rPr>
                <w:rFonts w:ascii="Arial" w:cs="Arial" w:eastAsia="Arial" w:hAnsi="Arial"/>
                <w:sz w:val="18"/>
                <w:szCs w:val="18"/>
                <w:color w:val="0000EE"/>
                <w:w w:val="95"/>
              </w:rPr>
            </w:pPr>
            <w:hyperlink w:anchor="page8">
              <w:r>
                <w:rPr>
                  <w:rFonts w:ascii="Arial" w:cs="Arial" w:eastAsia="Arial" w:hAnsi="Arial"/>
                  <w:sz w:val="18"/>
                  <w:szCs w:val="18"/>
                  <w:color w:val="0000EE"/>
                  <w:w w:val="95"/>
                </w:rPr>
                <w:t>CONSOLIDATED SUMMARY OF CHANGES IN ALLOWANCE FOR CREDIT LOSSES — Six months ended June 30, 2009</w:t>
              </w:r>
            </w:hyperlink>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90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and 2008</w:t>
              </w:r>
            </w:hyperlink>
          </w:p>
        </w:tc>
        <w:tc>
          <w:tcPr>
            <w:tcW w:w="280" w:type="dxa"/>
            <w:vAlign w:val="bottom"/>
            <w:gridSpan w:val="2"/>
          </w:tcPr>
          <w:p>
            <w:pPr>
              <w:spacing w:after="0"/>
              <w:rPr>
                <w:sz w:val="17"/>
                <w:szCs w:val="17"/>
                <w:color w:val="auto"/>
              </w:rPr>
            </w:pPr>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6</w:t>
            </w: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60" w:type="dxa"/>
            <w:vAlign w:val="bottom"/>
            <w:tcBorders>
              <w:bottom w:val="single" w:sz="8" w:color="0000EE"/>
            </w:tcBorders>
            <w:gridSpan w:val="14"/>
          </w:tcPr>
          <w:p>
            <w:pPr>
              <w:spacing w:after="0"/>
              <w:rPr>
                <w:rFonts w:ascii="Arial" w:cs="Arial" w:eastAsia="Arial" w:hAnsi="Arial"/>
                <w:sz w:val="18"/>
                <w:szCs w:val="18"/>
                <w:color w:val="0000EE"/>
                <w:w w:val="95"/>
              </w:rPr>
            </w:pPr>
            <w:hyperlink w:anchor="page9">
              <w:r>
                <w:rPr>
                  <w:rFonts w:ascii="Arial" w:cs="Arial" w:eastAsia="Arial" w:hAnsi="Arial"/>
                  <w:sz w:val="18"/>
                  <w:szCs w:val="18"/>
                  <w:color w:val="0000EE"/>
                  <w:w w:val="95"/>
                </w:rPr>
                <w:t>NOTES TO FINANCIAL STATEMENTS</w:t>
              </w:r>
            </w:hyperlink>
          </w:p>
        </w:tc>
        <w:tc>
          <w:tcPr>
            <w:tcW w:w="6500" w:type="dxa"/>
            <w:vAlign w:val="bottom"/>
            <w:gridSpan w:val="10"/>
          </w:tcPr>
          <w:p>
            <w:pPr>
              <w:spacing w:after="0"/>
              <w:rPr>
                <w:sz w:val="24"/>
                <w:szCs w:val="24"/>
                <w:color w:val="auto"/>
              </w:rPr>
            </w:pPr>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7</w:t>
            </w:r>
          </w:p>
        </w:tc>
      </w:tr>
      <w:tr>
        <w:trPr>
          <w:trHeight w:val="412"/>
        </w:trPr>
        <w:tc>
          <w:tcPr>
            <w:tcW w:w="220" w:type="dxa"/>
            <w:vAlign w:val="bottom"/>
          </w:tcPr>
          <w:p>
            <w:pPr>
              <w:spacing w:after="0"/>
              <w:rPr>
                <w:sz w:val="24"/>
                <w:szCs w:val="24"/>
                <w:color w:val="auto"/>
              </w:rPr>
            </w:pPr>
          </w:p>
        </w:tc>
        <w:tc>
          <w:tcPr>
            <w:tcW w:w="9760" w:type="dxa"/>
            <w:vAlign w:val="bottom"/>
            <w:gridSpan w:val="25"/>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2. Management’s Discussion and Analysis of Financial Condition and Results of Operations.</w:t>
              </w:r>
            </w:hyperlink>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45</w:t>
            </w:r>
          </w:p>
        </w:tc>
      </w:tr>
      <w:tr>
        <w:trPr>
          <w:trHeight w:val="412"/>
        </w:trPr>
        <w:tc>
          <w:tcPr>
            <w:tcW w:w="220" w:type="dxa"/>
            <w:vAlign w:val="bottom"/>
          </w:tcPr>
          <w:p>
            <w:pPr>
              <w:spacing w:after="0"/>
              <w:rPr>
                <w:sz w:val="24"/>
                <w:szCs w:val="24"/>
                <w:color w:val="auto"/>
              </w:rPr>
            </w:pPr>
          </w:p>
        </w:tc>
        <w:tc>
          <w:tcPr>
            <w:tcW w:w="496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92"/>
              </w:rPr>
            </w:pPr>
            <w:hyperlink w:anchor="page92">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2720" w:type="dxa"/>
            <w:vAlign w:val="bottom"/>
            <w:gridSpan w:val="5"/>
          </w:tcPr>
          <w:p>
            <w:pPr>
              <w:spacing w:after="0"/>
              <w:rPr>
                <w:sz w:val="24"/>
                <w:szCs w:val="24"/>
                <w:color w:val="auto"/>
              </w:rPr>
            </w:pPr>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89</w:t>
            </w:r>
          </w:p>
        </w:tc>
      </w:tr>
      <w:tr>
        <w:trPr>
          <w:trHeight w:val="412"/>
        </w:trPr>
        <w:tc>
          <w:tcPr>
            <w:tcW w:w="220" w:type="dxa"/>
            <w:vAlign w:val="bottom"/>
          </w:tcPr>
          <w:p>
            <w:pPr>
              <w:spacing w:after="0"/>
              <w:rPr>
                <w:sz w:val="24"/>
                <w:szCs w:val="24"/>
                <w:color w:val="auto"/>
              </w:rPr>
            </w:pPr>
          </w:p>
        </w:tc>
        <w:tc>
          <w:tcPr>
            <w:tcW w:w="9760" w:type="dxa"/>
            <w:vAlign w:val="bottom"/>
            <w:gridSpan w:val="25"/>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Item 4. Controls and Procedures.</w:t>
              </w:r>
            </w:hyperlink>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89</w:t>
            </w:r>
          </w:p>
        </w:tc>
      </w:tr>
      <w:tr>
        <w:trPr>
          <w:trHeight w:val="20"/>
        </w:trPr>
        <w:tc>
          <w:tcPr>
            <w:tcW w:w="22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2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12"/>
        </w:trPr>
        <w:tc>
          <w:tcPr>
            <w:tcW w:w="2440" w:type="dxa"/>
            <w:vAlign w:val="bottom"/>
            <w:tcBorders>
              <w:bottom w:val="single" w:sz="8" w:color="0000EE"/>
            </w:tcBorders>
            <w:gridSpan w:val="12"/>
          </w:tcPr>
          <w:p>
            <w:pPr>
              <w:spacing w:after="0"/>
              <w:rPr>
                <w:rFonts w:ascii="Arial" w:cs="Arial" w:eastAsia="Arial" w:hAnsi="Arial"/>
                <w:sz w:val="18"/>
                <w:szCs w:val="18"/>
                <w:color w:val="0000EE"/>
                <w:w w:val="95"/>
              </w:rPr>
            </w:pPr>
            <w:hyperlink w:anchor="page92">
              <w:r>
                <w:rPr>
                  <w:rFonts w:ascii="Arial" w:cs="Arial" w:eastAsia="Arial" w:hAnsi="Arial"/>
                  <w:sz w:val="18"/>
                  <w:szCs w:val="18"/>
                  <w:color w:val="0000EE"/>
                  <w:w w:val="95"/>
                </w:rPr>
                <w:t>Part II. OTHER INFORMATION</w:t>
              </w:r>
            </w:hyperlink>
          </w:p>
        </w:tc>
        <w:tc>
          <w:tcPr>
            <w:tcW w:w="7540" w:type="dxa"/>
            <w:vAlign w:val="bottom"/>
            <w:gridSpan w:val="14"/>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12"/>
        </w:trPr>
        <w:tc>
          <w:tcPr>
            <w:tcW w:w="220" w:type="dxa"/>
            <w:vAlign w:val="bottom"/>
          </w:tcPr>
          <w:p>
            <w:pPr>
              <w:spacing w:after="0"/>
              <w:rPr>
                <w:sz w:val="24"/>
                <w:szCs w:val="24"/>
                <w:color w:val="auto"/>
              </w:rPr>
            </w:pPr>
          </w:p>
        </w:tc>
        <w:tc>
          <w:tcPr>
            <w:tcW w:w="9760" w:type="dxa"/>
            <w:vAlign w:val="bottom"/>
            <w:gridSpan w:val="25"/>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Item 1. Legal Proceedings.</w:t>
              </w:r>
            </w:hyperlink>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89</w:t>
            </w:r>
          </w:p>
        </w:tc>
      </w:tr>
      <w:tr>
        <w:trPr>
          <w:trHeight w:val="412"/>
        </w:trPr>
        <w:tc>
          <w:tcPr>
            <w:tcW w:w="220" w:type="dxa"/>
            <w:vAlign w:val="bottom"/>
          </w:tcPr>
          <w:p>
            <w:pPr>
              <w:spacing w:after="0"/>
              <w:rPr>
                <w:sz w:val="24"/>
                <w:szCs w:val="24"/>
                <w:color w:val="auto"/>
              </w:rPr>
            </w:pPr>
          </w:p>
        </w:tc>
        <w:tc>
          <w:tcPr>
            <w:tcW w:w="1920" w:type="dxa"/>
            <w:vAlign w:val="bottom"/>
            <w:tcBorders>
              <w:top w:val="single" w:sz="8" w:color="0000EE"/>
            </w:tcBorders>
            <w:gridSpan w:val="9"/>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Item 1A. Risk Factors.</w:t>
              </w:r>
            </w:hyperlink>
          </w:p>
        </w:tc>
        <w:tc>
          <w:tcPr>
            <w:tcW w:w="7840" w:type="dxa"/>
            <w:vAlign w:val="bottom"/>
            <w:gridSpan w:val="16"/>
          </w:tcPr>
          <w:p>
            <w:pPr>
              <w:spacing w:after="0"/>
              <w:rPr>
                <w:sz w:val="24"/>
                <w:szCs w:val="24"/>
                <w:color w:val="auto"/>
              </w:rPr>
            </w:pPr>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89</w:t>
            </w:r>
          </w:p>
        </w:tc>
      </w:tr>
      <w:tr>
        <w:trPr>
          <w:trHeight w:val="20"/>
        </w:trPr>
        <w:tc>
          <w:tcPr>
            <w:tcW w:w="22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20" w:type="dxa"/>
            <w:vAlign w:val="bottom"/>
            <w:gridSpan w:val="8"/>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494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93">
              <w:r>
                <w:rPr>
                  <w:rFonts w:ascii="Arial" w:cs="Arial" w:eastAsia="Arial" w:hAnsi="Arial"/>
                  <w:sz w:val="18"/>
                  <w:szCs w:val="18"/>
                  <w:color w:val="0000EE"/>
                  <w:w w:val="89"/>
                </w:rPr>
                <w:t>Item 2. Unregistered Sales of Equity Securities and Use of Proceeds.</w:t>
              </w:r>
            </w:hyperlink>
          </w:p>
        </w:tc>
        <w:tc>
          <w:tcPr>
            <w:tcW w:w="4820" w:type="dxa"/>
            <w:vAlign w:val="bottom"/>
            <w:gridSpan w:val="8"/>
          </w:tcPr>
          <w:p>
            <w:pPr>
              <w:spacing w:after="0"/>
              <w:rPr>
                <w:sz w:val="24"/>
                <w:szCs w:val="24"/>
                <w:color w:val="auto"/>
              </w:rPr>
            </w:pPr>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90</w:t>
            </w:r>
          </w:p>
        </w:tc>
      </w:tr>
      <w:tr>
        <w:trPr>
          <w:trHeight w:val="412"/>
        </w:trPr>
        <w:tc>
          <w:tcPr>
            <w:tcW w:w="220" w:type="dxa"/>
            <w:vAlign w:val="bottom"/>
          </w:tcPr>
          <w:p>
            <w:pPr>
              <w:spacing w:after="0"/>
              <w:rPr>
                <w:sz w:val="24"/>
                <w:szCs w:val="24"/>
                <w:color w:val="auto"/>
              </w:rPr>
            </w:pPr>
          </w:p>
        </w:tc>
        <w:tc>
          <w:tcPr>
            <w:tcW w:w="292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93">
              <w:r>
                <w:rPr>
                  <w:rFonts w:ascii="Arial" w:cs="Arial" w:eastAsia="Arial" w:hAnsi="Arial"/>
                  <w:sz w:val="18"/>
                  <w:szCs w:val="18"/>
                  <w:color w:val="0000EE"/>
                  <w:w w:val="90"/>
                </w:rPr>
                <w:t>Item 3. Defaults Upon Senior Securities.</w:t>
              </w:r>
            </w:hyperlink>
          </w:p>
        </w:tc>
        <w:tc>
          <w:tcPr>
            <w:tcW w:w="6840" w:type="dxa"/>
            <w:vAlign w:val="bottom"/>
            <w:gridSpan w:val="11"/>
          </w:tcPr>
          <w:p>
            <w:pPr>
              <w:spacing w:after="0"/>
              <w:rPr>
                <w:sz w:val="24"/>
                <w:szCs w:val="24"/>
                <w:color w:val="auto"/>
              </w:rPr>
            </w:pPr>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90</w:t>
            </w:r>
          </w:p>
        </w:tc>
      </w:tr>
      <w:tr>
        <w:trPr>
          <w:trHeight w:val="412"/>
        </w:trPr>
        <w:tc>
          <w:tcPr>
            <w:tcW w:w="220" w:type="dxa"/>
            <w:vAlign w:val="bottom"/>
          </w:tcPr>
          <w:p>
            <w:pPr>
              <w:spacing w:after="0"/>
              <w:rPr>
                <w:sz w:val="24"/>
                <w:szCs w:val="24"/>
                <w:color w:val="auto"/>
              </w:rPr>
            </w:pPr>
          </w:p>
        </w:tc>
        <w:tc>
          <w:tcPr>
            <w:tcW w:w="43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93">
              <w:r>
                <w:rPr>
                  <w:rFonts w:ascii="Arial" w:cs="Arial" w:eastAsia="Arial" w:hAnsi="Arial"/>
                  <w:sz w:val="18"/>
                  <w:szCs w:val="18"/>
                  <w:color w:val="0000EE"/>
                  <w:w w:val="90"/>
                </w:rPr>
                <w:t>Item 4. Submission of Matters to a Vote of Security Holders.</w:t>
              </w:r>
            </w:hyperlink>
          </w:p>
        </w:tc>
        <w:tc>
          <w:tcPr>
            <w:tcW w:w="5400" w:type="dxa"/>
            <w:vAlign w:val="bottom"/>
            <w:gridSpan w:val="9"/>
          </w:tcPr>
          <w:p>
            <w:pPr>
              <w:spacing w:after="0"/>
              <w:rPr>
                <w:sz w:val="24"/>
                <w:szCs w:val="24"/>
                <w:color w:val="auto"/>
              </w:rPr>
            </w:pPr>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90</w:t>
            </w:r>
          </w:p>
        </w:tc>
      </w:tr>
      <w:tr>
        <w:trPr>
          <w:trHeight w:val="412"/>
        </w:trPr>
        <w:tc>
          <w:tcPr>
            <w:tcW w:w="220" w:type="dxa"/>
            <w:vAlign w:val="bottom"/>
          </w:tcPr>
          <w:p>
            <w:pPr>
              <w:spacing w:after="0"/>
              <w:rPr>
                <w:sz w:val="24"/>
                <w:szCs w:val="24"/>
                <w:color w:val="auto"/>
              </w:rPr>
            </w:pPr>
          </w:p>
        </w:tc>
        <w:tc>
          <w:tcPr>
            <w:tcW w:w="9760" w:type="dxa"/>
            <w:vAlign w:val="bottom"/>
            <w:gridSpan w:val="25"/>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Item 5. Other Information.</w:t>
              </w:r>
            </w:hyperlink>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90</w:t>
            </w:r>
          </w:p>
        </w:tc>
      </w:tr>
      <w:tr>
        <w:trPr>
          <w:trHeight w:val="412"/>
        </w:trPr>
        <w:tc>
          <w:tcPr>
            <w:tcW w:w="220" w:type="dxa"/>
            <w:vAlign w:val="bottom"/>
          </w:tcPr>
          <w:p>
            <w:pPr>
              <w:spacing w:after="0"/>
              <w:rPr>
                <w:sz w:val="24"/>
                <w:szCs w:val="24"/>
                <w:color w:val="auto"/>
              </w:rPr>
            </w:pPr>
          </w:p>
        </w:tc>
        <w:tc>
          <w:tcPr>
            <w:tcW w:w="12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2"/>
              </w:rPr>
            </w:pPr>
            <w:hyperlink w:anchor="page94">
              <w:r>
                <w:rPr>
                  <w:rFonts w:ascii="Arial" w:cs="Arial" w:eastAsia="Arial" w:hAnsi="Arial"/>
                  <w:sz w:val="18"/>
                  <w:szCs w:val="18"/>
                  <w:color w:val="0000EE"/>
                  <w:w w:val="92"/>
                </w:rPr>
                <w:t>Item 6. Exhibits.</w:t>
              </w:r>
            </w:hyperlink>
          </w:p>
        </w:tc>
        <w:tc>
          <w:tcPr>
            <w:tcW w:w="700" w:type="dxa"/>
            <w:vAlign w:val="bottom"/>
            <w:tcBorders>
              <w:top w:val="single" w:sz="8" w:color="0000EE"/>
            </w:tcBorders>
            <w:gridSpan w:val="2"/>
          </w:tcPr>
          <w:p>
            <w:pPr>
              <w:spacing w:after="0"/>
              <w:rPr>
                <w:sz w:val="24"/>
                <w:szCs w:val="24"/>
                <w:color w:val="auto"/>
              </w:rPr>
            </w:pPr>
          </w:p>
        </w:tc>
        <w:tc>
          <w:tcPr>
            <w:tcW w:w="7860" w:type="dxa"/>
            <w:vAlign w:val="bottom"/>
            <w:gridSpan w:val="17"/>
          </w:tcPr>
          <w:p>
            <w:pPr>
              <w:spacing w:after="0"/>
              <w:rPr>
                <w:sz w:val="24"/>
                <w:szCs w:val="24"/>
                <w:color w:val="auto"/>
              </w:rPr>
            </w:pPr>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91</w:t>
            </w:r>
          </w:p>
        </w:tc>
      </w:tr>
      <w:tr>
        <w:trPr>
          <w:trHeight w:val="412"/>
        </w:trPr>
        <w:tc>
          <w:tcPr>
            <w:tcW w:w="9980" w:type="dxa"/>
            <w:vAlign w:val="bottom"/>
            <w:gridSpan w:val="26"/>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SIGNATURES</w:t>
              </w:r>
            </w:hyperlink>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91</w:t>
            </w:r>
          </w:p>
        </w:tc>
      </w:tr>
      <w:tr>
        <w:trPr>
          <w:trHeight w:val="20"/>
        </w:trPr>
        <w:tc>
          <w:tcPr>
            <w:tcW w:w="1100" w:type="dxa"/>
            <w:vAlign w:val="bottom"/>
            <w:gridSpan w:val="4"/>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640" w:type="dxa"/>
            <w:vAlign w:val="bottom"/>
            <w:gridSpan w:val="2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412"/>
        </w:trPr>
        <w:tc>
          <w:tcPr>
            <w:tcW w:w="1340" w:type="dxa"/>
            <w:vAlign w:val="bottom"/>
            <w:tcBorders>
              <w:bottom w:val="single" w:sz="8" w:color="0000EE"/>
            </w:tcBorders>
            <w:gridSpan w:val="6"/>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EXHIBIT INDEX</w:t>
              </w:r>
            </w:hyperlink>
          </w:p>
        </w:tc>
        <w:tc>
          <w:tcPr>
            <w:tcW w:w="8640" w:type="dxa"/>
            <w:vAlign w:val="bottom"/>
            <w:gridSpan w:val="20"/>
          </w:tcPr>
          <w:p>
            <w:pPr>
              <w:spacing w:after="0"/>
              <w:rPr>
                <w:sz w:val="24"/>
                <w:szCs w:val="24"/>
                <w:color w:val="auto"/>
              </w:rPr>
            </w:pPr>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92</w:t>
            </w: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333" w:lineRule="exact"/>
        <w:rPr>
          <w:sz w:val="20"/>
          <w:szCs w:val="20"/>
          <w:color w:val="auto"/>
        </w:rPr>
      </w:pPr>
    </w:p>
    <w:p>
      <w:pPr>
        <w:ind w:right="3720" w:firstLine="3721"/>
        <w:spacing w:after="0" w:line="402" w:lineRule="auto"/>
        <w:rPr>
          <w:sz w:val="20"/>
          <w:szCs w:val="20"/>
          <w:color w:val="auto"/>
        </w:rPr>
      </w:pPr>
      <w:r>
        <w:rPr>
          <w:rFonts w:ascii="Arial" w:cs="Arial" w:eastAsia="Arial" w:hAnsi="Arial"/>
          <w:sz w:val="18"/>
          <w:szCs w:val="18"/>
          <w:color w:val="auto"/>
        </w:rPr>
        <w:t>M&amp;T BANK CORPORATION AND SUBSIDIARIES CONSOLIDATED BALANCE SHEET (Unaudited)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jc w:val="right"/>
              <w:ind w:right="651"/>
              <w:spacing w:after="0"/>
              <w:rPr>
                <w:sz w:val="20"/>
                <w:szCs w:val="20"/>
                <w:color w:val="auto"/>
              </w:rPr>
            </w:pPr>
            <w:r>
              <w:rPr>
                <w:rFonts w:ascii="Arial" w:cs="Arial" w:eastAsia="Arial" w:hAnsi="Arial"/>
                <w:sz w:val="14"/>
                <w:szCs w:val="14"/>
                <w:color w:val="auto"/>
              </w:rPr>
              <w:t>June 30,</w:t>
            </w:r>
          </w:p>
        </w:tc>
        <w:tc>
          <w:tcPr>
            <w:tcW w:w="1620" w:type="dxa"/>
            <w:vAlign w:val="bottom"/>
          </w:tcPr>
          <w:p>
            <w:pPr>
              <w:jc w:val="right"/>
              <w:ind w:right="211"/>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4"/>
        </w:trPr>
        <w:tc>
          <w:tcPr>
            <w:tcW w:w="796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 except per share</w:t>
            </w:r>
          </w:p>
        </w:tc>
        <w:tc>
          <w:tcPr>
            <w:tcW w:w="460" w:type="dxa"/>
            <w:vAlign w:val="bottom"/>
          </w:tcPr>
          <w:p>
            <w:pPr>
              <w:spacing w:after="0"/>
              <w:rPr>
                <w:sz w:val="15"/>
                <w:szCs w:val="15"/>
                <w:color w:val="auto"/>
              </w:rPr>
            </w:pPr>
          </w:p>
        </w:tc>
        <w:tc>
          <w:tcPr>
            <w:tcW w:w="1380" w:type="dxa"/>
            <w:vAlign w:val="bottom"/>
          </w:tcPr>
          <w:p>
            <w:pPr>
              <w:jc w:val="right"/>
              <w:ind w:right="751"/>
              <w:spacing w:after="0"/>
              <w:rPr>
                <w:sz w:val="20"/>
                <w:szCs w:val="20"/>
                <w:color w:val="auto"/>
              </w:rPr>
            </w:pPr>
            <w:r>
              <w:rPr>
                <w:rFonts w:ascii="Arial" w:cs="Arial" w:eastAsia="Arial" w:hAnsi="Arial"/>
                <w:sz w:val="14"/>
                <w:szCs w:val="14"/>
                <w:color w:val="auto"/>
              </w:rPr>
              <w:t>2009</w:t>
            </w:r>
          </w:p>
        </w:tc>
        <w:tc>
          <w:tcPr>
            <w:tcW w:w="1620" w:type="dxa"/>
            <w:vAlign w:val="bottom"/>
          </w:tcPr>
          <w:p>
            <w:pPr>
              <w:jc w:val="right"/>
              <w:ind w:right="471"/>
              <w:spacing w:after="0"/>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4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Cash and due from banks</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71"/>
              <w:spacing w:after="0"/>
              <w:rPr>
                <w:sz w:val="20"/>
                <w:szCs w:val="20"/>
                <w:color w:val="auto"/>
              </w:rPr>
            </w:pPr>
            <w:r>
              <w:rPr>
                <w:rFonts w:ascii="Arial" w:cs="Arial" w:eastAsia="Arial" w:hAnsi="Arial"/>
                <w:sz w:val="18"/>
                <w:szCs w:val="18"/>
                <w:color w:val="auto"/>
                <w:w w:val="99"/>
              </w:rPr>
              <w:t>1,148,428</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1,546,804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Interest-bearing deposits at banks</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59,950</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10,284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Federal funds sold</w:t>
            </w:r>
          </w:p>
        </w:tc>
        <w:tc>
          <w:tcPr>
            <w:tcW w:w="460" w:type="dxa"/>
            <w:vAlign w:val="bottom"/>
          </w:tcPr>
          <w:p>
            <w:pPr>
              <w:spacing w:after="0"/>
              <w:rPr>
                <w:sz w:val="18"/>
                <w:szCs w:val="18"/>
                <w:color w:val="auto"/>
              </w:rPr>
            </w:pPr>
          </w:p>
        </w:tc>
        <w:tc>
          <w:tcPr>
            <w:tcW w:w="1380" w:type="dxa"/>
            <w:vAlign w:val="bottom"/>
          </w:tcPr>
          <w:p>
            <w:pPr>
              <w:jc w:val="right"/>
              <w:ind w:right="471"/>
              <w:spacing w:after="0"/>
              <w:rPr>
                <w:sz w:val="20"/>
                <w:szCs w:val="20"/>
                <w:color w:val="auto"/>
              </w:rPr>
            </w:pPr>
            <w:r>
              <w:rPr>
                <w:rFonts w:ascii="Arial" w:cs="Arial" w:eastAsia="Arial" w:hAnsi="Arial"/>
                <w:sz w:val="18"/>
                <w:szCs w:val="18"/>
                <w:color w:val="auto"/>
              </w:rPr>
              <w:t>2,300</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21,347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Agreements to resell securities</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Trading account</w:t>
            </w:r>
          </w:p>
        </w:tc>
        <w:tc>
          <w:tcPr>
            <w:tcW w:w="460" w:type="dxa"/>
            <w:vAlign w:val="bottom"/>
          </w:tcPr>
          <w:p>
            <w:pPr>
              <w:spacing w:after="0"/>
              <w:rPr>
                <w:sz w:val="18"/>
                <w:szCs w:val="18"/>
                <w:color w:val="auto"/>
              </w:rPr>
            </w:pPr>
          </w:p>
        </w:tc>
        <w:tc>
          <w:tcPr>
            <w:tcW w:w="1380" w:type="dxa"/>
            <w:vAlign w:val="bottom"/>
          </w:tcPr>
          <w:p>
            <w:pPr>
              <w:jc w:val="right"/>
              <w:ind w:right="471"/>
              <w:spacing w:after="0"/>
              <w:rPr>
                <w:sz w:val="20"/>
                <w:szCs w:val="20"/>
                <w:color w:val="auto"/>
              </w:rPr>
            </w:pPr>
            <w:r>
              <w:rPr>
                <w:rFonts w:ascii="Arial" w:cs="Arial" w:eastAsia="Arial" w:hAnsi="Arial"/>
                <w:sz w:val="18"/>
                <w:szCs w:val="18"/>
                <w:color w:val="auto"/>
              </w:rPr>
              <w:t>495,324</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617,821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Investment securities (includes pledged securities that can be sold or repledged of $4,429,821 at</w:t>
            </w:r>
          </w:p>
        </w:tc>
        <w:tc>
          <w:tcPr>
            <w:tcW w:w="4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June 30, 2009; $1,870,097 at December 31, 2008)</w:t>
            </w:r>
          </w:p>
        </w:tc>
        <w:tc>
          <w:tcPr>
            <w:tcW w:w="4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00"/>
              <w:spacing w:after="0"/>
              <w:rPr>
                <w:sz w:val="20"/>
                <w:szCs w:val="20"/>
                <w:color w:val="auto"/>
              </w:rPr>
            </w:pPr>
            <w:r>
              <w:rPr>
                <w:rFonts w:ascii="Arial" w:cs="Arial" w:eastAsia="Arial" w:hAnsi="Arial"/>
                <w:sz w:val="18"/>
                <w:szCs w:val="18"/>
                <w:color w:val="auto"/>
              </w:rPr>
              <w:t>Available for sale (cost: $7,531,537 at June 30, 2009; $7,656,635 at December 31, 2008)</w:t>
            </w:r>
          </w:p>
        </w:tc>
        <w:tc>
          <w:tcPr>
            <w:tcW w:w="460" w:type="dxa"/>
            <w:vAlign w:val="bottom"/>
          </w:tcPr>
          <w:p>
            <w:pPr>
              <w:spacing w:after="0"/>
              <w:rPr>
                <w:sz w:val="18"/>
                <w:szCs w:val="18"/>
                <w:color w:val="auto"/>
              </w:rPr>
            </w:pPr>
          </w:p>
        </w:tc>
        <w:tc>
          <w:tcPr>
            <w:tcW w:w="1380" w:type="dxa"/>
            <w:vAlign w:val="bottom"/>
          </w:tcPr>
          <w:p>
            <w:pPr>
              <w:jc w:val="right"/>
              <w:ind w:right="471"/>
              <w:spacing w:after="0"/>
              <w:rPr>
                <w:sz w:val="20"/>
                <w:szCs w:val="20"/>
                <w:color w:val="auto"/>
              </w:rPr>
            </w:pPr>
            <w:r>
              <w:rPr>
                <w:rFonts w:ascii="Arial" w:cs="Arial" w:eastAsia="Arial" w:hAnsi="Arial"/>
                <w:sz w:val="18"/>
                <w:szCs w:val="18"/>
                <w:color w:val="auto"/>
                <w:w w:val="99"/>
              </w:rPr>
              <w:t>6,963,004</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6,850,193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Held to maturity (fair value: $414,173 at June 30, 2009; $394,752 at December 31, 2008)</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610,777</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485,838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Other (fair value: $581,653 at June 30, 2009; $583,176 at December 31, 2008)</w:t>
            </w:r>
          </w:p>
        </w:tc>
        <w:tc>
          <w:tcPr>
            <w:tcW w:w="4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581,653</w:t>
            </w:r>
          </w:p>
        </w:tc>
        <w:tc>
          <w:tcPr>
            <w:tcW w:w="16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583,176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Total investment securities</w:t>
            </w:r>
          </w:p>
        </w:tc>
        <w:tc>
          <w:tcPr>
            <w:tcW w:w="4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8"/>
                <w:szCs w:val="18"/>
                <w:color w:val="auto"/>
                <w:w w:val="99"/>
              </w:rPr>
              <w:t>8,155,434</w:t>
            </w:r>
          </w:p>
        </w:tc>
        <w:tc>
          <w:tcPr>
            <w:tcW w:w="16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7,919,207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Loans and leases</w:t>
            </w:r>
          </w:p>
        </w:tc>
        <w:tc>
          <w:tcPr>
            <w:tcW w:w="460" w:type="dxa"/>
            <w:vAlign w:val="bottom"/>
          </w:tcPr>
          <w:p>
            <w:pPr>
              <w:spacing w:after="0"/>
              <w:rPr>
                <w:sz w:val="19"/>
                <w:szCs w:val="19"/>
                <w:color w:val="auto"/>
              </w:rPr>
            </w:pPr>
          </w:p>
        </w:tc>
        <w:tc>
          <w:tcPr>
            <w:tcW w:w="1380" w:type="dxa"/>
            <w:vAlign w:val="bottom"/>
          </w:tcPr>
          <w:p>
            <w:pPr>
              <w:jc w:val="right"/>
              <w:ind w:right="471"/>
              <w:spacing w:after="0"/>
              <w:rPr>
                <w:sz w:val="20"/>
                <w:szCs w:val="20"/>
                <w:color w:val="auto"/>
              </w:rPr>
            </w:pPr>
            <w:r>
              <w:rPr>
                <w:rFonts w:ascii="Arial" w:cs="Arial" w:eastAsia="Arial" w:hAnsi="Arial"/>
                <w:sz w:val="18"/>
                <w:szCs w:val="18"/>
                <w:color w:val="auto"/>
                <w:w w:val="88"/>
              </w:rPr>
              <w:t>53,075,393</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49,359,737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Unearned discount</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(360,749)</w:t>
            </w:r>
          </w:p>
        </w:tc>
        <w:tc>
          <w:tcPr>
            <w:tcW w:w="16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(359,274)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Allowance for credit losses</w:t>
            </w:r>
          </w:p>
        </w:tc>
        <w:tc>
          <w:tcPr>
            <w:tcW w:w="4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(855,365)</w:t>
            </w:r>
          </w:p>
        </w:tc>
        <w:tc>
          <w:tcPr>
            <w:tcW w:w="16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(787,904)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Loans and leases, net</w:t>
            </w:r>
          </w:p>
        </w:tc>
        <w:tc>
          <w:tcPr>
            <w:tcW w:w="4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8"/>
                <w:szCs w:val="18"/>
                <w:color w:val="auto"/>
                <w:w w:val="88"/>
              </w:rPr>
              <w:t>51,859,279</w:t>
            </w:r>
          </w:p>
        </w:tc>
        <w:tc>
          <w:tcPr>
            <w:tcW w:w="16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48,212,559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Premises and equipment</w:t>
            </w:r>
          </w:p>
        </w:tc>
        <w:tc>
          <w:tcPr>
            <w:tcW w:w="460" w:type="dxa"/>
            <w:vAlign w:val="bottom"/>
          </w:tcPr>
          <w:p>
            <w:pPr>
              <w:spacing w:after="0"/>
              <w:rPr>
                <w:sz w:val="19"/>
                <w:szCs w:val="19"/>
                <w:color w:val="auto"/>
              </w:rPr>
            </w:pPr>
          </w:p>
        </w:tc>
        <w:tc>
          <w:tcPr>
            <w:tcW w:w="1380" w:type="dxa"/>
            <w:vAlign w:val="bottom"/>
          </w:tcPr>
          <w:p>
            <w:pPr>
              <w:jc w:val="right"/>
              <w:ind w:right="471"/>
              <w:spacing w:after="0"/>
              <w:rPr>
                <w:sz w:val="20"/>
                <w:szCs w:val="20"/>
                <w:color w:val="auto"/>
              </w:rPr>
            </w:pPr>
            <w:r>
              <w:rPr>
                <w:rFonts w:ascii="Arial" w:cs="Arial" w:eastAsia="Arial" w:hAnsi="Arial"/>
                <w:sz w:val="18"/>
                <w:szCs w:val="18"/>
                <w:color w:val="auto"/>
              </w:rPr>
              <w:t>442,162</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388,855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w w:val="99"/>
              </w:rPr>
              <w:t>3,524,625</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3,192,128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Core deposit and other intangible assets</w:t>
            </w:r>
          </w:p>
        </w:tc>
        <w:tc>
          <w:tcPr>
            <w:tcW w:w="460" w:type="dxa"/>
            <w:vAlign w:val="bottom"/>
          </w:tcPr>
          <w:p>
            <w:pPr>
              <w:spacing w:after="0"/>
              <w:rPr>
                <w:sz w:val="18"/>
                <w:szCs w:val="18"/>
                <w:color w:val="auto"/>
              </w:rPr>
            </w:pPr>
          </w:p>
        </w:tc>
        <w:tc>
          <w:tcPr>
            <w:tcW w:w="1380" w:type="dxa"/>
            <w:vAlign w:val="bottom"/>
          </w:tcPr>
          <w:p>
            <w:pPr>
              <w:jc w:val="right"/>
              <w:ind w:right="471"/>
              <w:spacing w:after="0"/>
              <w:rPr>
                <w:sz w:val="20"/>
                <w:szCs w:val="20"/>
                <w:color w:val="auto"/>
              </w:rPr>
            </w:pPr>
            <w:r>
              <w:rPr>
                <w:rFonts w:ascii="Arial" w:cs="Arial" w:eastAsia="Arial" w:hAnsi="Arial"/>
                <w:sz w:val="18"/>
                <w:szCs w:val="18"/>
                <w:color w:val="auto"/>
              </w:rPr>
              <w:t>216,072</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183,496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Accrued interest and other assets</w:t>
            </w:r>
          </w:p>
        </w:tc>
        <w:tc>
          <w:tcPr>
            <w:tcW w:w="4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8"/>
                <w:szCs w:val="18"/>
                <w:color w:val="auto"/>
                <w:w w:val="99"/>
              </w:rPr>
              <w:t>4,009,643</w:t>
            </w:r>
          </w:p>
        </w:tc>
        <w:tc>
          <w:tcPr>
            <w:tcW w:w="16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3,633,256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Total assets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w w:val="88"/>
              </w:rPr>
              <w:t>69,913,217</w:t>
            </w:r>
          </w:p>
        </w:tc>
        <w:tc>
          <w:tcPr>
            <w:tcW w:w="16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65,815,757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Noninterest-bearing deposits</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71"/>
              <w:spacing w:after="0"/>
              <w:rPr>
                <w:sz w:val="20"/>
                <w:szCs w:val="20"/>
                <w:color w:val="auto"/>
              </w:rPr>
            </w:pPr>
            <w:r>
              <w:rPr>
                <w:rFonts w:ascii="Arial" w:cs="Arial" w:eastAsia="Arial" w:hAnsi="Arial"/>
                <w:sz w:val="18"/>
                <w:szCs w:val="18"/>
                <w:color w:val="auto"/>
                <w:w w:val="88"/>
              </w:rPr>
              <w:t>12,403,999</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8,856,114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NOW accounts</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w w:val="99"/>
              </w:rPr>
              <w:t>1,162,023</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1,141,308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Savings deposits</w:t>
            </w:r>
          </w:p>
        </w:tc>
        <w:tc>
          <w:tcPr>
            <w:tcW w:w="460" w:type="dxa"/>
            <w:vAlign w:val="bottom"/>
          </w:tcPr>
          <w:p>
            <w:pPr>
              <w:spacing w:after="0"/>
              <w:rPr>
                <w:sz w:val="18"/>
                <w:szCs w:val="18"/>
                <w:color w:val="auto"/>
              </w:rPr>
            </w:pPr>
          </w:p>
        </w:tc>
        <w:tc>
          <w:tcPr>
            <w:tcW w:w="1380" w:type="dxa"/>
            <w:vAlign w:val="bottom"/>
          </w:tcPr>
          <w:p>
            <w:pPr>
              <w:jc w:val="right"/>
              <w:ind w:right="471"/>
              <w:spacing w:after="0"/>
              <w:rPr>
                <w:sz w:val="20"/>
                <w:szCs w:val="20"/>
                <w:color w:val="auto"/>
              </w:rPr>
            </w:pPr>
            <w:r>
              <w:rPr>
                <w:rFonts w:ascii="Arial" w:cs="Arial" w:eastAsia="Arial" w:hAnsi="Arial"/>
                <w:sz w:val="18"/>
                <w:szCs w:val="18"/>
                <w:color w:val="auto"/>
                <w:w w:val="88"/>
              </w:rPr>
              <w:t>22,519,330</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19,488,918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Time deposits</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w w:val="99"/>
              </w:rPr>
              <w:t>9,584,351</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9,046,937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Deposits at foreign office</w:t>
            </w:r>
          </w:p>
        </w:tc>
        <w:tc>
          <w:tcPr>
            <w:tcW w:w="4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w w:val="99"/>
              </w:rPr>
              <w:t>1,085,004</w:t>
            </w:r>
          </w:p>
        </w:tc>
        <w:tc>
          <w:tcPr>
            <w:tcW w:w="16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4,047,986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Total deposits</w:t>
            </w:r>
          </w:p>
        </w:tc>
        <w:tc>
          <w:tcPr>
            <w:tcW w:w="4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8"/>
                <w:szCs w:val="18"/>
                <w:color w:val="auto"/>
                <w:w w:val="88"/>
              </w:rPr>
              <w:t>46,754,707</w:t>
            </w:r>
          </w:p>
        </w:tc>
        <w:tc>
          <w:tcPr>
            <w:tcW w:w="16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42,581,263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Federal funds purchased and agreements to repurchase securities</w:t>
            </w:r>
          </w:p>
        </w:tc>
        <w:tc>
          <w:tcPr>
            <w:tcW w:w="460" w:type="dxa"/>
            <w:vAlign w:val="bottom"/>
          </w:tcPr>
          <w:p>
            <w:pPr>
              <w:spacing w:after="0"/>
              <w:rPr>
                <w:sz w:val="19"/>
                <w:szCs w:val="19"/>
                <w:color w:val="auto"/>
              </w:rPr>
            </w:pPr>
          </w:p>
        </w:tc>
        <w:tc>
          <w:tcPr>
            <w:tcW w:w="1380" w:type="dxa"/>
            <w:vAlign w:val="bottom"/>
          </w:tcPr>
          <w:p>
            <w:pPr>
              <w:jc w:val="right"/>
              <w:ind w:right="471"/>
              <w:spacing w:after="0"/>
              <w:rPr>
                <w:sz w:val="20"/>
                <w:szCs w:val="20"/>
                <w:color w:val="auto"/>
              </w:rPr>
            </w:pPr>
            <w:r>
              <w:rPr>
                <w:rFonts w:ascii="Arial" w:cs="Arial" w:eastAsia="Arial" w:hAnsi="Arial"/>
                <w:sz w:val="18"/>
                <w:szCs w:val="18"/>
                <w:color w:val="auto"/>
              </w:rPr>
              <w:t>901,422</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970,529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short-term borrowings</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w w:val="99"/>
              </w:rPr>
              <w:t>2,049,727</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2,039,206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Accrued interest and other liabilities</w:t>
            </w:r>
          </w:p>
        </w:tc>
        <w:tc>
          <w:tcPr>
            <w:tcW w:w="460" w:type="dxa"/>
            <w:vAlign w:val="bottom"/>
          </w:tcPr>
          <w:p>
            <w:pPr>
              <w:spacing w:after="0"/>
              <w:rPr>
                <w:sz w:val="18"/>
                <w:szCs w:val="18"/>
                <w:color w:val="auto"/>
              </w:rPr>
            </w:pPr>
          </w:p>
        </w:tc>
        <w:tc>
          <w:tcPr>
            <w:tcW w:w="1380" w:type="dxa"/>
            <w:vAlign w:val="bottom"/>
          </w:tcPr>
          <w:p>
            <w:pPr>
              <w:jc w:val="right"/>
              <w:ind w:right="471"/>
              <w:spacing w:after="0"/>
              <w:rPr>
                <w:sz w:val="20"/>
                <w:szCs w:val="20"/>
                <w:color w:val="auto"/>
              </w:rPr>
            </w:pPr>
            <w:r>
              <w:rPr>
                <w:rFonts w:ascii="Arial" w:cs="Arial" w:eastAsia="Arial" w:hAnsi="Arial"/>
                <w:sz w:val="18"/>
                <w:szCs w:val="18"/>
                <w:color w:val="auto"/>
                <w:w w:val="99"/>
              </w:rPr>
              <w:t>1,238,959</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1,364,879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Long-term borrowings</w:t>
            </w:r>
          </w:p>
        </w:tc>
        <w:tc>
          <w:tcPr>
            <w:tcW w:w="4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8"/>
                <w:szCs w:val="18"/>
                <w:color w:val="auto"/>
                <w:w w:val="88"/>
              </w:rPr>
              <w:t>11,568,238</w:t>
            </w:r>
          </w:p>
        </w:tc>
        <w:tc>
          <w:tcPr>
            <w:tcW w:w="16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12,075,149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Total liabilities</w:t>
            </w:r>
          </w:p>
        </w:tc>
        <w:tc>
          <w:tcPr>
            <w:tcW w:w="4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w w:val="88"/>
              </w:rPr>
              <w:t>62,513,053</w:t>
            </w:r>
          </w:p>
        </w:tc>
        <w:tc>
          <w:tcPr>
            <w:tcW w:w="16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59,031,026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40" w:type="dxa"/>
            <w:vAlign w:val="bottom"/>
          </w:tcPr>
          <w:p>
            <w:pPr>
              <w:ind w:left="200"/>
              <w:spacing w:after="0" w:line="201" w:lineRule="exact"/>
              <w:rPr>
                <w:sz w:val="20"/>
                <w:szCs w:val="20"/>
                <w:color w:val="auto"/>
              </w:rPr>
            </w:pPr>
            <w:r>
              <w:rPr>
                <w:rFonts w:ascii="Arial" w:cs="Arial" w:eastAsia="Arial" w:hAnsi="Arial"/>
                <w:sz w:val="18"/>
                <w:szCs w:val="18"/>
                <w:color w:val="auto"/>
                <w:w w:val="92"/>
              </w:rPr>
              <w:t>Preferred stock, par value $1.00, 1,000,000 shares authorized, 778,000 shares issued and oustanding at</w:t>
            </w:r>
          </w:p>
        </w:tc>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00"/>
              <w:spacing w:after="0"/>
              <w:rPr>
                <w:sz w:val="20"/>
                <w:szCs w:val="20"/>
                <w:color w:val="auto"/>
              </w:rPr>
            </w:pPr>
            <w:r>
              <w:rPr>
                <w:rFonts w:ascii="Arial" w:cs="Arial" w:eastAsia="Arial" w:hAnsi="Arial"/>
                <w:sz w:val="18"/>
                <w:szCs w:val="18"/>
                <w:color w:val="auto"/>
                <w:w w:val="94"/>
              </w:rPr>
              <w:t>June 30, 2009; 600,000 shares issued and oustanding at December 31, 2008 (liquidation preference</w:t>
            </w: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40" w:type="dxa"/>
            <w:vAlign w:val="bottom"/>
          </w:tcPr>
          <w:p>
            <w:pPr>
              <w:ind w:left="400"/>
              <w:spacing w:after="0"/>
              <w:rPr>
                <w:sz w:val="20"/>
                <w:szCs w:val="20"/>
                <w:color w:val="auto"/>
              </w:rPr>
            </w:pPr>
            <w:r>
              <w:rPr>
                <w:rFonts w:ascii="Arial" w:cs="Arial" w:eastAsia="Arial" w:hAnsi="Arial"/>
                <w:sz w:val="18"/>
                <w:szCs w:val="18"/>
                <w:color w:val="auto"/>
              </w:rPr>
              <w:t>$1,000 per share)</w:t>
            </w:r>
          </w:p>
        </w:tc>
        <w:tc>
          <w:tcPr>
            <w:tcW w:w="460" w:type="dxa"/>
            <w:vAlign w:val="bottom"/>
          </w:tcPr>
          <w:p>
            <w:pPr>
              <w:spacing w:after="0"/>
              <w:rPr>
                <w:sz w:val="20"/>
                <w:szCs w:val="20"/>
                <w:color w:val="auto"/>
              </w:rPr>
            </w:pPr>
          </w:p>
        </w:tc>
        <w:tc>
          <w:tcPr>
            <w:tcW w:w="1380" w:type="dxa"/>
            <w:vAlign w:val="bottom"/>
          </w:tcPr>
          <w:p>
            <w:pPr>
              <w:jc w:val="right"/>
              <w:ind w:right="471"/>
              <w:spacing w:after="0"/>
              <w:rPr>
                <w:sz w:val="20"/>
                <w:szCs w:val="20"/>
                <w:color w:val="auto"/>
              </w:rPr>
            </w:pPr>
            <w:r>
              <w:rPr>
                <w:rFonts w:ascii="Arial" w:cs="Arial" w:eastAsia="Arial" w:hAnsi="Arial"/>
                <w:sz w:val="18"/>
                <w:szCs w:val="18"/>
                <w:color w:val="auto"/>
              </w:rPr>
              <w:t>725,472</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567,463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$.50 par, 250,000,000 shares authorized, 120,396,611 shares issued</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60,198</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60,198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Common stock issuable, 73,679 shares at June 30, 2009; 78,447 shares at December 31, 2008</w:t>
            </w:r>
          </w:p>
        </w:tc>
        <w:tc>
          <w:tcPr>
            <w:tcW w:w="460" w:type="dxa"/>
            <w:vAlign w:val="bottom"/>
          </w:tcPr>
          <w:p>
            <w:pPr>
              <w:spacing w:after="0"/>
              <w:rPr>
                <w:sz w:val="18"/>
                <w:szCs w:val="18"/>
                <w:color w:val="auto"/>
              </w:rPr>
            </w:pPr>
          </w:p>
        </w:tc>
        <w:tc>
          <w:tcPr>
            <w:tcW w:w="1380" w:type="dxa"/>
            <w:vAlign w:val="bottom"/>
          </w:tcPr>
          <w:p>
            <w:pPr>
              <w:jc w:val="right"/>
              <w:ind w:right="471"/>
              <w:spacing w:after="0"/>
              <w:rPr>
                <w:sz w:val="20"/>
                <w:szCs w:val="20"/>
                <w:color w:val="auto"/>
              </w:rPr>
            </w:pPr>
            <w:r>
              <w:rPr>
                <w:rFonts w:ascii="Arial" w:cs="Arial" w:eastAsia="Arial" w:hAnsi="Arial"/>
                <w:sz w:val="18"/>
                <w:szCs w:val="18"/>
                <w:color w:val="auto"/>
              </w:rPr>
              <w:t>4,244</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4,617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w w:val="99"/>
              </w:rPr>
              <w:t>2,448,851</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2,897,907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460" w:type="dxa"/>
            <w:vAlign w:val="bottom"/>
          </w:tcPr>
          <w:p>
            <w:pPr>
              <w:spacing w:after="0"/>
              <w:rPr>
                <w:sz w:val="18"/>
                <w:szCs w:val="18"/>
                <w:color w:val="auto"/>
              </w:rPr>
            </w:pPr>
          </w:p>
        </w:tc>
        <w:tc>
          <w:tcPr>
            <w:tcW w:w="1380" w:type="dxa"/>
            <w:vAlign w:val="bottom"/>
          </w:tcPr>
          <w:p>
            <w:pPr>
              <w:jc w:val="right"/>
              <w:ind w:right="471"/>
              <w:spacing w:after="0"/>
              <w:rPr>
                <w:sz w:val="20"/>
                <w:szCs w:val="20"/>
                <w:color w:val="auto"/>
              </w:rPr>
            </w:pPr>
            <w:r>
              <w:rPr>
                <w:rFonts w:ascii="Arial" w:cs="Arial" w:eastAsia="Arial" w:hAnsi="Arial"/>
                <w:sz w:val="18"/>
                <w:szCs w:val="18"/>
                <w:color w:val="auto"/>
                <w:w w:val="99"/>
              </w:rPr>
              <w:t>5,003,551</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5,062,754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 (loss), net</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(580,756)</w:t>
            </w:r>
          </w:p>
        </w:tc>
        <w:tc>
          <w:tcPr>
            <w:tcW w:w="16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(736,881)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40" w:type="dxa"/>
            <w:vAlign w:val="bottom"/>
          </w:tcPr>
          <w:p>
            <w:pPr>
              <w:ind w:left="200"/>
              <w:spacing w:after="0" w:line="201" w:lineRule="exact"/>
              <w:rPr>
                <w:sz w:val="20"/>
                <w:szCs w:val="20"/>
                <w:color w:val="auto"/>
              </w:rPr>
            </w:pPr>
            <w:r>
              <w:rPr>
                <w:rFonts w:ascii="Arial" w:cs="Arial" w:eastAsia="Arial" w:hAnsi="Arial"/>
                <w:sz w:val="18"/>
                <w:szCs w:val="18"/>
                <w:color w:val="auto"/>
              </w:rPr>
              <w:t>Treasury stock - common, at cost - 2,458,153 shares at June 30, 2009; 10,031,302 shares at</w:t>
            </w:r>
          </w:p>
        </w:tc>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December 31, 2008</w:t>
            </w:r>
          </w:p>
        </w:tc>
        <w:tc>
          <w:tcPr>
            <w:tcW w:w="4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(261,396)</w:t>
            </w:r>
          </w:p>
        </w:tc>
        <w:tc>
          <w:tcPr>
            <w:tcW w:w="16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(1,071,327)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Total stockholders’ equity</w:t>
            </w:r>
          </w:p>
        </w:tc>
        <w:tc>
          <w:tcPr>
            <w:tcW w:w="4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8"/>
                <w:szCs w:val="18"/>
                <w:color w:val="auto"/>
                <w:w w:val="99"/>
              </w:rPr>
              <w:t>7,400,164</w:t>
            </w:r>
          </w:p>
        </w:tc>
        <w:tc>
          <w:tcPr>
            <w:tcW w:w="16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6,784,731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Total liabilities and stockholders’ equity</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w w:val="88"/>
              </w:rPr>
              <w:t>69,913,217</w:t>
            </w:r>
          </w:p>
        </w:tc>
        <w:tc>
          <w:tcPr>
            <w:tcW w:w="16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65,815,757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6"/>
          <w:szCs w:val="16"/>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INCOME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40" w:type="dxa"/>
            <w:vAlign w:val="bottom"/>
            <w:gridSpan w:val="2"/>
          </w:tcPr>
          <w:p>
            <w:pPr>
              <w:jc w:val="right"/>
              <w:ind w:right="750"/>
              <w:spacing w:after="0"/>
              <w:rPr>
                <w:sz w:val="20"/>
                <w:szCs w:val="20"/>
                <w:color w:val="auto"/>
              </w:rPr>
            </w:pPr>
            <w:r>
              <w:rPr>
                <w:rFonts w:ascii="Arial" w:cs="Arial" w:eastAsia="Arial" w:hAnsi="Arial"/>
                <w:sz w:val="14"/>
                <w:szCs w:val="14"/>
                <w:color w:val="auto"/>
              </w:rPr>
              <w:t>Three months ended June 30</w:t>
            </w:r>
          </w:p>
        </w:tc>
        <w:tc>
          <w:tcPr>
            <w:tcW w:w="540" w:type="dxa"/>
            <w:vAlign w:val="bottom"/>
          </w:tcPr>
          <w:p>
            <w:pPr>
              <w:spacing w:after="0"/>
              <w:rPr>
                <w:sz w:val="14"/>
                <w:szCs w:val="14"/>
                <w:color w:val="auto"/>
              </w:rPr>
            </w:pPr>
          </w:p>
        </w:tc>
        <w:tc>
          <w:tcPr>
            <w:tcW w:w="2660" w:type="dxa"/>
            <w:vAlign w:val="bottom"/>
            <w:gridSpan w:val="2"/>
          </w:tcPr>
          <w:p>
            <w:pPr>
              <w:jc w:val="right"/>
              <w:ind w:right="630"/>
              <w:spacing w:after="0"/>
              <w:rPr>
                <w:sz w:val="20"/>
                <w:szCs w:val="20"/>
                <w:color w:val="auto"/>
              </w:rPr>
            </w:pPr>
            <w:r>
              <w:rPr>
                <w:rFonts w:ascii="Arial" w:cs="Arial" w:eastAsia="Arial" w:hAnsi="Arial"/>
                <w:sz w:val="14"/>
                <w:szCs w:val="14"/>
                <w:color w:val="auto"/>
              </w:rPr>
              <w:t>Six months ended June 30</w:t>
            </w:r>
          </w:p>
        </w:tc>
      </w:tr>
      <w:tr>
        <w:trPr>
          <w:trHeight w:val="174"/>
        </w:trPr>
        <w:tc>
          <w:tcPr>
            <w:tcW w:w="486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w:t>
            </w:r>
          </w:p>
        </w:tc>
        <w:tc>
          <w:tcPr>
            <w:tcW w:w="520" w:type="dxa"/>
            <w:vAlign w:val="bottom"/>
          </w:tcPr>
          <w:p>
            <w:pPr>
              <w:spacing w:after="0"/>
              <w:rPr>
                <w:sz w:val="15"/>
                <w:szCs w:val="15"/>
                <w:color w:val="auto"/>
              </w:rPr>
            </w:pPr>
          </w:p>
        </w:tc>
        <w:tc>
          <w:tcPr>
            <w:tcW w:w="1200" w:type="dxa"/>
            <w:vAlign w:val="bottom"/>
          </w:tcPr>
          <w:p>
            <w:pPr>
              <w:jc w:val="right"/>
              <w:ind w:right="671"/>
              <w:spacing w:after="0"/>
              <w:rPr>
                <w:sz w:val="20"/>
                <w:szCs w:val="20"/>
                <w:color w:val="auto"/>
              </w:rPr>
            </w:pPr>
            <w:r>
              <w:rPr>
                <w:rFonts w:ascii="Arial" w:cs="Arial" w:eastAsia="Arial" w:hAnsi="Arial"/>
                <w:sz w:val="14"/>
                <w:szCs w:val="14"/>
                <w:color w:val="auto"/>
              </w:rPr>
              <w:t>2009</w:t>
            </w:r>
          </w:p>
        </w:tc>
        <w:tc>
          <w:tcPr>
            <w:tcW w:w="1640" w:type="dxa"/>
            <w:vAlign w:val="bottom"/>
          </w:tcPr>
          <w:p>
            <w:pPr>
              <w:jc w:val="right"/>
              <w:ind w:right="550"/>
              <w:spacing w:after="0"/>
              <w:rPr>
                <w:sz w:val="20"/>
                <w:szCs w:val="20"/>
                <w:color w:val="auto"/>
              </w:rPr>
            </w:pPr>
            <w:r>
              <w:rPr>
                <w:rFonts w:ascii="Arial" w:cs="Arial" w:eastAsia="Arial" w:hAnsi="Arial"/>
                <w:sz w:val="14"/>
                <w:szCs w:val="14"/>
                <w:color w:val="auto"/>
              </w:rPr>
              <w:t>2008</w:t>
            </w:r>
          </w:p>
        </w:tc>
        <w:tc>
          <w:tcPr>
            <w:tcW w:w="540" w:type="dxa"/>
            <w:vAlign w:val="bottom"/>
          </w:tcPr>
          <w:p>
            <w:pPr>
              <w:spacing w:after="0"/>
              <w:rPr>
                <w:sz w:val="15"/>
                <w:szCs w:val="15"/>
                <w:color w:val="auto"/>
              </w:rPr>
            </w:pPr>
          </w:p>
        </w:tc>
        <w:tc>
          <w:tcPr>
            <w:tcW w:w="1220" w:type="dxa"/>
            <w:vAlign w:val="bottom"/>
          </w:tcPr>
          <w:p>
            <w:pPr>
              <w:jc w:val="right"/>
              <w:ind w:right="631"/>
              <w:spacing w:after="0"/>
              <w:rPr>
                <w:sz w:val="20"/>
                <w:szCs w:val="20"/>
                <w:color w:val="auto"/>
              </w:rPr>
            </w:pPr>
            <w:r>
              <w:rPr>
                <w:rFonts w:ascii="Arial" w:cs="Arial" w:eastAsia="Arial" w:hAnsi="Arial"/>
                <w:sz w:val="14"/>
                <w:szCs w:val="14"/>
                <w:color w:val="auto"/>
              </w:rPr>
              <w:t>2009</w:t>
            </w:r>
          </w:p>
        </w:tc>
        <w:tc>
          <w:tcPr>
            <w:tcW w:w="1440" w:type="dxa"/>
            <w:vAlign w:val="bottom"/>
          </w:tcPr>
          <w:p>
            <w:pPr>
              <w:jc w:val="right"/>
              <w:ind w:right="390"/>
              <w:spacing w:after="0"/>
              <w:rPr>
                <w:sz w:val="20"/>
                <w:szCs w:val="20"/>
                <w:color w:val="auto"/>
              </w:rPr>
            </w:pPr>
            <w:r>
              <w:rPr>
                <w:rFonts w:ascii="Arial" w:cs="Arial" w:eastAsia="Arial" w:hAnsi="Arial"/>
                <w:sz w:val="14"/>
                <w:szCs w:val="14"/>
                <w:color w:val="auto"/>
              </w:rPr>
              <w:t>2008</w:t>
            </w:r>
          </w:p>
        </w:tc>
      </w:tr>
      <w:tr>
        <w:trPr>
          <w:trHeight w:val="216"/>
        </w:trPr>
        <w:tc>
          <w:tcPr>
            <w:tcW w:w="20" w:type="dxa"/>
            <w:vAlign w:val="bottom"/>
          </w:tcPr>
          <w:p>
            <w:pPr>
              <w:spacing w:after="0"/>
              <w:rPr>
                <w:sz w:val="18"/>
                <w:szCs w:val="18"/>
                <w:color w:val="auto"/>
              </w:rPr>
            </w:pPr>
          </w:p>
        </w:tc>
        <w:tc>
          <w:tcPr>
            <w:tcW w:w="4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5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Loans and leases, including fees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31"/>
              <w:spacing w:after="0"/>
              <w:rPr>
                <w:sz w:val="20"/>
                <w:szCs w:val="20"/>
                <w:color w:val="auto"/>
              </w:rPr>
            </w:pPr>
            <w:r>
              <w:rPr>
                <w:rFonts w:ascii="Arial" w:cs="Arial" w:eastAsia="Arial" w:hAnsi="Arial"/>
                <w:sz w:val="18"/>
                <w:szCs w:val="18"/>
                <w:color w:val="auto"/>
                <w:w w:val="86"/>
              </w:rPr>
              <w:t>574,234</w:t>
            </w:r>
          </w:p>
        </w:tc>
        <w:tc>
          <w:tcPr>
            <w:tcW w:w="1640" w:type="dxa"/>
            <w:vAlign w:val="bottom"/>
          </w:tcPr>
          <w:p>
            <w:pPr>
              <w:jc w:val="right"/>
              <w:ind w:right="390"/>
              <w:spacing w:after="0"/>
              <w:rPr>
                <w:sz w:val="20"/>
                <w:szCs w:val="20"/>
                <w:color w:val="auto"/>
              </w:rPr>
            </w:pPr>
            <w:r>
              <w:rPr>
                <w:rFonts w:ascii="Arial" w:cs="Arial" w:eastAsia="Arial" w:hAnsi="Arial"/>
                <w:sz w:val="18"/>
                <w:szCs w:val="18"/>
                <w:color w:val="auto"/>
              </w:rPr>
              <w:t>708,083</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411"/>
              <w:spacing w:after="0"/>
              <w:rPr>
                <w:sz w:val="20"/>
                <w:szCs w:val="20"/>
                <w:color w:val="auto"/>
              </w:rPr>
            </w:pPr>
            <w:r>
              <w:rPr>
                <w:rFonts w:ascii="Arial" w:cs="Arial" w:eastAsia="Arial" w:hAnsi="Arial"/>
                <w:sz w:val="18"/>
                <w:szCs w:val="18"/>
                <w:color w:val="auto"/>
                <w:w w:val="87"/>
              </w:rPr>
              <w:t>1,128,563</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1,476,474</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 at banks</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5</w:t>
            </w:r>
          </w:p>
        </w:tc>
        <w:tc>
          <w:tcPr>
            <w:tcW w:w="16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22</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13</w:t>
            </w:r>
          </w:p>
        </w:tc>
        <w:tc>
          <w:tcPr>
            <w:tcW w:w="1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66</w:t>
            </w: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Federal funds sold</w:t>
            </w:r>
          </w:p>
        </w:tc>
        <w:tc>
          <w:tcPr>
            <w:tcW w:w="520" w:type="dxa"/>
            <w:vAlign w:val="bottom"/>
          </w:tcPr>
          <w:p>
            <w:pPr>
              <w:spacing w:after="0"/>
              <w:rPr>
                <w:sz w:val="18"/>
                <w:szCs w:val="18"/>
                <w:color w:val="auto"/>
              </w:rPr>
            </w:pPr>
          </w:p>
        </w:tc>
        <w:tc>
          <w:tcPr>
            <w:tcW w:w="1200" w:type="dxa"/>
            <w:vAlign w:val="bottom"/>
          </w:tcPr>
          <w:p>
            <w:pPr>
              <w:jc w:val="right"/>
              <w:ind w:right="531"/>
              <w:spacing w:after="0"/>
              <w:rPr>
                <w:sz w:val="20"/>
                <w:szCs w:val="20"/>
                <w:color w:val="auto"/>
              </w:rPr>
            </w:pPr>
            <w:r>
              <w:rPr>
                <w:rFonts w:ascii="Arial" w:cs="Arial" w:eastAsia="Arial" w:hAnsi="Arial"/>
                <w:sz w:val="18"/>
                <w:szCs w:val="18"/>
                <w:color w:val="auto"/>
              </w:rPr>
              <w:t>20</w:t>
            </w:r>
          </w:p>
        </w:tc>
        <w:tc>
          <w:tcPr>
            <w:tcW w:w="1640" w:type="dxa"/>
            <w:vAlign w:val="bottom"/>
          </w:tcPr>
          <w:p>
            <w:pPr>
              <w:jc w:val="right"/>
              <w:ind w:right="390"/>
              <w:spacing w:after="0"/>
              <w:rPr>
                <w:sz w:val="20"/>
                <w:szCs w:val="20"/>
                <w:color w:val="auto"/>
              </w:rPr>
            </w:pPr>
            <w:r>
              <w:rPr>
                <w:rFonts w:ascii="Arial" w:cs="Arial" w:eastAsia="Arial" w:hAnsi="Arial"/>
                <w:sz w:val="18"/>
                <w:szCs w:val="18"/>
                <w:color w:val="auto"/>
              </w:rPr>
              <w:t>52</w:t>
            </w:r>
          </w:p>
        </w:tc>
        <w:tc>
          <w:tcPr>
            <w:tcW w:w="540" w:type="dxa"/>
            <w:vAlign w:val="bottom"/>
          </w:tcPr>
          <w:p>
            <w:pPr>
              <w:spacing w:after="0"/>
              <w:rPr>
                <w:sz w:val="18"/>
                <w:szCs w:val="18"/>
                <w:color w:val="auto"/>
              </w:rPr>
            </w:pPr>
          </w:p>
        </w:tc>
        <w:tc>
          <w:tcPr>
            <w:tcW w:w="1220" w:type="dxa"/>
            <w:vAlign w:val="bottom"/>
          </w:tcPr>
          <w:p>
            <w:pPr>
              <w:jc w:val="right"/>
              <w:ind w:right="411"/>
              <w:spacing w:after="0"/>
              <w:rPr>
                <w:sz w:val="20"/>
                <w:szCs w:val="20"/>
                <w:color w:val="auto"/>
              </w:rPr>
            </w:pPr>
            <w:r>
              <w:rPr>
                <w:rFonts w:ascii="Arial" w:cs="Arial" w:eastAsia="Arial" w:hAnsi="Arial"/>
                <w:sz w:val="18"/>
                <w:szCs w:val="18"/>
                <w:color w:val="auto"/>
              </w:rPr>
              <w:t>39</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137</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Agreements to resell securities</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23</w:t>
            </w:r>
          </w:p>
        </w:tc>
        <w:tc>
          <w:tcPr>
            <w:tcW w:w="16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440</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62</w:t>
            </w:r>
          </w:p>
        </w:tc>
        <w:tc>
          <w:tcPr>
            <w:tcW w:w="1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1,311</w:t>
            </w: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Trading account</w:t>
            </w:r>
          </w:p>
        </w:tc>
        <w:tc>
          <w:tcPr>
            <w:tcW w:w="520" w:type="dxa"/>
            <w:vAlign w:val="bottom"/>
          </w:tcPr>
          <w:p>
            <w:pPr>
              <w:spacing w:after="0"/>
              <w:rPr>
                <w:sz w:val="18"/>
                <w:szCs w:val="18"/>
                <w:color w:val="auto"/>
              </w:rPr>
            </w:pPr>
          </w:p>
        </w:tc>
        <w:tc>
          <w:tcPr>
            <w:tcW w:w="1200" w:type="dxa"/>
            <w:vAlign w:val="bottom"/>
          </w:tcPr>
          <w:p>
            <w:pPr>
              <w:jc w:val="right"/>
              <w:ind w:right="531"/>
              <w:spacing w:after="0"/>
              <w:rPr>
                <w:sz w:val="20"/>
                <w:szCs w:val="20"/>
                <w:color w:val="auto"/>
              </w:rPr>
            </w:pPr>
            <w:r>
              <w:rPr>
                <w:rFonts w:ascii="Arial" w:cs="Arial" w:eastAsia="Arial" w:hAnsi="Arial"/>
                <w:sz w:val="18"/>
                <w:szCs w:val="18"/>
                <w:color w:val="auto"/>
              </w:rPr>
              <w:t>194</w:t>
            </w:r>
          </w:p>
        </w:tc>
        <w:tc>
          <w:tcPr>
            <w:tcW w:w="1640" w:type="dxa"/>
            <w:vAlign w:val="bottom"/>
          </w:tcPr>
          <w:p>
            <w:pPr>
              <w:jc w:val="right"/>
              <w:ind w:right="390"/>
              <w:spacing w:after="0"/>
              <w:rPr>
                <w:sz w:val="20"/>
                <w:szCs w:val="20"/>
                <w:color w:val="auto"/>
              </w:rPr>
            </w:pPr>
            <w:r>
              <w:rPr>
                <w:rFonts w:ascii="Arial" w:cs="Arial" w:eastAsia="Arial" w:hAnsi="Arial"/>
                <w:sz w:val="18"/>
                <w:szCs w:val="18"/>
                <w:color w:val="auto"/>
              </w:rPr>
              <w:t>143</w:t>
            </w:r>
          </w:p>
        </w:tc>
        <w:tc>
          <w:tcPr>
            <w:tcW w:w="540" w:type="dxa"/>
            <w:vAlign w:val="bottom"/>
          </w:tcPr>
          <w:p>
            <w:pPr>
              <w:spacing w:after="0"/>
              <w:rPr>
                <w:sz w:val="18"/>
                <w:szCs w:val="18"/>
                <w:color w:val="auto"/>
              </w:rPr>
            </w:pPr>
          </w:p>
        </w:tc>
        <w:tc>
          <w:tcPr>
            <w:tcW w:w="1220" w:type="dxa"/>
            <w:vAlign w:val="bottom"/>
          </w:tcPr>
          <w:p>
            <w:pPr>
              <w:jc w:val="right"/>
              <w:ind w:right="411"/>
              <w:spacing w:after="0"/>
              <w:rPr>
                <w:sz w:val="20"/>
                <w:szCs w:val="20"/>
                <w:color w:val="auto"/>
              </w:rPr>
            </w:pPr>
            <w:r>
              <w:rPr>
                <w:rFonts w:ascii="Arial" w:cs="Arial" w:eastAsia="Arial" w:hAnsi="Arial"/>
                <w:sz w:val="18"/>
                <w:szCs w:val="18"/>
                <w:color w:val="auto"/>
              </w:rPr>
              <w:t>315</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402</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securities</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00"/>
              <w:spacing w:after="0"/>
              <w:rPr>
                <w:sz w:val="20"/>
                <w:szCs w:val="20"/>
                <w:color w:val="auto"/>
              </w:rPr>
            </w:pPr>
            <w:r>
              <w:rPr>
                <w:rFonts w:ascii="Arial" w:cs="Arial" w:eastAsia="Arial" w:hAnsi="Arial"/>
                <w:sz w:val="18"/>
                <w:szCs w:val="18"/>
                <w:color w:val="auto"/>
              </w:rPr>
              <w:t>Fully taxable</w:t>
            </w:r>
          </w:p>
        </w:tc>
        <w:tc>
          <w:tcPr>
            <w:tcW w:w="520" w:type="dxa"/>
            <w:vAlign w:val="bottom"/>
          </w:tcPr>
          <w:p>
            <w:pPr>
              <w:spacing w:after="0"/>
              <w:rPr>
                <w:sz w:val="18"/>
                <w:szCs w:val="18"/>
                <w:color w:val="auto"/>
              </w:rPr>
            </w:pPr>
          </w:p>
        </w:tc>
        <w:tc>
          <w:tcPr>
            <w:tcW w:w="1200" w:type="dxa"/>
            <w:vAlign w:val="bottom"/>
          </w:tcPr>
          <w:p>
            <w:pPr>
              <w:jc w:val="right"/>
              <w:ind w:right="531"/>
              <w:spacing w:after="0"/>
              <w:rPr>
                <w:sz w:val="20"/>
                <w:szCs w:val="20"/>
                <w:color w:val="auto"/>
              </w:rPr>
            </w:pPr>
            <w:r>
              <w:rPr>
                <w:rFonts w:ascii="Arial" w:cs="Arial" w:eastAsia="Arial" w:hAnsi="Arial"/>
                <w:sz w:val="18"/>
                <w:szCs w:val="18"/>
                <w:color w:val="auto"/>
                <w:w w:val="86"/>
              </w:rPr>
              <w:t>101,133</w:t>
            </w:r>
          </w:p>
        </w:tc>
        <w:tc>
          <w:tcPr>
            <w:tcW w:w="1640" w:type="dxa"/>
            <w:vAlign w:val="bottom"/>
          </w:tcPr>
          <w:p>
            <w:pPr>
              <w:jc w:val="right"/>
              <w:ind w:right="390"/>
              <w:spacing w:after="0"/>
              <w:rPr>
                <w:sz w:val="20"/>
                <w:szCs w:val="20"/>
                <w:color w:val="auto"/>
              </w:rPr>
            </w:pPr>
            <w:r>
              <w:rPr>
                <w:rFonts w:ascii="Arial" w:cs="Arial" w:eastAsia="Arial" w:hAnsi="Arial"/>
                <w:sz w:val="18"/>
                <w:szCs w:val="18"/>
                <w:color w:val="auto"/>
              </w:rPr>
              <w:t>105,809</w:t>
            </w:r>
          </w:p>
        </w:tc>
        <w:tc>
          <w:tcPr>
            <w:tcW w:w="540" w:type="dxa"/>
            <w:vAlign w:val="bottom"/>
          </w:tcPr>
          <w:p>
            <w:pPr>
              <w:spacing w:after="0"/>
              <w:rPr>
                <w:sz w:val="18"/>
                <w:szCs w:val="18"/>
                <w:color w:val="auto"/>
              </w:rPr>
            </w:pPr>
          </w:p>
        </w:tc>
        <w:tc>
          <w:tcPr>
            <w:tcW w:w="1220" w:type="dxa"/>
            <w:vAlign w:val="bottom"/>
          </w:tcPr>
          <w:p>
            <w:pPr>
              <w:jc w:val="right"/>
              <w:ind w:right="411"/>
              <w:spacing w:after="0"/>
              <w:rPr>
                <w:sz w:val="20"/>
                <w:szCs w:val="20"/>
                <w:color w:val="auto"/>
              </w:rPr>
            </w:pPr>
            <w:r>
              <w:rPr>
                <w:rFonts w:ascii="Arial" w:cs="Arial" w:eastAsia="Arial" w:hAnsi="Arial"/>
                <w:sz w:val="18"/>
                <w:szCs w:val="18"/>
                <w:color w:val="auto"/>
              </w:rPr>
              <w:t>199,600</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216,854</w:t>
            </w:r>
          </w:p>
        </w:tc>
      </w:tr>
      <w:tr>
        <w:trPr>
          <w:trHeight w:val="216"/>
        </w:trPr>
        <w:tc>
          <w:tcPr>
            <w:tcW w:w="20" w:type="dxa"/>
            <w:vAlign w:val="bottom"/>
          </w:tcPr>
          <w:p>
            <w:pPr>
              <w:spacing w:after="0"/>
              <w:rPr>
                <w:sz w:val="18"/>
                <w:szCs w:val="18"/>
                <w:color w:val="auto"/>
              </w:rPr>
            </w:pPr>
          </w:p>
        </w:tc>
        <w:tc>
          <w:tcPr>
            <w:tcW w:w="48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Exempt from federal taxes</w:t>
            </w:r>
          </w:p>
        </w:tc>
        <w:tc>
          <w:tcPr>
            <w:tcW w:w="5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531"/>
              <w:spacing w:after="0"/>
              <w:rPr>
                <w:sz w:val="20"/>
                <w:szCs w:val="20"/>
                <w:color w:val="auto"/>
              </w:rPr>
            </w:pPr>
            <w:r>
              <w:rPr>
                <w:rFonts w:ascii="Arial" w:cs="Arial" w:eastAsia="Arial" w:hAnsi="Arial"/>
                <w:sz w:val="18"/>
                <w:szCs w:val="18"/>
                <w:color w:val="auto"/>
              </w:rPr>
              <w:t>1,814</w:t>
            </w:r>
          </w:p>
        </w:tc>
        <w:tc>
          <w:tcPr>
            <w:tcW w:w="16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3,025</w:t>
            </w:r>
          </w:p>
        </w:tc>
        <w:tc>
          <w:tcPr>
            <w:tcW w:w="5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rPr>
              <w:t>3,343</w:t>
            </w:r>
          </w:p>
        </w:tc>
        <w:tc>
          <w:tcPr>
            <w:tcW w:w="1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6,492</w:t>
            </w:r>
          </w:p>
        </w:tc>
      </w:tr>
      <w:tr>
        <w:trPr>
          <w:trHeight w:val="230"/>
        </w:trPr>
        <w:tc>
          <w:tcPr>
            <w:tcW w:w="20" w:type="dxa"/>
            <w:vAlign w:val="bottom"/>
          </w:tcPr>
          <w:p>
            <w:pPr>
              <w:spacing w:after="0"/>
              <w:rPr>
                <w:sz w:val="20"/>
                <w:szCs w:val="20"/>
                <w:color w:val="auto"/>
              </w:rPr>
            </w:pPr>
          </w:p>
        </w:tc>
        <w:tc>
          <w:tcPr>
            <w:tcW w:w="48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Total interest income</w:t>
            </w:r>
          </w:p>
        </w:tc>
        <w:tc>
          <w:tcPr>
            <w:tcW w:w="5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w w:val="86"/>
              </w:rPr>
              <w:t>677,423</w:t>
            </w:r>
          </w:p>
        </w:tc>
        <w:tc>
          <w:tcPr>
            <w:tcW w:w="16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817,574</w:t>
            </w:r>
          </w:p>
        </w:tc>
        <w:tc>
          <w:tcPr>
            <w:tcW w:w="5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w w:val="87"/>
              </w:rPr>
              <w:t>1,331,935</w:t>
            </w:r>
          </w:p>
        </w:tc>
        <w:tc>
          <w:tcPr>
            <w:tcW w:w="1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1,701,736</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NOW accounts</w:t>
            </w:r>
          </w:p>
        </w:tc>
        <w:tc>
          <w:tcPr>
            <w:tcW w:w="520" w:type="dxa"/>
            <w:vAlign w:val="bottom"/>
          </w:tcPr>
          <w:p>
            <w:pPr>
              <w:spacing w:after="0"/>
              <w:rPr>
                <w:sz w:val="18"/>
                <w:szCs w:val="18"/>
                <w:color w:val="auto"/>
              </w:rPr>
            </w:pPr>
          </w:p>
        </w:tc>
        <w:tc>
          <w:tcPr>
            <w:tcW w:w="1200" w:type="dxa"/>
            <w:vAlign w:val="bottom"/>
          </w:tcPr>
          <w:p>
            <w:pPr>
              <w:jc w:val="right"/>
              <w:ind w:right="531"/>
              <w:spacing w:after="0"/>
              <w:rPr>
                <w:sz w:val="20"/>
                <w:szCs w:val="20"/>
                <w:color w:val="auto"/>
              </w:rPr>
            </w:pPr>
            <w:r>
              <w:rPr>
                <w:rFonts w:ascii="Arial" w:cs="Arial" w:eastAsia="Arial" w:hAnsi="Arial"/>
                <w:sz w:val="18"/>
                <w:szCs w:val="18"/>
                <w:color w:val="auto"/>
              </w:rPr>
              <w:t>246</w:t>
            </w:r>
          </w:p>
        </w:tc>
        <w:tc>
          <w:tcPr>
            <w:tcW w:w="1640" w:type="dxa"/>
            <w:vAlign w:val="bottom"/>
          </w:tcPr>
          <w:p>
            <w:pPr>
              <w:jc w:val="right"/>
              <w:ind w:right="390"/>
              <w:spacing w:after="0"/>
              <w:rPr>
                <w:sz w:val="20"/>
                <w:szCs w:val="20"/>
                <w:color w:val="auto"/>
              </w:rPr>
            </w:pPr>
            <w:r>
              <w:rPr>
                <w:rFonts w:ascii="Arial" w:cs="Arial" w:eastAsia="Arial" w:hAnsi="Arial"/>
                <w:sz w:val="18"/>
                <w:szCs w:val="18"/>
                <w:color w:val="auto"/>
              </w:rPr>
              <w:t>629</w:t>
            </w:r>
          </w:p>
        </w:tc>
        <w:tc>
          <w:tcPr>
            <w:tcW w:w="540" w:type="dxa"/>
            <w:vAlign w:val="bottom"/>
          </w:tcPr>
          <w:p>
            <w:pPr>
              <w:spacing w:after="0"/>
              <w:rPr>
                <w:sz w:val="18"/>
                <w:szCs w:val="18"/>
                <w:color w:val="auto"/>
              </w:rPr>
            </w:pPr>
          </w:p>
        </w:tc>
        <w:tc>
          <w:tcPr>
            <w:tcW w:w="1220" w:type="dxa"/>
            <w:vAlign w:val="bottom"/>
          </w:tcPr>
          <w:p>
            <w:pPr>
              <w:jc w:val="right"/>
              <w:ind w:right="411"/>
              <w:spacing w:after="0"/>
              <w:rPr>
                <w:sz w:val="20"/>
                <w:szCs w:val="20"/>
                <w:color w:val="auto"/>
              </w:rPr>
            </w:pPr>
            <w:r>
              <w:rPr>
                <w:rFonts w:ascii="Arial" w:cs="Arial" w:eastAsia="Arial" w:hAnsi="Arial"/>
                <w:sz w:val="18"/>
                <w:szCs w:val="18"/>
                <w:color w:val="auto"/>
              </w:rPr>
              <w:t>573</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1,647</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Savings deposits</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26,362</w:t>
            </w:r>
          </w:p>
        </w:tc>
        <w:tc>
          <w:tcPr>
            <w:tcW w:w="16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60,317</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68,284</w:t>
            </w:r>
          </w:p>
        </w:tc>
        <w:tc>
          <w:tcPr>
            <w:tcW w:w="1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126,939</w:t>
            </w: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Time deposits</w:t>
            </w:r>
          </w:p>
        </w:tc>
        <w:tc>
          <w:tcPr>
            <w:tcW w:w="520" w:type="dxa"/>
            <w:vAlign w:val="bottom"/>
          </w:tcPr>
          <w:p>
            <w:pPr>
              <w:spacing w:after="0"/>
              <w:rPr>
                <w:sz w:val="18"/>
                <w:szCs w:val="18"/>
                <w:color w:val="auto"/>
              </w:rPr>
            </w:pPr>
          </w:p>
        </w:tc>
        <w:tc>
          <w:tcPr>
            <w:tcW w:w="1200" w:type="dxa"/>
            <w:vAlign w:val="bottom"/>
          </w:tcPr>
          <w:p>
            <w:pPr>
              <w:jc w:val="right"/>
              <w:ind w:right="531"/>
              <w:spacing w:after="0"/>
              <w:rPr>
                <w:sz w:val="20"/>
                <w:szCs w:val="20"/>
                <w:color w:val="auto"/>
              </w:rPr>
            </w:pPr>
            <w:r>
              <w:rPr>
                <w:rFonts w:ascii="Arial" w:cs="Arial" w:eastAsia="Arial" w:hAnsi="Arial"/>
                <w:sz w:val="18"/>
                <w:szCs w:val="18"/>
                <w:color w:val="auto"/>
              </w:rPr>
              <w:t>55,697</w:t>
            </w:r>
          </w:p>
        </w:tc>
        <w:tc>
          <w:tcPr>
            <w:tcW w:w="1640" w:type="dxa"/>
            <w:vAlign w:val="bottom"/>
          </w:tcPr>
          <w:p>
            <w:pPr>
              <w:jc w:val="right"/>
              <w:ind w:right="390"/>
              <w:spacing w:after="0"/>
              <w:rPr>
                <w:sz w:val="20"/>
                <w:szCs w:val="20"/>
                <w:color w:val="auto"/>
              </w:rPr>
            </w:pPr>
            <w:r>
              <w:rPr>
                <w:rFonts w:ascii="Arial" w:cs="Arial" w:eastAsia="Arial" w:hAnsi="Arial"/>
                <w:sz w:val="18"/>
                <w:szCs w:val="18"/>
                <w:color w:val="auto"/>
              </w:rPr>
              <w:t>79,467</w:t>
            </w:r>
          </w:p>
        </w:tc>
        <w:tc>
          <w:tcPr>
            <w:tcW w:w="540" w:type="dxa"/>
            <w:vAlign w:val="bottom"/>
          </w:tcPr>
          <w:p>
            <w:pPr>
              <w:spacing w:after="0"/>
              <w:rPr>
                <w:sz w:val="18"/>
                <w:szCs w:val="18"/>
                <w:color w:val="auto"/>
              </w:rPr>
            </w:pPr>
          </w:p>
        </w:tc>
        <w:tc>
          <w:tcPr>
            <w:tcW w:w="1220" w:type="dxa"/>
            <w:vAlign w:val="bottom"/>
          </w:tcPr>
          <w:p>
            <w:pPr>
              <w:jc w:val="right"/>
              <w:ind w:right="411"/>
              <w:spacing w:after="0"/>
              <w:rPr>
                <w:sz w:val="20"/>
                <w:szCs w:val="20"/>
                <w:color w:val="auto"/>
              </w:rPr>
            </w:pPr>
            <w:r>
              <w:rPr>
                <w:rFonts w:ascii="Arial" w:cs="Arial" w:eastAsia="Arial" w:hAnsi="Arial"/>
                <w:sz w:val="18"/>
                <w:szCs w:val="18"/>
                <w:color w:val="auto"/>
              </w:rPr>
              <w:t>116,026</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186,110</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 at foreign office</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576</w:t>
            </w:r>
          </w:p>
        </w:tc>
        <w:tc>
          <w:tcPr>
            <w:tcW w:w="16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22,075</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1,557</w:t>
            </w:r>
          </w:p>
        </w:tc>
        <w:tc>
          <w:tcPr>
            <w:tcW w:w="1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60,448</w:t>
            </w: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Short-term borrowings</w:t>
            </w:r>
          </w:p>
        </w:tc>
        <w:tc>
          <w:tcPr>
            <w:tcW w:w="520" w:type="dxa"/>
            <w:vAlign w:val="bottom"/>
          </w:tcPr>
          <w:p>
            <w:pPr>
              <w:spacing w:after="0"/>
              <w:rPr>
                <w:sz w:val="18"/>
                <w:szCs w:val="18"/>
                <w:color w:val="auto"/>
              </w:rPr>
            </w:pPr>
          </w:p>
        </w:tc>
        <w:tc>
          <w:tcPr>
            <w:tcW w:w="1200" w:type="dxa"/>
            <w:vAlign w:val="bottom"/>
          </w:tcPr>
          <w:p>
            <w:pPr>
              <w:jc w:val="right"/>
              <w:ind w:right="531"/>
              <w:spacing w:after="0"/>
              <w:rPr>
                <w:sz w:val="20"/>
                <w:szCs w:val="20"/>
                <w:color w:val="auto"/>
              </w:rPr>
            </w:pPr>
            <w:r>
              <w:rPr>
                <w:rFonts w:ascii="Arial" w:cs="Arial" w:eastAsia="Arial" w:hAnsi="Arial"/>
                <w:sz w:val="18"/>
                <w:szCs w:val="18"/>
                <w:color w:val="auto"/>
              </w:rPr>
              <w:t>2,015</w:t>
            </w:r>
          </w:p>
        </w:tc>
        <w:tc>
          <w:tcPr>
            <w:tcW w:w="1640" w:type="dxa"/>
            <w:vAlign w:val="bottom"/>
          </w:tcPr>
          <w:p>
            <w:pPr>
              <w:jc w:val="right"/>
              <w:ind w:right="390"/>
              <w:spacing w:after="0"/>
              <w:rPr>
                <w:sz w:val="20"/>
                <w:szCs w:val="20"/>
                <w:color w:val="auto"/>
              </w:rPr>
            </w:pPr>
            <w:r>
              <w:rPr>
                <w:rFonts w:ascii="Arial" w:cs="Arial" w:eastAsia="Arial" w:hAnsi="Arial"/>
                <w:sz w:val="18"/>
                <w:szCs w:val="18"/>
                <w:color w:val="auto"/>
              </w:rPr>
              <w:t>42,612</w:t>
            </w:r>
          </w:p>
        </w:tc>
        <w:tc>
          <w:tcPr>
            <w:tcW w:w="540" w:type="dxa"/>
            <w:vAlign w:val="bottom"/>
          </w:tcPr>
          <w:p>
            <w:pPr>
              <w:spacing w:after="0"/>
              <w:rPr>
                <w:sz w:val="18"/>
                <w:szCs w:val="18"/>
                <w:color w:val="auto"/>
              </w:rPr>
            </w:pPr>
          </w:p>
        </w:tc>
        <w:tc>
          <w:tcPr>
            <w:tcW w:w="1220" w:type="dxa"/>
            <w:vAlign w:val="bottom"/>
          </w:tcPr>
          <w:p>
            <w:pPr>
              <w:jc w:val="right"/>
              <w:ind w:right="411"/>
              <w:spacing w:after="0"/>
              <w:rPr>
                <w:sz w:val="20"/>
                <w:szCs w:val="20"/>
                <w:color w:val="auto"/>
              </w:rPr>
            </w:pPr>
            <w:r>
              <w:rPr>
                <w:rFonts w:ascii="Arial" w:cs="Arial" w:eastAsia="Arial" w:hAnsi="Arial"/>
                <w:sz w:val="18"/>
                <w:szCs w:val="18"/>
                <w:color w:val="auto"/>
              </w:rPr>
              <w:t>4,363</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104,233</w:t>
            </w:r>
          </w:p>
        </w:tc>
      </w:tr>
      <w:tr>
        <w:trPr>
          <w:trHeight w:val="216"/>
        </w:trPr>
        <w:tc>
          <w:tcPr>
            <w:tcW w:w="20" w:type="dxa"/>
            <w:vAlign w:val="bottom"/>
          </w:tcPr>
          <w:p>
            <w:pPr>
              <w:spacing w:after="0"/>
              <w:rPr>
                <w:sz w:val="18"/>
                <w:szCs w:val="18"/>
                <w:color w:val="auto"/>
              </w:rPr>
            </w:pPr>
          </w:p>
        </w:tc>
        <w:tc>
          <w:tcPr>
            <w:tcW w:w="48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Long-term borrowings</w:t>
            </w:r>
          </w:p>
        </w:tc>
        <w:tc>
          <w:tcPr>
            <w:tcW w:w="5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531"/>
              <w:spacing w:after="0"/>
              <w:rPr>
                <w:sz w:val="20"/>
                <w:szCs w:val="20"/>
                <w:color w:val="auto"/>
              </w:rPr>
            </w:pPr>
            <w:r>
              <w:rPr>
                <w:rFonts w:ascii="Arial" w:cs="Arial" w:eastAsia="Arial" w:hAnsi="Arial"/>
                <w:sz w:val="18"/>
                <w:szCs w:val="18"/>
                <w:color w:val="auto"/>
              </w:rPr>
              <w:t>90,960</w:t>
            </w:r>
          </w:p>
        </w:tc>
        <w:tc>
          <w:tcPr>
            <w:tcW w:w="16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125,842</w:t>
            </w:r>
          </w:p>
        </w:tc>
        <w:tc>
          <w:tcPr>
            <w:tcW w:w="5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rPr>
              <w:t>191,758</w:t>
            </w:r>
          </w:p>
        </w:tc>
        <w:tc>
          <w:tcPr>
            <w:tcW w:w="1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256,877</w:t>
            </w:r>
          </w:p>
        </w:tc>
      </w:tr>
      <w:tr>
        <w:trPr>
          <w:trHeight w:val="230"/>
        </w:trPr>
        <w:tc>
          <w:tcPr>
            <w:tcW w:w="20" w:type="dxa"/>
            <w:vAlign w:val="bottom"/>
          </w:tcPr>
          <w:p>
            <w:pPr>
              <w:spacing w:after="0"/>
              <w:rPr>
                <w:sz w:val="20"/>
                <w:szCs w:val="20"/>
                <w:color w:val="auto"/>
              </w:rPr>
            </w:pPr>
          </w:p>
        </w:tc>
        <w:tc>
          <w:tcPr>
            <w:tcW w:w="48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Total interest expense</w:t>
            </w:r>
          </w:p>
        </w:tc>
        <w:tc>
          <w:tcPr>
            <w:tcW w:w="5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w w:val="86"/>
              </w:rPr>
              <w:t>175,856</w:t>
            </w:r>
          </w:p>
        </w:tc>
        <w:tc>
          <w:tcPr>
            <w:tcW w:w="16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330,942</w:t>
            </w:r>
          </w:p>
        </w:tc>
        <w:tc>
          <w:tcPr>
            <w:tcW w:w="5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382,561</w:t>
            </w:r>
          </w:p>
        </w:tc>
        <w:tc>
          <w:tcPr>
            <w:tcW w:w="1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736,254</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Net interest income</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w w:val="86"/>
              </w:rPr>
              <w:t>501,567</w:t>
            </w:r>
          </w:p>
        </w:tc>
        <w:tc>
          <w:tcPr>
            <w:tcW w:w="16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486,632</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949,374</w:t>
            </w:r>
          </w:p>
        </w:tc>
        <w:tc>
          <w:tcPr>
            <w:tcW w:w="1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965,482</w:t>
            </w:r>
          </w:p>
        </w:tc>
      </w:tr>
      <w:tr>
        <w:trPr>
          <w:trHeight w:val="223"/>
        </w:trPr>
        <w:tc>
          <w:tcPr>
            <w:tcW w:w="20" w:type="dxa"/>
            <w:vAlign w:val="bottom"/>
          </w:tcPr>
          <w:p>
            <w:pPr>
              <w:spacing w:after="0"/>
              <w:rPr>
                <w:sz w:val="19"/>
                <w:szCs w:val="19"/>
                <w:color w:val="auto"/>
              </w:rPr>
            </w:pPr>
          </w:p>
        </w:tc>
        <w:tc>
          <w:tcPr>
            <w:tcW w:w="48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Provision for credit losses</w:t>
            </w:r>
          </w:p>
        </w:tc>
        <w:tc>
          <w:tcPr>
            <w:tcW w:w="5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w w:val="86"/>
              </w:rPr>
              <w:t>147,000</w:t>
            </w:r>
          </w:p>
        </w:tc>
        <w:tc>
          <w:tcPr>
            <w:tcW w:w="16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100,000</w:t>
            </w: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305,000</w:t>
            </w:r>
          </w:p>
        </w:tc>
        <w:tc>
          <w:tcPr>
            <w:tcW w:w="1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160,000</w:t>
            </w:r>
          </w:p>
        </w:tc>
      </w:tr>
      <w:tr>
        <w:trPr>
          <w:trHeight w:val="216"/>
        </w:trPr>
        <w:tc>
          <w:tcPr>
            <w:tcW w:w="20" w:type="dxa"/>
            <w:vAlign w:val="bottom"/>
          </w:tcPr>
          <w:p>
            <w:pPr>
              <w:spacing w:after="0"/>
              <w:rPr>
                <w:sz w:val="18"/>
                <w:szCs w:val="18"/>
                <w:color w:val="auto"/>
              </w:rPr>
            </w:pPr>
          </w:p>
        </w:tc>
        <w:tc>
          <w:tcPr>
            <w:tcW w:w="48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Net interest income after provision for credit losses</w:t>
            </w:r>
          </w:p>
        </w:tc>
        <w:tc>
          <w:tcPr>
            <w:tcW w:w="5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531"/>
              <w:spacing w:after="0"/>
              <w:rPr>
                <w:sz w:val="20"/>
                <w:szCs w:val="20"/>
                <w:color w:val="auto"/>
              </w:rPr>
            </w:pPr>
            <w:r>
              <w:rPr>
                <w:rFonts w:ascii="Arial" w:cs="Arial" w:eastAsia="Arial" w:hAnsi="Arial"/>
                <w:sz w:val="18"/>
                <w:szCs w:val="18"/>
                <w:color w:val="auto"/>
                <w:w w:val="86"/>
              </w:rPr>
              <w:t>354,567</w:t>
            </w:r>
          </w:p>
        </w:tc>
        <w:tc>
          <w:tcPr>
            <w:tcW w:w="16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386,632</w:t>
            </w:r>
          </w:p>
        </w:tc>
        <w:tc>
          <w:tcPr>
            <w:tcW w:w="5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rPr>
              <w:t>644,374</w:t>
            </w:r>
          </w:p>
        </w:tc>
        <w:tc>
          <w:tcPr>
            <w:tcW w:w="1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805,482</w:t>
            </w: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Other income</w:t>
            </w:r>
          </w:p>
        </w:tc>
        <w:tc>
          <w:tcPr>
            <w:tcW w:w="5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Mortgage banking revenues</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52,983</w:t>
            </w:r>
          </w:p>
        </w:tc>
        <w:tc>
          <w:tcPr>
            <w:tcW w:w="16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38,219</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109,216</w:t>
            </w:r>
          </w:p>
        </w:tc>
        <w:tc>
          <w:tcPr>
            <w:tcW w:w="1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78,289</w:t>
            </w: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Service charges on deposit accounts</w:t>
            </w:r>
          </w:p>
        </w:tc>
        <w:tc>
          <w:tcPr>
            <w:tcW w:w="520" w:type="dxa"/>
            <w:vAlign w:val="bottom"/>
          </w:tcPr>
          <w:p>
            <w:pPr>
              <w:spacing w:after="0"/>
              <w:rPr>
                <w:sz w:val="18"/>
                <w:szCs w:val="18"/>
                <w:color w:val="auto"/>
              </w:rPr>
            </w:pPr>
          </w:p>
        </w:tc>
        <w:tc>
          <w:tcPr>
            <w:tcW w:w="1200" w:type="dxa"/>
            <w:vAlign w:val="bottom"/>
          </w:tcPr>
          <w:p>
            <w:pPr>
              <w:jc w:val="right"/>
              <w:ind w:right="531"/>
              <w:spacing w:after="0"/>
              <w:rPr>
                <w:sz w:val="20"/>
                <w:szCs w:val="20"/>
                <w:color w:val="auto"/>
              </w:rPr>
            </w:pPr>
            <w:r>
              <w:rPr>
                <w:rFonts w:ascii="Arial" w:cs="Arial" w:eastAsia="Arial" w:hAnsi="Arial"/>
                <w:sz w:val="18"/>
                <w:szCs w:val="18"/>
                <w:color w:val="auto"/>
                <w:w w:val="86"/>
              </w:rPr>
              <w:t>112,479</w:t>
            </w:r>
          </w:p>
        </w:tc>
        <w:tc>
          <w:tcPr>
            <w:tcW w:w="1640" w:type="dxa"/>
            <w:vAlign w:val="bottom"/>
          </w:tcPr>
          <w:p>
            <w:pPr>
              <w:jc w:val="right"/>
              <w:ind w:right="390"/>
              <w:spacing w:after="0"/>
              <w:rPr>
                <w:sz w:val="20"/>
                <w:szCs w:val="20"/>
                <w:color w:val="auto"/>
              </w:rPr>
            </w:pPr>
            <w:r>
              <w:rPr>
                <w:rFonts w:ascii="Arial" w:cs="Arial" w:eastAsia="Arial" w:hAnsi="Arial"/>
                <w:sz w:val="18"/>
                <w:szCs w:val="18"/>
                <w:color w:val="auto"/>
              </w:rPr>
              <w:t>110,340</w:t>
            </w:r>
          </w:p>
        </w:tc>
        <w:tc>
          <w:tcPr>
            <w:tcW w:w="540" w:type="dxa"/>
            <w:vAlign w:val="bottom"/>
          </w:tcPr>
          <w:p>
            <w:pPr>
              <w:spacing w:after="0"/>
              <w:rPr>
                <w:sz w:val="18"/>
                <w:szCs w:val="18"/>
                <w:color w:val="auto"/>
              </w:rPr>
            </w:pPr>
          </w:p>
        </w:tc>
        <w:tc>
          <w:tcPr>
            <w:tcW w:w="1220" w:type="dxa"/>
            <w:vAlign w:val="bottom"/>
          </w:tcPr>
          <w:p>
            <w:pPr>
              <w:jc w:val="right"/>
              <w:ind w:right="411"/>
              <w:spacing w:after="0"/>
              <w:rPr>
                <w:sz w:val="20"/>
                <w:szCs w:val="20"/>
                <w:color w:val="auto"/>
              </w:rPr>
            </w:pPr>
            <w:r>
              <w:rPr>
                <w:rFonts w:ascii="Arial" w:cs="Arial" w:eastAsia="Arial" w:hAnsi="Arial"/>
                <w:sz w:val="18"/>
                <w:szCs w:val="18"/>
                <w:color w:val="auto"/>
              </w:rPr>
              <w:t>213,508</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213,794</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Trust income</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32,442</w:t>
            </w:r>
          </w:p>
        </w:tc>
        <w:tc>
          <w:tcPr>
            <w:tcW w:w="16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40,426</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67,322</w:t>
            </w:r>
          </w:p>
        </w:tc>
        <w:tc>
          <w:tcPr>
            <w:tcW w:w="1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80,730</w:t>
            </w: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Brokerage services income</w:t>
            </w:r>
          </w:p>
        </w:tc>
        <w:tc>
          <w:tcPr>
            <w:tcW w:w="520" w:type="dxa"/>
            <w:vAlign w:val="bottom"/>
          </w:tcPr>
          <w:p>
            <w:pPr>
              <w:spacing w:after="0"/>
              <w:rPr>
                <w:sz w:val="18"/>
                <w:szCs w:val="18"/>
                <w:color w:val="auto"/>
              </w:rPr>
            </w:pPr>
          </w:p>
        </w:tc>
        <w:tc>
          <w:tcPr>
            <w:tcW w:w="1200" w:type="dxa"/>
            <w:vAlign w:val="bottom"/>
          </w:tcPr>
          <w:p>
            <w:pPr>
              <w:jc w:val="right"/>
              <w:ind w:right="531"/>
              <w:spacing w:after="0"/>
              <w:rPr>
                <w:sz w:val="20"/>
                <w:szCs w:val="20"/>
                <w:color w:val="auto"/>
              </w:rPr>
            </w:pPr>
            <w:r>
              <w:rPr>
                <w:rFonts w:ascii="Arial" w:cs="Arial" w:eastAsia="Arial" w:hAnsi="Arial"/>
                <w:sz w:val="18"/>
                <w:szCs w:val="18"/>
                <w:color w:val="auto"/>
              </w:rPr>
              <w:t>13,493</w:t>
            </w:r>
          </w:p>
        </w:tc>
        <w:tc>
          <w:tcPr>
            <w:tcW w:w="1640" w:type="dxa"/>
            <w:vAlign w:val="bottom"/>
          </w:tcPr>
          <w:p>
            <w:pPr>
              <w:jc w:val="right"/>
              <w:ind w:right="390"/>
              <w:spacing w:after="0"/>
              <w:rPr>
                <w:sz w:val="20"/>
                <w:szCs w:val="20"/>
                <w:color w:val="auto"/>
              </w:rPr>
            </w:pPr>
            <w:r>
              <w:rPr>
                <w:rFonts w:ascii="Arial" w:cs="Arial" w:eastAsia="Arial" w:hAnsi="Arial"/>
                <w:sz w:val="18"/>
                <w:szCs w:val="18"/>
                <w:color w:val="auto"/>
              </w:rPr>
              <w:t>17,211</w:t>
            </w:r>
          </w:p>
        </w:tc>
        <w:tc>
          <w:tcPr>
            <w:tcW w:w="540" w:type="dxa"/>
            <w:vAlign w:val="bottom"/>
          </w:tcPr>
          <w:p>
            <w:pPr>
              <w:spacing w:after="0"/>
              <w:rPr>
                <w:sz w:val="18"/>
                <w:szCs w:val="18"/>
                <w:color w:val="auto"/>
              </w:rPr>
            </w:pPr>
          </w:p>
        </w:tc>
        <w:tc>
          <w:tcPr>
            <w:tcW w:w="1220" w:type="dxa"/>
            <w:vAlign w:val="bottom"/>
          </w:tcPr>
          <w:p>
            <w:pPr>
              <w:jc w:val="right"/>
              <w:ind w:right="411"/>
              <w:spacing w:after="0"/>
              <w:rPr>
                <w:sz w:val="20"/>
                <w:szCs w:val="20"/>
                <w:color w:val="auto"/>
              </w:rPr>
            </w:pPr>
            <w:r>
              <w:rPr>
                <w:rFonts w:ascii="Arial" w:cs="Arial" w:eastAsia="Arial" w:hAnsi="Arial"/>
                <w:sz w:val="18"/>
                <w:szCs w:val="18"/>
                <w:color w:val="auto"/>
              </w:rPr>
              <w:t>28,886</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32,684</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Trading account and foreign exchange gains</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7,543</w:t>
            </w:r>
          </w:p>
        </w:tc>
        <w:tc>
          <w:tcPr>
            <w:tcW w:w="16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6,636</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8,978</w:t>
            </w:r>
          </w:p>
        </w:tc>
        <w:tc>
          <w:tcPr>
            <w:tcW w:w="1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11,349</w:t>
            </w: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Gain on bank investment securities</w:t>
            </w:r>
          </w:p>
        </w:tc>
        <w:tc>
          <w:tcPr>
            <w:tcW w:w="520" w:type="dxa"/>
            <w:vAlign w:val="bottom"/>
          </w:tcPr>
          <w:p>
            <w:pPr>
              <w:spacing w:after="0"/>
              <w:rPr>
                <w:sz w:val="18"/>
                <w:szCs w:val="18"/>
                <w:color w:val="auto"/>
              </w:rPr>
            </w:pPr>
          </w:p>
        </w:tc>
        <w:tc>
          <w:tcPr>
            <w:tcW w:w="1200" w:type="dxa"/>
            <w:vAlign w:val="bottom"/>
          </w:tcPr>
          <w:p>
            <w:pPr>
              <w:jc w:val="right"/>
              <w:ind w:right="531"/>
              <w:spacing w:after="0"/>
              <w:rPr>
                <w:sz w:val="20"/>
                <w:szCs w:val="20"/>
                <w:color w:val="auto"/>
              </w:rPr>
            </w:pPr>
            <w:r>
              <w:rPr>
                <w:rFonts w:ascii="Arial" w:cs="Arial" w:eastAsia="Arial" w:hAnsi="Arial"/>
                <w:sz w:val="18"/>
                <w:szCs w:val="18"/>
                <w:color w:val="auto"/>
              </w:rPr>
              <w:t>292</w:t>
            </w:r>
          </w:p>
        </w:tc>
        <w:tc>
          <w:tcPr>
            <w:tcW w:w="1640" w:type="dxa"/>
            <w:vAlign w:val="bottom"/>
          </w:tcPr>
          <w:p>
            <w:pPr>
              <w:jc w:val="right"/>
              <w:ind w:right="390"/>
              <w:spacing w:after="0"/>
              <w:rPr>
                <w:sz w:val="20"/>
                <w:szCs w:val="20"/>
                <w:color w:val="auto"/>
              </w:rPr>
            </w:pPr>
            <w:r>
              <w:rPr>
                <w:rFonts w:ascii="Arial" w:cs="Arial" w:eastAsia="Arial" w:hAnsi="Arial"/>
                <w:sz w:val="18"/>
                <w:szCs w:val="18"/>
                <w:color w:val="auto"/>
              </w:rPr>
              <w:t>325</w:t>
            </w:r>
          </w:p>
        </w:tc>
        <w:tc>
          <w:tcPr>
            <w:tcW w:w="540" w:type="dxa"/>
            <w:vAlign w:val="bottom"/>
          </w:tcPr>
          <w:p>
            <w:pPr>
              <w:spacing w:after="0"/>
              <w:rPr>
                <w:sz w:val="18"/>
                <w:szCs w:val="18"/>
                <w:color w:val="auto"/>
              </w:rPr>
            </w:pPr>
          </w:p>
        </w:tc>
        <w:tc>
          <w:tcPr>
            <w:tcW w:w="1220" w:type="dxa"/>
            <w:vAlign w:val="bottom"/>
          </w:tcPr>
          <w:p>
            <w:pPr>
              <w:jc w:val="right"/>
              <w:ind w:right="411"/>
              <w:spacing w:after="0"/>
              <w:rPr>
                <w:sz w:val="20"/>
                <w:szCs w:val="20"/>
                <w:color w:val="auto"/>
              </w:rPr>
            </w:pPr>
            <w:r>
              <w:rPr>
                <w:rFonts w:ascii="Arial" w:cs="Arial" w:eastAsia="Arial" w:hAnsi="Arial"/>
                <w:sz w:val="18"/>
                <w:szCs w:val="18"/>
                <w:color w:val="auto"/>
              </w:rPr>
              <w:t>867</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33,772</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other-than-temporary impairment (“OTTI”) losses</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w w:val="92"/>
              </w:rPr>
              <w:t>(75,697)</w:t>
            </w:r>
          </w:p>
        </w:tc>
        <w:tc>
          <w:tcPr>
            <w:tcW w:w="16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(5,746)</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w w:val="98"/>
              </w:rPr>
              <w:t>(138,505)</w:t>
            </w:r>
          </w:p>
        </w:tc>
        <w:tc>
          <w:tcPr>
            <w:tcW w:w="1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(5,746)</w:t>
            </w:r>
          </w:p>
        </w:tc>
      </w:tr>
      <w:tr>
        <w:trPr>
          <w:trHeight w:val="202"/>
        </w:trPr>
        <w:tc>
          <w:tcPr>
            <w:tcW w:w="20" w:type="dxa"/>
            <w:vAlign w:val="bottom"/>
          </w:tcPr>
          <w:p>
            <w:pPr>
              <w:spacing w:after="0"/>
              <w:rPr>
                <w:sz w:val="17"/>
                <w:szCs w:val="17"/>
                <w:color w:val="auto"/>
              </w:rPr>
            </w:pPr>
          </w:p>
        </w:tc>
        <w:tc>
          <w:tcPr>
            <w:tcW w:w="4840" w:type="dxa"/>
            <w:vAlign w:val="bottom"/>
          </w:tcPr>
          <w:p>
            <w:pPr>
              <w:ind w:left="200"/>
              <w:spacing w:after="0" w:line="201" w:lineRule="exact"/>
              <w:rPr>
                <w:sz w:val="20"/>
                <w:szCs w:val="20"/>
                <w:color w:val="auto"/>
              </w:rPr>
            </w:pPr>
            <w:r>
              <w:rPr>
                <w:rFonts w:ascii="Arial" w:cs="Arial" w:eastAsia="Arial" w:hAnsi="Arial"/>
                <w:sz w:val="18"/>
                <w:szCs w:val="18"/>
                <w:color w:val="auto"/>
                <w:w w:val="99"/>
              </w:rPr>
              <w:t>Portion of OTTI losses recognized in other comprehensive</w:t>
            </w:r>
          </w:p>
        </w:tc>
        <w:tc>
          <w:tcPr>
            <w:tcW w:w="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48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income (before taxes)</w:t>
            </w:r>
          </w:p>
        </w:tc>
        <w:tc>
          <w:tcPr>
            <w:tcW w:w="5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rPr>
              <w:t>50,928</w:t>
            </w:r>
          </w:p>
        </w:tc>
        <w:tc>
          <w:tcPr>
            <w:tcW w:w="16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81,537</w:t>
            </w:r>
          </w:p>
        </w:tc>
        <w:tc>
          <w:tcPr>
            <w:tcW w:w="1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Net OTTI losses recognized in earnings</w:t>
            </w:r>
          </w:p>
        </w:tc>
        <w:tc>
          <w:tcPr>
            <w:tcW w:w="5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8"/>
                <w:szCs w:val="18"/>
                <w:color w:val="auto"/>
                <w:w w:val="92"/>
              </w:rPr>
              <w:t>(24,769)</w:t>
            </w:r>
          </w:p>
        </w:tc>
        <w:tc>
          <w:tcPr>
            <w:tcW w:w="16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(5,746)</w:t>
            </w:r>
          </w:p>
        </w:tc>
        <w:tc>
          <w:tcPr>
            <w:tcW w:w="5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(56,968)</w:t>
            </w: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(5,746)</w:t>
            </w:r>
          </w:p>
        </w:tc>
      </w:tr>
      <w:tr>
        <w:trPr>
          <w:trHeight w:val="223"/>
        </w:trPr>
        <w:tc>
          <w:tcPr>
            <w:tcW w:w="20" w:type="dxa"/>
            <w:vAlign w:val="bottom"/>
          </w:tcPr>
          <w:p>
            <w:pPr>
              <w:spacing w:after="0"/>
              <w:rPr>
                <w:sz w:val="19"/>
                <w:szCs w:val="19"/>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Equity in earnings of Bayview Lending Group LLC</w:t>
            </w:r>
          </w:p>
        </w:tc>
        <w:tc>
          <w:tcPr>
            <w:tcW w:w="520" w:type="dxa"/>
            <w:vAlign w:val="bottom"/>
          </w:tcPr>
          <w:p>
            <w:pPr>
              <w:spacing w:after="0"/>
              <w:rPr>
                <w:sz w:val="19"/>
                <w:szCs w:val="19"/>
                <w:color w:val="auto"/>
              </w:rPr>
            </w:pPr>
          </w:p>
        </w:tc>
        <w:tc>
          <w:tcPr>
            <w:tcW w:w="1200" w:type="dxa"/>
            <w:vAlign w:val="bottom"/>
          </w:tcPr>
          <w:p>
            <w:pPr>
              <w:jc w:val="right"/>
              <w:ind w:right="471"/>
              <w:spacing w:after="0"/>
              <w:rPr>
                <w:sz w:val="20"/>
                <w:szCs w:val="20"/>
                <w:color w:val="auto"/>
              </w:rPr>
            </w:pPr>
            <w:r>
              <w:rPr>
                <w:rFonts w:ascii="Arial" w:cs="Arial" w:eastAsia="Arial" w:hAnsi="Arial"/>
                <w:sz w:val="18"/>
                <w:szCs w:val="18"/>
                <w:color w:val="auto"/>
              </w:rPr>
              <w:t>(207)</w:t>
            </w:r>
          </w:p>
        </w:tc>
        <w:tc>
          <w:tcPr>
            <w:tcW w:w="1640" w:type="dxa"/>
            <w:vAlign w:val="bottom"/>
          </w:tcPr>
          <w:p>
            <w:pPr>
              <w:jc w:val="right"/>
              <w:ind w:right="330"/>
              <w:spacing w:after="0"/>
              <w:rPr>
                <w:sz w:val="20"/>
                <w:szCs w:val="20"/>
                <w:color w:val="auto"/>
              </w:rPr>
            </w:pPr>
            <w:r>
              <w:rPr>
                <w:rFonts w:ascii="Arial" w:cs="Arial" w:eastAsia="Arial" w:hAnsi="Arial"/>
                <w:sz w:val="18"/>
                <w:szCs w:val="18"/>
                <w:color w:val="auto"/>
              </w:rPr>
              <w:t>(13,026)</w:t>
            </w:r>
          </w:p>
        </w:tc>
        <w:tc>
          <w:tcPr>
            <w:tcW w:w="540" w:type="dxa"/>
            <w:vAlign w:val="bottom"/>
          </w:tcPr>
          <w:p>
            <w:pPr>
              <w:spacing w:after="0"/>
              <w:rPr>
                <w:sz w:val="19"/>
                <w:szCs w:val="19"/>
                <w:color w:val="auto"/>
              </w:rPr>
            </w:pPr>
          </w:p>
        </w:tc>
        <w:tc>
          <w:tcPr>
            <w:tcW w:w="1220" w:type="dxa"/>
            <w:vAlign w:val="bottom"/>
          </w:tcPr>
          <w:p>
            <w:pPr>
              <w:jc w:val="right"/>
              <w:ind w:right="351"/>
              <w:spacing w:after="0"/>
              <w:rPr>
                <w:sz w:val="20"/>
                <w:szCs w:val="20"/>
                <w:color w:val="auto"/>
              </w:rPr>
            </w:pPr>
            <w:r>
              <w:rPr>
                <w:rFonts w:ascii="Arial" w:cs="Arial" w:eastAsia="Arial" w:hAnsi="Arial"/>
                <w:sz w:val="18"/>
                <w:szCs w:val="18"/>
                <w:color w:val="auto"/>
              </w:rPr>
              <w:t>(4,351)</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(14,286)</w:t>
            </w:r>
          </w:p>
        </w:tc>
      </w:tr>
      <w:tr>
        <w:trPr>
          <w:trHeight w:val="216"/>
        </w:trPr>
        <w:tc>
          <w:tcPr>
            <w:tcW w:w="20" w:type="dxa"/>
            <w:vAlign w:val="bottom"/>
          </w:tcPr>
          <w:p>
            <w:pPr>
              <w:spacing w:after="0"/>
              <w:rPr>
                <w:sz w:val="18"/>
                <w:szCs w:val="18"/>
                <w:color w:val="auto"/>
              </w:rPr>
            </w:pPr>
          </w:p>
        </w:tc>
        <w:tc>
          <w:tcPr>
            <w:tcW w:w="48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Other revenues from operations</w:t>
            </w:r>
          </w:p>
        </w:tc>
        <w:tc>
          <w:tcPr>
            <w:tcW w:w="5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531"/>
              <w:spacing w:after="0"/>
              <w:rPr>
                <w:sz w:val="20"/>
                <w:szCs w:val="20"/>
                <w:color w:val="auto"/>
              </w:rPr>
            </w:pPr>
            <w:r>
              <w:rPr>
                <w:rFonts w:ascii="Arial" w:cs="Arial" w:eastAsia="Arial" w:hAnsi="Arial"/>
                <w:sz w:val="18"/>
                <w:szCs w:val="18"/>
                <w:color w:val="auto"/>
              </w:rPr>
              <w:t>77,393</w:t>
            </w:r>
          </w:p>
        </w:tc>
        <w:tc>
          <w:tcPr>
            <w:tcW w:w="16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76,797</w:t>
            </w:r>
          </w:p>
        </w:tc>
        <w:tc>
          <w:tcPr>
            <w:tcW w:w="5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rPr>
              <w:t>136,532</w:t>
            </w:r>
          </w:p>
        </w:tc>
        <w:tc>
          <w:tcPr>
            <w:tcW w:w="1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153,259</w:t>
            </w:r>
          </w:p>
        </w:tc>
      </w:tr>
      <w:tr>
        <w:trPr>
          <w:trHeight w:val="230"/>
        </w:trPr>
        <w:tc>
          <w:tcPr>
            <w:tcW w:w="20" w:type="dxa"/>
            <w:vAlign w:val="bottom"/>
          </w:tcPr>
          <w:p>
            <w:pPr>
              <w:spacing w:after="0"/>
              <w:rPr>
                <w:sz w:val="20"/>
                <w:szCs w:val="20"/>
                <w:color w:val="auto"/>
              </w:rPr>
            </w:pPr>
          </w:p>
        </w:tc>
        <w:tc>
          <w:tcPr>
            <w:tcW w:w="48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Total other income</w:t>
            </w:r>
          </w:p>
        </w:tc>
        <w:tc>
          <w:tcPr>
            <w:tcW w:w="5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w w:val="86"/>
              </w:rPr>
              <w:t>271,649</w:t>
            </w:r>
          </w:p>
        </w:tc>
        <w:tc>
          <w:tcPr>
            <w:tcW w:w="16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271,182</w:t>
            </w:r>
          </w:p>
        </w:tc>
        <w:tc>
          <w:tcPr>
            <w:tcW w:w="5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503,990</w:t>
            </w:r>
          </w:p>
        </w:tc>
        <w:tc>
          <w:tcPr>
            <w:tcW w:w="1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583,845</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Salaries and employee benefits</w:t>
            </w:r>
          </w:p>
        </w:tc>
        <w:tc>
          <w:tcPr>
            <w:tcW w:w="520" w:type="dxa"/>
            <w:vAlign w:val="bottom"/>
          </w:tcPr>
          <w:p>
            <w:pPr>
              <w:spacing w:after="0"/>
              <w:rPr>
                <w:sz w:val="18"/>
                <w:szCs w:val="18"/>
                <w:color w:val="auto"/>
              </w:rPr>
            </w:pPr>
          </w:p>
        </w:tc>
        <w:tc>
          <w:tcPr>
            <w:tcW w:w="1200" w:type="dxa"/>
            <w:vAlign w:val="bottom"/>
          </w:tcPr>
          <w:p>
            <w:pPr>
              <w:jc w:val="right"/>
              <w:ind w:right="531"/>
              <w:spacing w:after="0"/>
              <w:rPr>
                <w:sz w:val="20"/>
                <w:szCs w:val="20"/>
                <w:color w:val="auto"/>
              </w:rPr>
            </w:pPr>
            <w:r>
              <w:rPr>
                <w:rFonts w:ascii="Arial" w:cs="Arial" w:eastAsia="Arial" w:hAnsi="Arial"/>
                <w:sz w:val="18"/>
                <w:szCs w:val="18"/>
                <w:color w:val="auto"/>
                <w:w w:val="86"/>
              </w:rPr>
              <w:t>249,952</w:t>
            </w:r>
          </w:p>
        </w:tc>
        <w:tc>
          <w:tcPr>
            <w:tcW w:w="1640" w:type="dxa"/>
            <w:vAlign w:val="bottom"/>
          </w:tcPr>
          <w:p>
            <w:pPr>
              <w:jc w:val="right"/>
              <w:ind w:right="390"/>
              <w:spacing w:after="0"/>
              <w:rPr>
                <w:sz w:val="20"/>
                <w:szCs w:val="20"/>
                <w:color w:val="auto"/>
              </w:rPr>
            </w:pPr>
            <w:r>
              <w:rPr>
                <w:rFonts w:ascii="Arial" w:cs="Arial" w:eastAsia="Arial" w:hAnsi="Arial"/>
                <w:sz w:val="18"/>
                <w:szCs w:val="18"/>
                <w:color w:val="auto"/>
              </w:rPr>
              <w:t>236,127</w:t>
            </w:r>
          </w:p>
        </w:tc>
        <w:tc>
          <w:tcPr>
            <w:tcW w:w="540" w:type="dxa"/>
            <w:vAlign w:val="bottom"/>
          </w:tcPr>
          <w:p>
            <w:pPr>
              <w:spacing w:after="0"/>
              <w:rPr>
                <w:sz w:val="18"/>
                <w:szCs w:val="18"/>
                <w:color w:val="auto"/>
              </w:rPr>
            </w:pPr>
          </w:p>
        </w:tc>
        <w:tc>
          <w:tcPr>
            <w:tcW w:w="1220" w:type="dxa"/>
            <w:vAlign w:val="bottom"/>
          </w:tcPr>
          <w:p>
            <w:pPr>
              <w:jc w:val="right"/>
              <w:ind w:right="411"/>
              <w:spacing w:after="0"/>
              <w:rPr>
                <w:sz w:val="20"/>
                <w:szCs w:val="20"/>
                <w:color w:val="auto"/>
              </w:rPr>
            </w:pPr>
            <w:r>
              <w:rPr>
                <w:rFonts w:ascii="Arial" w:cs="Arial" w:eastAsia="Arial" w:hAnsi="Arial"/>
                <w:sz w:val="18"/>
                <w:szCs w:val="18"/>
                <w:color w:val="auto"/>
              </w:rPr>
              <w:t>499,344</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487,998</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Equipment and net occupancy</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51,321</w:t>
            </w:r>
          </w:p>
        </w:tc>
        <w:tc>
          <w:tcPr>
            <w:tcW w:w="16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47,252</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99,493</w:t>
            </w:r>
          </w:p>
        </w:tc>
        <w:tc>
          <w:tcPr>
            <w:tcW w:w="1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94,017</w:t>
            </w: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Printing, postage and supplies</w:t>
            </w:r>
          </w:p>
        </w:tc>
        <w:tc>
          <w:tcPr>
            <w:tcW w:w="520" w:type="dxa"/>
            <w:vAlign w:val="bottom"/>
          </w:tcPr>
          <w:p>
            <w:pPr>
              <w:spacing w:after="0"/>
              <w:rPr>
                <w:sz w:val="18"/>
                <w:szCs w:val="18"/>
                <w:color w:val="auto"/>
              </w:rPr>
            </w:pPr>
          </w:p>
        </w:tc>
        <w:tc>
          <w:tcPr>
            <w:tcW w:w="1200" w:type="dxa"/>
            <w:vAlign w:val="bottom"/>
          </w:tcPr>
          <w:p>
            <w:pPr>
              <w:jc w:val="right"/>
              <w:ind w:right="531"/>
              <w:spacing w:after="0"/>
              <w:rPr>
                <w:sz w:val="20"/>
                <w:szCs w:val="20"/>
                <w:color w:val="auto"/>
              </w:rPr>
            </w:pPr>
            <w:r>
              <w:rPr>
                <w:rFonts w:ascii="Arial" w:cs="Arial" w:eastAsia="Arial" w:hAnsi="Arial"/>
                <w:sz w:val="18"/>
                <w:szCs w:val="18"/>
                <w:color w:val="auto"/>
              </w:rPr>
              <w:t>11,554</w:t>
            </w:r>
          </w:p>
        </w:tc>
        <w:tc>
          <w:tcPr>
            <w:tcW w:w="1640" w:type="dxa"/>
            <w:vAlign w:val="bottom"/>
          </w:tcPr>
          <w:p>
            <w:pPr>
              <w:jc w:val="right"/>
              <w:ind w:right="390"/>
              <w:spacing w:after="0"/>
              <w:rPr>
                <w:sz w:val="20"/>
                <w:szCs w:val="20"/>
                <w:color w:val="auto"/>
              </w:rPr>
            </w:pPr>
            <w:r>
              <w:rPr>
                <w:rFonts w:ascii="Arial" w:cs="Arial" w:eastAsia="Arial" w:hAnsi="Arial"/>
                <w:sz w:val="18"/>
                <w:szCs w:val="18"/>
                <w:color w:val="auto"/>
              </w:rPr>
              <w:t>9,120</w:t>
            </w:r>
          </w:p>
        </w:tc>
        <w:tc>
          <w:tcPr>
            <w:tcW w:w="540" w:type="dxa"/>
            <w:vAlign w:val="bottom"/>
          </w:tcPr>
          <w:p>
            <w:pPr>
              <w:spacing w:after="0"/>
              <w:rPr>
                <w:sz w:val="18"/>
                <w:szCs w:val="18"/>
                <w:color w:val="auto"/>
              </w:rPr>
            </w:pPr>
          </w:p>
        </w:tc>
        <w:tc>
          <w:tcPr>
            <w:tcW w:w="1220" w:type="dxa"/>
            <w:vAlign w:val="bottom"/>
          </w:tcPr>
          <w:p>
            <w:pPr>
              <w:jc w:val="right"/>
              <w:ind w:right="411"/>
              <w:spacing w:after="0"/>
              <w:rPr>
                <w:sz w:val="20"/>
                <w:szCs w:val="20"/>
                <w:color w:val="auto"/>
              </w:rPr>
            </w:pPr>
            <w:r>
              <w:rPr>
                <w:rFonts w:ascii="Arial" w:cs="Arial" w:eastAsia="Arial" w:hAnsi="Arial"/>
                <w:sz w:val="18"/>
                <w:szCs w:val="18"/>
                <w:color w:val="auto"/>
              </w:rPr>
              <w:t>20,649</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19,016</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core deposit and other intangible assets</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15,231</w:t>
            </w:r>
          </w:p>
        </w:tc>
        <w:tc>
          <w:tcPr>
            <w:tcW w:w="16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16,615</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30,601</w:t>
            </w:r>
          </w:p>
        </w:tc>
        <w:tc>
          <w:tcPr>
            <w:tcW w:w="1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35,098</w:t>
            </w: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Deposit insurance</w:t>
            </w:r>
          </w:p>
        </w:tc>
        <w:tc>
          <w:tcPr>
            <w:tcW w:w="520" w:type="dxa"/>
            <w:vAlign w:val="bottom"/>
          </w:tcPr>
          <w:p>
            <w:pPr>
              <w:spacing w:after="0"/>
              <w:rPr>
                <w:sz w:val="18"/>
                <w:szCs w:val="18"/>
                <w:color w:val="auto"/>
              </w:rPr>
            </w:pPr>
          </w:p>
        </w:tc>
        <w:tc>
          <w:tcPr>
            <w:tcW w:w="1200" w:type="dxa"/>
            <w:vAlign w:val="bottom"/>
          </w:tcPr>
          <w:p>
            <w:pPr>
              <w:jc w:val="right"/>
              <w:ind w:right="531"/>
              <w:spacing w:after="0"/>
              <w:rPr>
                <w:sz w:val="20"/>
                <w:szCs w:val="20"/>
                <w:color w:val="auto"/>
              </w:rPr>
            </w:pPr>
            <w:r>
              <w:rPr>
                <w:rFonts w:ascii="Arial" w:cs="Arial" w:eastAsia="Arial" w:hAnsi="Arial"/>
                <w:sz w:val="18"/>
                <w:szCs w:val="18"/>
                <w:color w:val="auto"/>
              </w:rPr>
              <w:t>49,637</w:t>
            </w:r>
          </w:p>
        </w:tc>
        <w:tc>
          <w:tcPr>
            <w:tcW w:w="1640" w:type="dxa"/>
            <w:vAlign w:val="bottom"/>
          </w:tcPr>
          <w:p>
            <w:pPr>
              <w:jc w:val="right"/>
              <w:ind w:right="390"/>
              <w:spacing w:after="0"/>
              <w:rPr>
                <w:sz w:val="20"/>
                <w:szCs w:val="20"/>
                <w:color w:val="auto"/>
              </w:rPr>
            </w:pPr>
            <w:r>
              <w:rPr>
                <w:rFonts w:ascii="Arial" w:cs="Arial" w:eastAsia="Arial" w:hAnsi="Arial"/>
                <w:sz w:val="18"/>
                <w:szCs w:val="18"/>
                <w:color w:val="auto"/>
              </w:rPr>
              <w:t>1,534</w:t>
            </w:r>
          </w:p>
        </w:tc>
        <w:tc>
          <w:tcPr>
            <w:tcW w:w="540" w:type="dxa"/>
            <w:vAlign w:val="bottom"/>
          </w:tcPr>
          <w:p>
            <w:pPr>
              <w:spacing w:after="0"/>
              <w:rPr>
                <w:sz w:val="18"/>
                <w:szCs w:val="18"/>
                <w:color w:val="auto"/>
              </w:rPr>
            </w:pPr>
          </w:p>
        </w:tc>
        <w:tc>
          <w:tcPr>
            <w:tcW w:w="1220" w:type="dxa"/>
            <w:vAlign w:val="bottom"/>
          </w:tcPr>
          <w:p>
            <w:pPr>
              <w:jc w:val="right"/>
              <w:ind w:right="411"/>
              <w:spacing w:after="0"/>
              <w:rPr>
                <w:sz w:val="20"/>
                <w:szCs w:val="20"/>
                <w:color w:val="auto"/>
              </w:rPr>
            </w:pPr>
            <w:r>
              <w:rPr>
                <w:rFonts w:ascii="Arial" w:cs="Arial" w:eastAsia="Arial" w:hAnsi="Arial"/>
                <w:sz w:val="18"/>
                <w:szCs w:val="18"/>
                <w:color w:val="auto"/>
              </w:rPr>
              <w:t>55,493</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3,073</w:t>
            </w:r>
          </w:p>
        </w:tc>
      </w:tr>
      <w:tr>
        <w:trPr>
          <w:trHeight w:val="216"/>
        </w:trPr>
        <w:tc>
          <w:tcPr>
            <w:tcW w:w="20" w:type="dxa"/>
            <w:vAlign w:val="bottom"/>
          </w:tcPr>
          <w:p>
            <w:pPr>
              <w:spacing w:after="0"/>
              <w:rPr>
                <w:sz w:val="18"/>
                <w:szCs w:val="18"/>
                <w:color w:val="auto"/>
              </w:rPr>
            </w:pPr>
          </w:p>
        </w:tc>
        <w:tc>
          <w:tcPr>
            <w:tcW w:w="48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Other costs of operations</w:t>
            </w:r>
          </w:p>
        </w:tc>
        <w:tc>
          <w:tcPr>
            <w:tcW w:w="5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531"/>
              <w:spacing w:after="0"/>
              <w:rPr>
                <w:sz w:val="20"/>
                <w:szCs w:val="20"/>
                <w:color w:val="auto"/>
              </w:rPr>
            </w:pPr>
            <w:r>
              <w:rPr>
                <w:rFonts w:ascii="Arial" w:cs="Arial" w:eastAsia="Arial" w:hAnsi="Arial"/>
                <w:sz w:val="18"/>
                <w:szCs w:val="18"/>
                <w:color w:val="auto"/>
                <w:w w:val="86"/>
              </w:rPr>
              <w:t>186,015</w:t>
            </w:r>
          </w:p>
        </w:tc>
        <w:tc>
          <w:tcPr>
            <w:tcW w:w="16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109,062</w:t>
            </w:r>
          </w:p>
        </w:tc>
        <w:tc>
          <w:tcPr>
            <w:tcW w:w="5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rPr>
              <w:t>296,476</w:t>
            </w:r>
          </w:p>
        </w:tc>
        <w:tc>
          <w:tcPr>
            <w:tcW w:w="1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206,212</w:t>
            </w:r>
          </w:p>
        </w:tc>
      </w:tr>
      <w:tr>
        <w:trPr>
          <w:trHeight w:val="230"/>
        </w:trPr>
        <w:tc>
          <w:tcPr>
            <w:tcW w:w="20" w:type="dxa"/>
            <w:vAlign w:val="bottom"/>
          </w:tcPr>
          <w:p>
            <w:pPr>
              <w:spacing w:after="0"/>
              <w:rPr>
                <w:sz w:val="20"/>
                <w:szCs w:val="20"/>
                <w:color w:val="auto"/>
              </w:rPr>
            </w:pPr>
          </w:p>
        </w:tc>
        <w:tc>
          <w:tcPr>
            <w:tcW w:w="48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Total other expense</w:t>
            </w:r>
          </w:p>
        </w:tc>
        <w:tc>
          <w:tcPr>
            <w:tcW w:w="5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w w:val="86"/>
              </w:rPr>
              <w:t>563,710</w:t>
            </w:r>
          </w:p>
        </w:tc>
        <w:tc>
          <w:tcPr>
            <w:tcW w:w="16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419,710</w:t>
            </w:r>
          </w:p>
        </w:tc>
        <w:tc>
          <w:tcPr>
            <w:tcW w:w="5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w w:val="87"/>
              </w:rPr>
              <w:t>1,002,056</w:t>
            </w:r>
          </w:p>
        </w:tc>
        <w:tc>
          <w:tcPr>
            <w:tcW w:w="1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845,414</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taxes</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62,506</w:t>
            </w:r>
          </w:p>
        </w:tc>
        <w:tc>
          <w:tcPr>
            <w:tcW w:w="16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238,104</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146,308</w:t>
            </w:r>
          </w:p>
        </w:tc>
        <w:tc>
          <w:tcPr>
            <w:tcW w:w="1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543,913</w:t>
            </w:r>
          </w:p>
        </w:tc>
      </w:tr>
      <w:tr>
        <w:trPr>
          <w:trHeight w:val="223"/>
        </w:trPr>
        <w:tc>
          <w:tcPr>
            <w:tcW w:w="20" w:type="dxa"/>
            <w:vAlign w:val="bottom"/>
          </w:tcPr>
          <w:p>
            <w:pPr>
              <w:spacing w:after="0"/>
              <w:rPr>
                <w:sz w:val="19"/>
                <w:szCs w:val="19"/>
                <w:color w:val="auto"/>
              </w:rPr>
            </w:pPr>
          </w:p>
        </w:tc>
        <w:tc>
          <w:tcPr>
            <w:tcW w:w="48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Income taxes</w:t>
            </w:r>
          </w:p>
        </w:tc>
        <w:tc>
          <w:tcPr>
            <w:tcW w:w="5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rPr>
              <w:t>11,318</w:t>
            </w:r>
          </w:p>
        </w:tc>
        <w:tc>
          <w:tcPr>
            <w:tcW w:w="16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77,839</w:t>
            </w: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30,899</w:t>
            </w:r>
          </w:p>
        </w:tc>
        <w:tc>
          <w:tcPr>
            <w:tcW w:w="1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181,452</w:t>
            </w:r>
          </w:p>
        </w:tc>
      </w:tr>
      <w:tr>
        <w:trPr>
          <w:trHeight w:val="216"/>
        </w:trPr>
        <w:tc>
          <w:tcPr>
            <w:tcW w:w="20" w:type="dxa"/>
            <w:vAlign w:val="bottom"/>
          </w:tcPr>
          <w:p>
            <w:pPr>
              <w:spacing w:after="0"/>
              <w:rPr>
                <w:sz w:val="18"/>
                <w:szCs w:val="18"/>
                <w:color w:val="auto"/>
              </w:rPr>
            </w:pPr>
          </w:p>
        </w:tc>
        <w:tc>
          <w:tcPr>
            <w:tcW w:w="48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i w:val="1"/>
                <w:iCs w:val="1"/>
                <w:color w:val="auto"/>
              </w:rPr>
              <w:t>Net income</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531"/>
              <w:spacing w:after="0"/>
              <w:rPr>
                <w:sz w:val="20"/>
                <w:szCs w:val="20"/>
                <w:color w:val="auto"/>
              </w:rPr>
            </w:pPr>
            <w:r>
              <w:rPr>
                <w:rFonts w:ascii="Arial" w:cs="Arial" w:eastAsia="Arial" w:hAnsi="Arial"/>
                <w:sz w:val="18"/>
                <w:szCs w:val="18"/>
                <w:color w:val="auto"/>
              </w:rPr>
              <w:t>51,188</w:t>
            </w:r>
          </w:p>
        </w:tc>
        <w:tc>
          <w:tcPr>
            <w:tcW w:w="16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160,265</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rPr>
              <w:t>115,409</w:t>
            </w:r>
          </w:p>
        </w:tc>
        <w:tc>
          <w:tcPr>
            <w:tcW w:w="1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362,461</w:t>
            </w:r>
          </w:p>
        </w:tc>
      </w:tr>
      <w:tr>
        <w:trPr>
          <w:trHeight w:val="20"/>
        </w:trPr>
        <w:tc>
          <w:tcPr>
            <w:tcW w:w="20" w:type="dxa"/>
            <w:vAlign w:val="bottom"/>
          </w:tcPr>
          <w:p>
            <w:pPr>
              <w:spacing w:after="0" w:line="20" w:lineRule="exact"/>
              <w:rPr>
                <w:sz w:val="1"/>
                <w:szCs w:val="1"/>
                <w:color w:val="auto"/>
              </w:rPr>
            </w:pPr>
          </w:p>
        </w:tc>
        <w:tc>
          <w:tcPr>
            <w:tcW w:w="4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Net income available to common shareholders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31"/>
              <w:spacing w:after="0"/>
              <w:rPr>
                <w:sz w:val="20"/>
                <w:szCs w:val="20"/>
                <w:color w:val="auto"/>
              </w:rPr>
            </w:pPr>
            <w:r>
              <w:rPr>
                <w:rFonts w:ascii="Arial" w:cs="Arial" w:eastAsia="Arial" w:hAnsi="Arial"/>
                <w:sz w:val="18"/>
                <w:szCs w:val="18"/>
                <w:color w:val="auto"/>
              </w:rPr>
              <w:t>40,516</w:t>
            </w:r>
          </w:p>
        </w:tc>
        <w:tc>
          <w:tcPr>
            <w:tcW w:w="1640" w:type="dxa"/>
            <w:vAlign w:val="bottom"/>
          </w:tcPr>
          <w:p>
            <w:pPr>
              <w:jc w:val="right"/>
              <w:ind w:right="390"/>
              <w:spacing w:after="0"/>
              <w:rPr>
                <w:sz w:val="20"/>
                <w:szCs w:val="20"/>
                <w:color w:val="auto"/>
              </w:rPr>
            </w:pPr>
            <w:r>
              <w:rPr>
                <w:rFonts w:ascii="Arial" w:cs="Arial" w:eastAsia="Arial" w:hAnsi="Arial"/>
                <w:sz w:val="18"/>
                <w:szCs w:val="18"/>
                <w:color w:val="auto"/>
              </w:rPr>
              <w:t>160,265</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411"/>
              <w:spacing w:after="0"/>
              <w:rPr>
                <w:sz w:val="20"/>
                <w:szCs w:val="20"/>
                <w:color w:val="auto"/>
              </w:rPr>
            </w:pPr>
            <w:r>
              <w:rPr>
                <w:rFonts w:ascii="Arial" w:cs="Arial" w:eastAsia="Arial" w:hAnsi="Arial"/>
                <w:sz w:val="18"/>
                <w:szCs w:val="18"/>
                <w:color w:val="auto"/>
              </w:rPr>
              <w:t>95,105</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362,461</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per common share</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00"/>
              <w:spacing w:after="0"/>
              <w:rPr>
                <w:sz w:val="20"/>
                <w:szCs w:val="20"/>
                <w:color w:val="auto"/>
              </w:rPr>
            </w:pPr>
            <w:r>
              <w:rPr>
                <w:rFonts w:ascii="Arial" w:cs="Arial" w:eastAsia="Arial" w:hAnsi="Arial"/>
                <w:sz w:val="18"/>
                <w:szCs w:val="18"/>
                <w:color w:val="auto"/>
              </w:rPr>
              <w:t>Basic</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31"/>
              <w:spacing w:after="0"/>
              <w:rPr>
                <w:sz w:val="20"/>
                <w:szCs w:val="20"/>
                <w:color w:val="auto"/>
              </w:rPr>
            </w:pPr>
            <w:r>
              <w:rPr>
                <w:rFonts w:ascii="Arial" w:cs="Arial" w:eastAsia="Arial" w:hAnsi="Arial"/>
                <w:sz w:val="18"/>
                <w:szCs w:val="18"/>
                <w:color w:val="auto"/>
              </w:rPr>
              <w:t>.36</w:t>
            </w:r>
          </w:p>
        </w:tc>
        <w:tc>
          <w:tcPr>
            <w:tcW w:w="1640" w:type="dxa"/>
            <w:vAlign w:val="bottom"/>
          </w:tcPr>
          <w:p>
            <w:pPr>
              <w:jc w:val="right"/>
              <w:ind w:right="390"/>
              <w:spacing w:after="0"/>
              <w:rPr>
                <w:sz w:val="20"/>
                <w:szCs w:val="20"/>
                <w:color w:val="auto"/>
              </w:rPr>
            </w:pPr>
            <w:r>
              <w:rPr>
                <w:rFonts w:ascii="Arial" w:cs="Arial" w:eastAsia="Arial" w:hAnsi="Arial"/>
                <w:sz w:val="18"/>
                <w:szCs w:val="18"/>
                <w:color w:val="auto"/>
              </w:rPr>
              <w:t>1.45</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411"/>
              <w:spacing w:after="0"/>
              <w:rPr>
                <w:sz w:val="20"/>
                <w:szCs w:val="20"/>
                <w:color w:val="auto"/>
              </w:rPr>
            </w:pPr>
            <w:r>
              <w:rPr>
                <w:rFonts w:ascii="Arial" w:cs="Arial" w:eastAsia="Arial" w:hAnsi="Arial"/>
                <w:sz w:val="18"/>
                <w:szCs w:val="18"/>
                <w:color w:val="auto"/>
              </w:rPr>
              <w:t>.85</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3.29</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.36</w:t>
            </w:r>
          </w:p>
        </w:tc>
        <w:tc>
          <w:tcPr>
            <w:tcW w:w="16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1.44</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.85</w:t>
            </w:r>
          </w:p>
        </w:tc>
        <w:tc>
          <w:tcPr>
            <w:tcW w:w="1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3.26</w:t>
            </w:r>
          </w:p>
        </w:tc>
      </w:tr>
      <w:tr>
        <w:trPr>
          <w:trHeight w:val="432"/>
        </w:trPr>
        <w:tc>
          <w:tcPr>
            <w:tcW w:w="20" w:type="dxa"/>
            <w:vAlign w:val="bottom"/>
          </w:tcPr>
          <w:p>
            <w:pPr>
              <w:spacing w:after="0"/>
              <w:rPr>
                <w:sz w:val="24"/>
                <w:szCs w:val="24"/>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Cash dividends per common share</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31"/>
              <w:spacing w:after="0"/>
              <w:rPr>
                <w:sz w:val="20"/>
                <w:szCs w:val="20"/>
                <w:color w:val="auto"/>
              </w:rPr>
            </w:pPr>
            <w:r>
              <w:rPr>
                <w:rFonts w:ascii="Arial" w:cs="Arial" w:eastAsia="Arial" w:hAnsi="Arial"/>
                <w:sz w:val="18"/>
                <w:szCs w:val="18"/>
                <w:color w:val="auto"/>
              </w:rPr>
              <w:t>.70</w:t>
            </w:r>
          </w:p>
        </w:tc>
        <w:tc>
          <w:tcPr>
            <w:tcW w:w="1640" w:type="dxa"/>
            <w:vAlign w:val="bottom"/>
          </w:tcPr>
          <w:p>
            <w:pPr>
              <w:jc w:val="right"/>
              <w:ind w:right="390"/>
              <w:spacing w:after="0"/>
              <w:rPr>
                <w:sz w:val="20"/>
                <w:szCs w:val="20"/>
                <w:color w:val="auto"/>
              </w:rPr>
            </w:pPr>
            <w:r>
              <w:rPr>
                <w:rFonts w:ascii="Arial" w:cs="Arial" w:eastAsia="Arial" w:hAnsi="Arial"/>
                <w:sz w:val="18"/>
                <w:szCs w:val="18"/>
                <w:color w:val="auto"/>
              </w:rPr>
              <w:t>.70</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411"/>
              <w:spacing w:after="0"/>
              <w:rPr>
                <w:sz w:val="20"/>
                <w:szCs w:val="20"/>
                <w:color w:val="auto"/>
              </w:rPr>
            </w:pPr>
            <w:r>
              <w:rPr>
                <w:rFonts w:ascii="Arial" w:cs="Arial" w:eastAsia="Arial" w:hAnsi="Arial"/>
                <w:sz w:val="18"/>
                <w:szCs w:val="18"/>
                <w:color w:val="auto"/>
              </w:rPr>
              <w:t>1.40</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1.40</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common shares outstanding</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00"/>
              <w:spacing w:after="0"/>
              <w:rPr>
                <w:sz w:val="20"/>
                <w:szCs w:val="20"/>
                <w:color w:val="auto"/>
              </w:rPr>
            </w:pPr>
            <w:r>
              <w:rPr>
                <w:rFonts w:ascii="Arial" w:cs="Arial" w:eastAsia="Arial" w:hAnsi="Arial"/>
                <w:sz w:val="18"/>
                <w:szCs w:val="18"/>
                <w:color w:val="auto"/>
              </w:rPr>
              <w:t>Basic</w:t>
            </w:r>
          </w:p>
        </w:tc>
        <w:tc>
          <w:tcPr>
            <w:tcW w:w="520" w:type="dxa"/>
            <w:vAlign w:val="bottom"/>
          </w:tcPr>
          <w:p>
            <w:pPr>
              <w:spacing w:after="0"/>
              <w:rPr>
                <w:sz w:val="18"/>
                <w:szCs w:val="18"/>
                <w:color w:val="auto"/>
              </w:rPr>
            </w:pPr>
          </w:p>
        </w:tc>
        <w:tc>
          <w:tcPr>
            <w:tcW w:w="1200" w:type="dxa"/>
            <w:vAlign w:val="bottom"/>
          </w:tcPr>
          <w:p>
            <w:pPr>
              <w:jc w:val="right"/>
              <w:ind w:right="531"/>
              <w:spacing w:after="0"/>
              <w:rPr>
                <w:sz w:val="20"/>
                <w:szCs w:val="20"/>
                <w:color w:val="auto"/>
              </w:rPr>
            </w:pPr>
            <w:r>
              <w:rPr>
                <w:rFonts w:ascii="Arial" w:cs="Arial" w:eastAsia="Arial" w:hAnsi="Arial"/>
                <w:sz w:val="18"/>
                <w:szCs w:val="18"/>
                <w:color w:val="auto"/>
                <w:w w:val="86"/>
              </w:rPr>
              <w:t>113,218</w:t>
            </w:r>
          </w:p>
        </w:tc>
        <w:tc>
          <w:tcPr>
            <w:tcW w:w="1640" w:type="dxa"/>
            <w:vAlign w:val="bottom"/>
          </w:tcPr>
          <w:p>
            <w:pPr>
              <w:jc w:val="right"/>
              <w:ind w:right="390"/>
              <w:spacing w:after="0"/>
              <w:rPr>
                <w:sz w:val="20"/>
                <w:szCs w:val="20"/>
                <w:color w:val="auto"/>
              </w:rPr>
            </w:pPr>
            <w:r>
              <w:rPr>
                <w:rFonts w:ascii="Arial" w:cs="Arial" w:eastAsia="Arial" w:hAnsi="Arial"/>
                <w:sz w:val="18"/>
                <w:szCs w:val="18"/>
                <w:color w:val="auto"/>
              </w:rPr>
              <w:t>110,191</w:t>
            </w:r>
          </w:p>
        </w:tc>
        <w:tc>
          <w:tcPr>
            <w:tcW w:w="540" w:type="dxa"/>
            <w:vAlign w:val="bottom"/>
          </w:tcPr>
          <w:p>
            <w:pPr>
              <w:spacing w:after="0"/>
              <w:rPr>
                <w:sz w:val="18"/>
                <w:szCs w:val="18"/>
                <w:color w:val="auto"/>
              </w:rPr>
            </w:pPr>
          </w:p>
        </w:tc>
        <w:tc>
          <w:tcPr>
            <w:tcW w:w="1220" w:type="dxa"/>
            <w:vAlign w:val="bottom"/>
          </w:tcPr>
          <w:p>
            <w:pPr>
              <w:jc w:val="right"/>
              <w:ind w:right="411"/>
              <w:spacing w:after="0"/>
              <w:rPr>
                <w:sz w:val="20"/>
                <w:szCs w:val="20"/>
                <w:color w:val="auto"/>
              </w:rPr>
            </w:pPr>
            <w:r>
              <w:rPr>
                <w:rFonts w:ascii="Arial" w:cs="Arial" w:eastAsia="Arial" w:hAnsi="Arial"/>
                <w:sz w:val="18"/>
                <w:szCs w:val="18"/>
                <w:color w:val="auto"/>
              </w:rPr>
              <w:t>111,836</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110,104</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w w:val="86"/>
              </w:rPr>
              <w:t>113,521</w:t>
            </w:r>
          </w:p>
        </w:tc>
        <w:tc>
          <w:tcPr>
            <w:tcW w:w="16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111,227</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111,988</w:t>
            </w:r>
          </w:p>
        </w:tc>
        <w:tc>
          <w:tcPr>
            <w:tcW w:w="1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111,097</w:t>
            </w:r>
          </w:p>
        </w:tc>
      </w:tr>
      <w:tr>
        <w:trPr>
          <w:trHeight w:val="405"/>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jc w:val="right"/>
              <w:ind w:right="631"/>
              <w:spacing w:after="0"/>
              <w:rPr>
                <w:sz w:val="20"/>
                <w:szCs w:val="20"/>
                <w:color w:val="auto"/>
              </w:rPr>
            </w:pPr>
            <w:r>
              <w:rPr>
                <w:rFonts w:ascii="Arial" w:cs="Arial" w:eastAsia="Arial" w:hAnsi="Arial"/>
                <w:sz w:val="18"/>
                <w:szCs w:val="18"/>
                <w:color w:val="auto"/>
              </w:rPr>
              <w:t>- 4 -</w:t>
            </w:r>
          </w:p>
        </w:tc>
        <w:tc>
          <w:tcPr>
            <w:tcW w:w="1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48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505" w:gutter="0" w:footer="0" w:header="0"/>
        </w:sectPr>
      </w:pPr>
    </w:p>
    <w:bookmarkStart w:id="5" w:name="page6"/>
    <w:bookmarkEnd w:id="5"/>
    <w:p>
      <w:pPr>
        <w:spacing w:after="0" w:line="7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CASH FLOWS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980" w:type="dxa"/>
            <w:vAlign w:val="bottom"/>
            <w:gridSpan w:val="2"/>
          </w:tcPr>
          <w:p>
            <w:pPr>
              <w:jc w:val="right"/>
              <w:ind w:right="810"/>
              <w:spacing w:after="0"/>
              <w:rPr>
                <w:sz w:val="20"/>
                <w:szCs w:val="20"/>
                <w:color w:val="auto"/>
              </w:rPr>
            </w:pPr>
            <w:r>
              <w:rPr>
                <w:rFonts w:ascii="Arial" w:cs="Arial" w:eastAsia="Arial" w:hAnsi="Arial"/>
                <w:sz w:val="14"/>
                <w:szCs w:val="14"/>
                <w:color w:val="auto"/>
              </w:rPr>
              <w:t>Six months ended June 30</w:t>
            </w:r>
          </w:p>
        </w:tc>
      </w:tr>
      <w:tr>
        <w:trPr>
          <w:trHeight w:val="174"/>
        </w:trPr>
        <w:tc>
          <w:tcPr>
            <w:tcW w:w="71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280" w:type="dxa"/>
            <w:vAlign w:val="bottom"/>
          </w:tcPr>
          <w:p>
            <w:pPr>
              <w:spacing w:after="0"/>
              <w:rPr>
                <w:sz w:val="15"/>
                <w:szCs w:val="15"/>
                <w:color w:val="auto"/>
              </w:rPr>
            </w:pPr>
          </w:p>
        </w:tc>
        <w:tc>
          <w:tcPr>
            <w:tcW w:w="1360" w:type="dxa"/>
            <w:vAlign w:val="bottom"/>
          </w:tcPr>
          <w:p>
            <w:pPr>
              <w:jc w:val="right"/>
              <w:ind w:right="731"/>
              <w:spacing w:after="0"/>
              <w:rPr>
                <w:sz w:val="20"/>
                <w:szCs w:val="20"/>
                <w:color w:val="auto"/>
              </w:rPr>
            </w:pPr>
            <w:r>
              <w:rPr>
                <w:rFonts w:ascii="Arial" w:cs="Arial" w:eastAsia="Arial" w:hAnsi="Arial"/>
                <w:sz w:val="14"/>
                <w:szCs w:val="14"/>
                <w:color w:val="auto"/>
              </w:rPr>
              <w:t>2009</w:t>
            </w:r>
          </w:p>
        </w:tc>
        <w:tc>
          <w:tcPr>
            <w:tcW w:w="1620" w:type="dxa"/>
            <w:vAlign w:val="bottom"/>
          </w:tcPr>
          <w:p>
            <w:pPr>
              <w:jc w:val="right"/>
              <w:ind w:right="470"/>
              <w:spacing w:after="0"/>
              <w:rPr>
                <w:sz w:val="20"/>
                <w:szCs w:val="20"/>
                <w:color w:val="auto"/>
              </w:rPr>
            </w:pPr>
            <w:r>
              <w:rPr>
                <w:rFonts w:ascii="Arial" w:cs="Arial" w:eastAsia="Arial" w:hAnsi="Arial"/>
                <w:sz w:val="14"/>
                <w:szCs w:val="14"/>
                <w:color w:val="auto"/>
              </w:rPr>
              <w:t>2008</w:t>
            </w:r>
          </w:p>
        </w:tc>
      </w:tr>
      <w:tr>
        <w:trPr>
          <w:trHeight w:val="216"/>
        </w:trPr>
        <w:tc>
          <w:tcPr>
            <w:tcW w:w="20" w:type="dxa"/>
            <w:vAlign w:val="bottom"/>
          </w:tcPr>
          <w:p>
            <w:pPr>
              <w:spacing w:after="0"/>
              <w:rPr>
                <w:sz w:val="18"/>
                <w:szCs w:val="18"/>
                <w:color w:val="auto"/>
              </w:rPr>
            </w:pPr>
          </w:p>
        </w:tc>
        <w:tc>
          <w:tcPr>
            <w:tcW w:w="7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91"/>
              <w:spacing w:after="0"/>
              <w:rPr>
                <w:sz w:val="20"/>
                <w:szCs w:val="20"/>
                <w:color w:val="auto"/>
              </w:rPr>
            </w:pPr>
            <w:r>
              <w:rPr>
                <w:rFonts w:ascii="Arial" w:cs="Arial" w:eastAsia="Arial" w:hAnsi="Arial"/>
                <w:sz w:val="18"/>
                <w:szCs w:val="18"/>
                <w:color w:val="auto"/>
              </w:rPr>
              <w:t>115,409</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362,461</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600"/>
              <w:spacing w:after="0"/>
              <w:rPr>
                <w:sz w:val="20"/>
                <w:szCs w:val="20"/>
                <w:color w:val="auto"/>
              </w:rPr>
            </w:pPr>
            <w:r>
              <w:rPr>
                <w:rFonts w:ascii="Arial" w:cs="Arial" w:eastAsia="Arial" w:hAnsi="Arial"/>
                <w:sz w:val="18"/>
                <w:szCs w:val="18"/>
                <w:color w:val="auto"/>
              </w:rPr>
              <w:t>Provision for credit losses</w:t>
            </w:r>
          </w:p>
        </w:tc>
        <w:tc>
          <w:tcPr>
            <w:tcW w:w="1280" w:type="dxa"/>
            <w:vAlign w:val="bottom"/>
          </w:tcPr>
          <w:p>
            <w:pPr>
              <w:spacing w:after="0"/>
              <w:rPr>
                <w:sz w:val="18"/>
                <w:szCs w:val="18"/>
                <w:color w:val="auto"/>
              </w:rPr>
            </w:pPr>
          </w:p>
        </w:tc>
        <w:tc>
          <w:tcPr>
            <w:tcW w:w="1360" w:type="dxa"/>
            <w:vAlign w:val="bottom"/>
          </w:tcPr>
          <w:p>
            <w:pPr>
              <w:jc w:val="right"/>
              <w:ind w:right="491"/>
              <w:spacing w:after="0"/>
              <w:rPr>
                <w:sz w:val="20"/>
                <w:szCs w:val="20"/>
                <w:color w:val="auto"/>
              </w:rPr>
            </w:pPr>
            <w:r>
              <w:rPr>
                <w:rFonts w:ascii="Arial" w:cs="Arial" w:eastAsia="Arial" w:hAnsi="Arial"/>
                <w:sz w:val="18"/>
                <w:szCs w:val="18"/>
                <w:color w:val="auto"/>
              </w:rPr>
              <w:t>305,000</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160,000</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Depreciation and amortization of premises and equipment</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26,855</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26,215</w:t>
            </w:r>
          </w:p>
        </w:tc>
      </w:tr>
      <w:tr>
        <w:trPr>
          <w:trHeight w:val="216"/>
        </w:trPr>
        <w:tc>
          <w:tcPr>
            <w:tcW w:w="20" w:type="dxa"/>
            <w:vAlign w:val="bottom"/>
          </w:tcPr>
          <w:p>
            <w:pPr>
              <w:spacing w:after="0"/>
              <w:rPr>
                <w:sz w:val="18"/>
                <w:szCs w:val="18"/>
                <w:color w:val="auto"/>
              </w:rPr>
            </w:pPr>
          </w:p>
        </w:tc>
        <w:tc>
          <w:tcPr>
            <w:tcW w:w="7140" w:type="dxa"/>
            <w:vAlign w:val="bottom"/>
          </w:tcPr>
          <w:p>
            <w:pPr>
              <w:ind w:left="600"/>
              <w:spacing w:after="0"/>
              <w:rPr>
                <w:sz w:val="20"/>
                <w:szCs w:val="20"/>
                <w:color w:val="auto"/>
              </w:rPr>
            </w:pPr>
            <w:r>
              <w:rPr>
                <w:rFonts w:ascii="Arial" w:cs="Arial" w:eastAsia="Arial" w:hAnsi="Arial"/>
                <w:sz w:val="18"/>
                <w:szCs w:val="18"/>
                <w:color w:val="auto"/>
              </w:rPr>
              <w:t>Amortization of capitalized servicing rights</w:t>
            </w:r>
          </w:p>
        </w:tc>
        <w:tc>
          <w:tcPr>
            <w:tcW w:w="1280" w:type="dxa"/>
            <w:vAlign w:val="bottom"/>
          </w:tcPr>
          <w:p>
            <w:pPr>
              <w:spacing w:after="0"/>
              <w:rPr>
                <w:sz w:val="18"/>
                <w:szCs w:val="18"/>
                <w:color w:val="auto"/>
              </w:rPr>
            </w:pPr>
          </w:p>
        </w:tc>
        <w:tc>
          <w:tcPr>
            <w:tcW w:w="1360" w:type="dxa"/>
            <w:vAlign w:val="bottom"/>
          </w:tcPr>
          <w:p>
            <w:pPr>
              <w:jc w:val="right"/>
              <w:ind w:right="491"/>
              <w:spacing w:after="0"/>
              <w:rPr>
                <w:sz w:val="20"/>
                <w:szCs w:val="20"/>
                <w:color w:val="auto"/>
              </w:rPr>
            </w:pPr>
            <w:r>
              <w:rPr>
                <w:rFonts w:ascii="Arial" w:cs="Arial" w:eastAsia="Arial" w:hAnsi="Arial"/>
                <w:sz w:val="18"/>
                <w:szCs w:val="18"/>
                <w:color w:val="auto"/>
              </w:rPr>
              <w:t>31,498</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32,723</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Amortization of core deposit and other intangible assets</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30,601</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35,098</w:t>
            </w:r>
          </w:p>
        </w:tc>
      </w:tr>
      <w:tr>
        <w:trPr>
          <w:trHeight w:val="216"/>
        </w:trPr>
        <w:tc>
          <w:tcPr>
            <w:tcW w:w="20" w:type="dxa"/>
            <w:vAlign w:val="bottom"/>
          </w:tcPr>
          <w:p>
            <w:pPr>
              <w:spacing w:after="0"/>
              <w:rPr>
                <w:sz w:val="18"/>
                <w:szCs w:val="18"/>
                <w:color w:val="auto"/>
              </w:rPr>
            </w:pPr>
          </w:p>
        </w:tc>
        <w:tc>
          <w:tcPr>
            <w:tcW w:w="7140" w:type="dxa"/>
            <w:vAlign w:val="bottom"/>
          </w:tcPr>
          <w:p>
            <w:pPr>
              <w:ind w:left="600"/>
              <w:spacing w:after="0"/>
              <w:rPr>
                <w:sz w:val="20"/>
                <w:szCs w:val="20"/>
                <w:color w:val="auto"/>
              </w:rPr>
            </w:pPr>
            <w:r>
              <w:rPr>
                <w:rFonts w:ascii="Arial" w:cs="Arial" w:eastAsia="Arial" w:hAnsi="Arial"/>
                <w:sz w:val="18"/>
                <w:szCs w:val="18"/>
                <w:color w:val="auto"/>
              </w:rPr>
              <w:t>Provision for deferred income taxes</w:t>
            </w:r>
          </w:p>
        </w:tc>
        <w:tc>
          <w:tcPr>
            <w:tcW w:w="1280" w:type="dxa"/>
            <w:vAlign w:val="bottom"/>
          </w:tcPr>
          <w:p>
            <w:pPr>
              <w:spacing w:after="0"/>
              <w:rPr>
                <w:sz w:val="18"/>
                <w:szCs w:val="18"/>
                <w:color w:val="auto"/>
              </w:rPr>
            </w:pPr>
          </w:p>
        </w:tc>
        <w:tc>
          <w:tcPr>
            <w:tcW w:w="1360" w:type="dxa"/>
            <w:vAlign w:val="bottom"/>
          </w:tcPr>
          <w:p>
            <w:pPr>
              <w:jc w:val="right"/>
              <w:ind w:right="491"/>
              <w:spacing w:after="0"/>
              <w:rPr>
                <w:sz w:val="20"/>
                <w:szCs w:val="20"/>
                <w:color w:val="auto"/>
              </w:rPr>
            </w:pPr>
            <w:r>
              <w:rPr>
                <w:rFonts w:ascii="Arial" w:cs="Arial" w:eastAsia="Arial" w:hAnsi="Arial"/>
                <w:sz w:val="18"/>
                <w:szCs w:val="18"/>
                <w:color w:val="auto"/>
              </w:rPr>
              <w:t>62,472</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(14,312)</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Asset write-downs</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80,439</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6,559</w:t>
            </w:r>
          </w:p>
        </w:tc>
      </w:tr>
      <w:tr>
        <w:trPr>
          <w:trHeight w:val="216"/>
        </w:trPr>
        <w:tc>
          <w:tcPr>
            <w:tcW w:w="20" w:type="dxa"/>
            <w:vAlign w:val="bottom"/>
          </w:tcPr>
          <w:p>
            <w:pPr>
              <w:spacing w:after="0"/>
              <w:rPr>
                <w:sz w:val="18"/>
                <w:szCs w:val="18"/>
                <w:color w:val="auto"/>
              </w:rPr>
            </w:pPr>
          </w:p>
        </w:tc>
        <w:tc>
          <w:tcPr>
            <w:tcW w:w="7140" w:type="dxa"/>
            <w:vAlign w:val="bottom"/>
          </w:tcPr>
          <w:p>
            <w:pPr>
              <w:ind w:left="600"/>
              <w:spacing w:after="0"/>
              <w:rPr>
                <w:sz w:val="20"/>
                <w:szCs w:val="20"/>
                <w:color w:val="auto"/>
              </w:rPr>
            </w:pPr>
            <w:r>
              <w:rPr>
                <w:rFonts w:ascii="Arial" w:cs="Arial" w:eastAsia="Arial" w:hAnsi="Arial"/>
                <w:sz w:val="18"/>
                <w:szCs w:val="18"/>
                <w:color w:val="auto"/>
              </w:rPr>
              <w:t>Net gain on sales of assets</w:t>
            </w:r>
          </w:p>
        </w:tc>
        <w:tc>
          <w:tcPr>
            <w:tcW w:w="1280" w:type="dxa"/>
            <w:vAlign w:val="bottom"/>
          </w:tcPr>
          <w:p>
            <w:pPr>
              <w:spacing w:after="0"/>
              <w:rPr>
                <w:sz w:val="18"/>
                <w:szCs w:val="18"/>
                <w:color w:val="auto"/>
              </w:rPr>
            </w:pPr>
          </w:p>
        </w:tc>
        <w:tc>
          <w:tcPr>
            <w:tcW w:w="1360" w:type="dxa"/>
            <w:vAlign w:val="bottom"/>
          </w:tcPr>
          <w:p>
            <w:pPr>
              <w:jc w:val="right"/>
              <w:ind w:right="431"/>
              <w:spacing w:after="0"/>
              <w:rPr>
                <w:sz w:val="20"/>
                <w:szCs w:val="20"/>
                <w:color w:val="auto"/>
              </w:rPr>
            </w:pPr>
            <w:r>
              <w:rPr>
                <w:rFonts w:ascii="Arial" w:cs="Arial" w:eastAsia="Arial" w:hAnsi="Arial"/>
                <w:sz w:val="18"/>
                <w:szCs w:val="18"/>
                <w:color w:val="auto"/>
              </w:rPr>
              <w:t>(139)</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(29,608)</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change in accrued interest receivable, payable</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10,408</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7,808</w:t>
            </w:r>
          </w:p>
        </w:tc>
      </w:tr>
      <w:tr>
        <w:trPr>
          <w:trHeight w:val="216"/>
        </w:trPr>
        <w:tc>
          <w:tcPr>
            <w:tcW w:w="20" w:type="dxa"/>
            <w:vAlign w:val="bottom"/>
          </w:tcPr>
          <w:p>
            <w:pPr>
              <w:spacing w:after="0"/>
              <w:rPr>
                <w:sz w:val="18"/>
                <w:szCs w:val="18"/>
                <w:color w:val="auto"/>
              </w:rPr>
            </w:pPr>
          </w:p>
        </w:tc>
        <w:tc>
          <w:tcPr>
            <w:tcW w:w="7140" w:type="dxa"/>
            <w:vAlign w:val="bottom"/>
          </w:tcPr>
          <w:p>
            <w:pPr>
              <w:ind w:left="600"/>
              <w:spacing w:after="0"/>
              <w:rPr>
                <w:sz w:val="20"/>
                <w:szCs w:val="20"/>
                <w:color w:val="auto"/>
              </w:rPr>
            </w:pPr>
            <w:r>
              <w:rPr>
                <w:rFonts w:ascii="Arial" w:cs="Arial" w:eastAsia="Arial" w:hAnsi="Arial"/>
                <w:sz w:val="18"/>
                <w:szCs w:val="18"/>
                <w:color w:val="auto"/>
              </w:rPr>
              <w:t>Net change in other accrued income and expense</w:t>
            </w:r>
          </w:p>
        </w:tc>
        <w:tc>
          <w:tcPr>
            <w:tcW w:w="1280" w:type="dxa"/>
            <w:vAlign w:val="bottom"/>
          </w:tcPr>
          <w:p>
            <w:pPr>
              <w:spacing w:after="0"/>
              <w:rPr>
                <w:sz w:val="18"/>
                <w:szCs w:val="18"/>
                <w:color w:val="auto"/>
              </w:rPr>
            </w:pPr>
          </w:p>
        </w:tc>
        <w:tc>
          <w:tcPr>
            <w:tcW w:w="1360" w:type="dxa"/>
            <w:vAlign w:val="bottom"/>
          </w:tcPr>
          <w:p>
            <w:pPr>
              <w:jc w:val="right"/>
              <w:ind w:right="491"/>
              <w:spacing w:after="0"/>
              <w:rPr>
                <w:sz w:val="20"/>
                <w:szCs w:val="20"/>
                <w:color w:val="auto"/>
              </w:rPr>
            </w:pPr>
            <w:r>
              <w:rPr>
                <w:rFonts w:ascii="Arial" w:cs="Arial" w:eastAsia="Arial" w:hAnsi="Arial"/>
                <w:sz w:val="18"/>
                <w:szCs w:val="18"/>
                <w:color w:val="auto"/>
              </w:rPr>
              <w:t>38,101</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(46,326)</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change in loans originated for sale</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(241,186)</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260,987</w:t>
            </w:r>
          </w:p>
        </w:tc>
      </w:tr>
      <w:tr>
        <w:trPr>
          <w:trHeight w:val="223"/>
        </w:trPr>
        <w:tc>
          <w:tcPr>
            <w:tcW w:w="20" w:type="dxa"/>
            <w:vAlign w:val="bottom"/>
          </w:tcPr>
          <w:p>
            <w:pPr>
              <w:spacing w:after="0"/>
              <w:rPr>
                <w:sz w:val="19"/>
                <w:szCs w:val="19"/>
                <w:color w:val="auto"/>
              </w:rPr>
            </w:pPr>
          </w:p>
        </w:tc>
        <w:tc>
          <w:tcPr>
            <w:tcW w:w="71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Net change in trading account assets and liabilities</w:t>
            </w:r>
          </w:p>
        </w:tc>
        <w:tc>
          <w:tcPr>
            <w:tcW w:w="1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(44,953)</w:t>
            </w:r>
          </w:p>
        </w:tc>
        <w:tc>
          <w:tcPr>
            <w:tcW w:w="16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42,718</w:t>
            </w:r>
          </w:p>
        </w:tc>
      </w:tr>
      <w:tr>
        <w:trPr>
          <w:trHeight w:val="216"/>
        </w:trPr>
        <w:tc>
          <w:tcPr>
            <w:tcW w:w="20" w:type="dxa"/>
            <w:vAlign w:val="bottom"/>
          </w:tcPr>
          <w:p>
            <w:pPr>
              <w:spacing w:after="0"/>
              <w:rPr>
                <w:sz w:val="18"/>
                <w:szCs w:val="18"/>
                <w:color w:val="auto"/>
              </w:rPr>
            </w:pPr>
          </w:p>
        </w:tc>
        <w:tc>
          <w:tcPr>
            <w:tcW w:w="71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1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8"/>
                <w:szCs w:val="18"/>
                <w:color w:val="auto"/>
              </w:rPr>
              <w:t>414,505</w:t>
            </w:r>
          </w:p>
        </w:tc>
        <w:tc>
          <w:tcPr>
            <w:tcW w:w="16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844,323</w:t>
            </w:r>
          </w:p>
        </w:tc>
      </w:tr>
      <w:tr>
        <w:trPr>
          <w:trHeight w:val="223"/>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sales of investment securities</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00"/>
              <w:spacing w:after="0"/>
              <w:rPr>
                <w:sz w:val="20"/>
                <w:szCs w:val="20"/>
                <w:color w:val="auto"/>
              </w:rPr>
            </w:pPr>
            <w:r>
              <w:rPr>
                <w:rFonts w:ascii="Arial" w:cs="Arial" w:eastAsia="Arial" w:hAnsi="Arial"/>
                <w:sz w:val="18"/>
                <w:szCs w:val="18"/>
                <w:color w:val="auto"/>
              </w:rPr>
              <w:t>Available for sale</w:t>
            </w:r>
          </w:p>
        </w:tc>
        <w:tc>
          <w:tcPr>
            <w:tcW w:w="1280" w:type="dxa"/>
            <w:vAlign w:val="bottom"/>
          </w:tcPr>
          <w:p>
            <w:pPr>
              <w:spacing w:after="0"/>
              <w:rPr>
                <w:sz w:val="18"/>
                <w:szCs w:val="18"/>
                <w:color w:val="auto"/>
              </w:rPr>
            </w:pPr>
          </w:p>
        </w:tc>
        <w:tc>
          <w:tcPr>
            <w:tcW w:w="1360" w:type="dxa"/>
            <w:vAlign w:val="bottom"/>
          </w:tcPr>
          <w:p>
            <w:pPr>
              <w:jc w:val="right"/>
              <w:ind w:right="491"/>
              <w:spacing w:after="0"/>
              <w:rPr>
                <w:sz w:val="20"/>
                <w:szCs w:val="20"/>
                <w:color w:val="auto"/>
              </w:rPr>
            </w:pPr>
            <w:r>
              <w:rPr>
                <w:rFonts w:ascii="Arial" w:cs="Arial" w:eastAsia="Arial" w:hAnsi="Arial"/>
                <w:sz w:val="18"/>
                <w:szCs w:val="18"/>
                <w:color w:val="auto"/>
              </w:rPr>
              <w:t>7,020</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53,610</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42,522</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38,689</w:t>
            </w:r>
          </w:p>
        </w:tc>
      </w:tr>
      <w:tr>
        <w:trPr>
          <w:trHeight w:val="216"/>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Proceeds from maturities of investment securities</w:t>
            </w:r>
          </w:p>
        </w:tc>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Available for sale</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w w:val="94"/>
              </w:rPr>
              <w:t>1,069,602</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1,251,121</w:t>
            </w:r>
          </w:p>
        </w:tc>
      </w:tr>
      <w:tr>
        <w:trPr>
          <w:trHeight w:val="216"/>
        </w:trPr>
        <w:tc>
          <w:tcPr>
            <w:tcW w:w="20" w:type="dxa"/>
            <w:vAlign w:val="bottom"/>
          </w:tcPr>
          <w:p>
            <w:pPr>
              <w:spacing w:after="0"/>
              <w:rPr>
                <w:sz w:val="18"/>
                <w:szCs w:val="18"/>
                <w:color w:val="auto"/>
              </w:rPr>
            </w:pPr>
          </w:p>
        </w:tc>
        <w:tc>
          <w:tcPr>
            <w:tcW w:w="7140" w:type="dxa"/>
            <w:vAlign w:val="bottom"/>
          </w:tcPr>
          <w:p>
            <w:pPr>
              <w:ind w:left="400"/>
              <w:spacing w:after="0"/>
              <w:rPr>
                <w:sz w:val="20"/>
                <w:szCs w:val="20"/>
                <w:color w:val="auto"/>
              </w:rPr>
            </w:pPr>
            <w:r>
              <w:rPr>
                <w:rFonts w:ascii="Arial" w:cs="Arial" w:eastAsia="Arial" w:hAnsi="Arial"/>
                <w:sz w:val="18"/>
                <w:szCs w:val="18"/>
                <w:color w:val="auto"/>
              </w:rPr>
              <w:t>Held to maturity</w:t>
            </w:r>
          </w:p>
        </w:tc>
        <w:tc>
          <w:tcPr>
            <w:tcW w:w="1280" w:type="dxa"/>
            <w:vAlign w:val="bottom"/>
          </w:tcPr>
          <w:p>
            <w:pPr>
              <w:spacing w:after="0"/>
              <w:rPr>
                <w:sz w:val="18"/>
                <w:szCs w:val="18"/>
                <w:color w:val="auto"/>
              </w:rPr>
            </w:pPr>
          </w:p>
        </w:tc>
        <w:tc>
          <w:tcPr>
            <w:tcW w:w="1360" w:type="dxa"/>
            <w:vAlign w:val="bottom"/>
          </w:tcPr>
          <w:p>
            <w:pPr>
              <w:jc w:val="right"/>
              <w:ind w:right="491"/>
              <w:spacing w:after="0"/>
              <w:rPr>
                <w:sz w:val="20"/>
                <w:szCs w:val="20"/>
                <w:color w:val="auto"/>
              </w:rPr>
            </w:pPr>
            <w:r>
              <w:rPr>
                <w:rFonts w:ascii="Arial" w:cs="Arial" w:eastAsia="Arial" w:hAnsi="Arial"/>
                <w:sz w:val="18"/>
                <w:szCs w:val="18"/>
                <w:color w:val="auto"/>
              </w:rPr>
              <w:t>56,024</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29,023</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investment securities</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00"/>
              <w:spacing w:after="0"/>
              <w:rPr>
                <w:sz w:val="20"/>
                <w:szCs w:val="20"/>
                <w:color w:val="auto"/>
              </w:rPr>
            </w:pPr>
            <w:r>
              <w:rPr>
                <w:rFonts w:ascii="Arial" w:cs="Arial" w:eastAsia="Arial" w:hAnsi="Arial"/>
                <w:sz w:val="18"/>
                <w:szCs w:val="18"/>
                <w:color w:val="auto"/>
              </w:rPr>
              <w:t>Available for sale</w:t>
            </w:r>
          </w:p>
        </w:tc>
        <w:tc>
          <w:tcPr>
            <w:tcW w:w="1280" w:type="dxa"/>
            <w:vAlign w:val="bottom"/>
          </w:tcPr>
          <w:p>
            <w:pPr>
              <w:spacing w:after="0"/>
              <w:rPr>
                <w:sz w:val="18"/>
                <w:szCs w:val="18"/>
                <w:color w:val="auto"/>
              </w:rPr>
            </w:pPr>
          </w:p>
        </w:tc>
        <w:tc>
          <w:tcPr>
            <w:tcW w:w="1360" w:type="dxa"/>
            <w:vAlign w:val="bottom"/>
          </w:tcPr>
          <w:p>
            <w:pPr>
              <w:jc w:val="right"/>
              <w:ind w:right="431"/>
              <w:spacing w:after="0"/>
              <w:rPr>
                <w:sz w:val="20"/>
                <w:szCs w:val="20"/>
                <w:color w:val="auto"/>
              </w:rPr>
            </w:pPr>
            <w:r>
              <w:rPr>
                <w:rFonts w:ascii="Arial" w:cs="Arial" w:eastAsia="Arial" w:hAnsi="Arial"/>
                <w:sz w:val="18"/>
                <w:szCs w:val="18"/>
                <w:color w:val="auto"/>
              </w:rPr>
              <w:t>(33,621)</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(667,060)</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Held to maturity</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(19,170)</w:t>
            </w:r>
          </w:p>
        </w:tc>
        <w:tc>
          <w:tcPr>
            <w:tcW w:w="1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(25,668)</w:t>
            </w:r>
          </w:p>
        </w:tc>
      </w:tr>
      <w:tr>
        <w:trPr>
          <w:trHeight w:val="216"/>
        </w:trPr>
        <w:tc>
          <w:tcPr>
            <w:tcW w:w="20" w:type="dxa"/>
            <w:vAlign w:val="bottom"/>
          </w:tcPr>
          <w:p>
            <w:pPr>
              <w:spacing w:after="0"/>
              <w:rPr>
                <w:sz w:val="18"/>
                <w:szCs w:val="18"/>
                <w:color w:val="auto"/>
              </w:rPr>
            </w:pPr>
          </w:p>
        </w:tc>
        <w:tc>
          <w:tcPr>
            <w:tcW w:w="7140" w:type="dxa"/>
            <w:vAlign w:val="bottom"/>
          </w:tcPr>
          <w:p>
            <w:pPr>
              <w:ind w:left="400"/>
              <w:spacing w:after="0"/>
              <w:rPr>
                <w:sz w:val="20"/>
                <w:szCs w:val="20"/>
                <w:color w:val="auto"/>
              </w:rPr>
            </w:pPr>
            <w:r>
              <w:rPr>
                <w:rFonts w:ascii="Arial" w:cs="Arial" w:eastAsia="Arial" w:hAnsi="Arial"/>
                <w:sz w:val="18"/>
                <w:szCs w:val="18"/>
                <w:color w:val="auto"/>
              </w:rPr>
              <w:t>Other</w:t>
            </w:r>
          </w:p>
        </w:tc>
        <w:tc>
          <w:tcPr>
            <w:tcW w:w="1280" w:type="dxa"/>
            <w:vAlign w:val="bottom"/>
          </w:tcPr>
          <w:p>
            <w:pPr>
              <w:spacing w:after="0"/>
              <w:rPr>
                <w:sz w:val="18"/>
                <w:szCs w:val="18"/>
                <w:color w:val="auto"/>
              </w:rPr>
            </w:pPr>
          </w:p>
        </w:tc>
        <w:tc>
          <w:tcPr>
            <w:tcW w:w="1360" w:type="dxa"/>
            <w:vAlign w:val="bottom"/>
          </w:tcPr>
          <w:p>
            <w:pPr>
              <w:jc w:val="right"/>
              <w:ind w:right="431"/>
              <w:spacing w:after="0"/>
              <w:rPr>
                <w:sz w:val="20"/>
                <w:szCs w:val="20"/>
                <w:color w:val="auto"/>
              </w:rPr>
            </w:pPr>
            <w:r>
              <w:rPr>
                <w:rFonts w:ascii="Arial" w:cs="Arial" w:eastAsia="Arial" w:hAnsi="Arial"/>
                <w:sz w:val="18"/>
                <w:szCs w:val="18"/>
                <w:color w:val="auto"/>
              </w:rPr>
              <w:t>(2,886)</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(137,684)</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(increase) decrease in agreements to resell securities</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90,000</w:t>
            </w:r>
          </w:p>
        </w:tc>
        <w:tc>
          <w:tcPr>
            <w:tcW w:w="1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(240,000)</w:t>
            </w:r>
          </w:p>
        </w:tc>
      </w:tr>
      <w:tr>
        <w:trPr>
          <w:trHeight w:val="216"/>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Net (increase) decrease in loans and leases</w:t>
            </w:r>
          </w:p>
        </w:tc>
        <w:tc>
          <w:tcPr>
            <w:tcW w:w="1280" w:type="dxa"/>
            <w:vAlign w:val="bottom"/>
          </w:tcPr>
          <w:p>
            <w:pPr>
              <w:spacing w:after="0"/>
              <w:rPr>
                <w:sz w:val="18"/>
                <w:szCs w:val="18"/>
                <w:color w:val="auto"/>
              </w:rPr>
            </w:pPr>
          </w:p>
        </w:tc>
        <w:tc>
          <w:tcPr>
            <w:tcW w:w="1360" w:type="dxa"/>
            <w:vAlign w:val="bottom"/>
          </w:tcPr>
          <w:p>
            <w:pPr>
              <w:jc w:val="right"/>
              <w:ind w:right="491"/>
              <w:spacing w:after="0"/>
              <w:rPr>
                <w:sz w:val="20"/>
                <w:szCs w:val="20"/>
                <w:color w:val="auto"/>
              </w:rPr>
            </w:pPr>
            <w:r>
              <w:rPr>
                <w:rFonts w:ascii="Arial" w:cs="Arial" w:eastAsia="Arial" w:hAnsi="Arial"/>
                <w:sz w:val="18"/>
                <w:szCs w:val="18"/>
                <w:color w:val="auto"/>
              </w:rPr>
              <w:t>110,264</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(2,116,001)</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investments, net</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(14,179)</w:t>
            </w:r>
          </w:p>
        </w:tc>
        <w:tc>
          <w:tcPr>
            <w:tcW w:w="1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(4,925)</w:t>
            </w:r>
          </w:p>
        </w:tc>
      </w:tr>
      <w:tr>
        <w:trPr>
          <w:trHeight w:val="216"/>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Additions to capitalized servicing rights</w:t>
            </w:r>
          </w:p>
        </w:tc>
        <w:tc>
          <w:tcPr>
            <w:tcW w:w="1280" w:type="dxa"/>
            <w:vAlign w:val="bottom"/>
          </w:tcPr>
          <w:p>
            <w:pPr>
              <w:spacing w:after="0"/>
              <w:rPr>
                <w:sz w:val="18"/>
                <w:szCs w:val="18"/>
                <w:color w:val="auto"/>
              </w:rPr>
            </w:pPr>
          </w:p>
        </w:tc>
        <w:tc>
          <w:tcPr>
            <w:tcW w:w="1360" w:type="dxa"/>
            <w:vAlign w:val="bottom"/>
          </w:tcPr>
          <w:p>
            <w:pPr>
              <w:jc w:val="right"/>
              <w:ind w:right="431"/>
              <w:spacing w:after="0"/>
              <w:rPr>
                <w:sz w:val="20"/>
                <w:szCs w:val="20"/>
                <w:color w:val="auto"/>
              </w:rPr>
            </w:pPr>
            <w:r>
              <w:rPr>
                <w:rFonts w:ascii="Arial" w:cs="Arial" w:eastAsia="Arial" w:hAnsi="Arial"/>
                <w:sz w:val="18"/>
                <w:szCs w:val="18"/>
                <w:color w:val="auto"/>
              </w:rPr>
              <w:t>(298)</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(15,744)</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 net</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(17,655)</w:t>
            </w:r>
          </w:p>
        </w:tc>
        <w:tc>
          <w:tcPr>
            <w:tcW w:w="1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(24,196)</w:t>
            </w:r>
          </w:p>
        </w:tc>
      </w:tr>
      <w:tr>
        <w:trPr>
          <w:trHeight w:val="216"/>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Acquisitions, net of cash acquired</w:t>
            </w:r>
          </w:p>
        </w:tc>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Banks and bank holding companies</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144,009</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1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net</w:t>
            </w:r>
          </w:p>
        </w:tc>
        <w:tc>
          <w:tcPr>
            <w:tcW w:w="1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16,668</w:t>
            </w:r>
          </w:p>
        </w:tc>
        <w:tc>
          <w:tcPr>
            <w:tcW w:w="1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(43,791)</w:t>
            </w:r>
          </w:p>
        </w:tc>
      </w:tr>
      <w:tr>
        <w:trPr>
          <w:trHeight w:val="216"/>
        </w:trPr>
        <w:tc>
          <w:tcPr>
            <w:tcW w:w="20" w:type="dxa"/>
            <w:vAlign w:val="bottom"/>
          </w:tcPr>
          <w:p>
            <w:pPr>
              <w:spacing w:after="0"/>
              <w:rPr>
                <w:sz w:val="18"/>
                <w:szCs w:val="18"/>
                <w:color w:val="auto"/>
              </w:rPr>
            </w:pPr>
          </w:p>
        </w:tc>
        <w:tc>
          <w:tcPr>
            <w:tcW w:w="71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Net cash provided (used) by investing activities</w:t>
            </w:r>
          </w:p>
        </w:tc>
        <w:tc>
          <w:tcPr>
            <w:tcW w:w="1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8"/>
                <w:szCs w:val="18"/>
                <w:color w:val="auto"/>
                <w:w w:val="94"/>
              </w:rPr>
              <w:t>1,448,300</w:t>
            </w:r>
          </w:p>
        </w:tc>
        <w:tc>
          <w:tcPr>
            <w:tcW w:w="16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(1,902,626)</w:t>
            </w:r>
          </w:p>
        </w:tc>
      </w:tr>
      <w:tr>
        <w:trPr>
          <w:trHeight w:val="223"/>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increase (decrease) in deposits</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(881,060)</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663,520</w:t>
            </w:r>
          </w:p>
        </w:tc>
      </w:tr>
      <w:tr>
        <w:trPr>
          <w:trHeight w:val="216"/>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Net decrease in short-term borrowings</w:t>
            </w:r>
          </w:p>
        </w:tc>
        <w:tc>
          <w:tcPr>
            <w:tcW w:w="1280" w:type="dxa"/>
            <w:vAlign w:val="bottom"/>
          </w:tcPr>
          <w:p>
            <w:pPr>
              <w:spacing w:after="0"/>
              <w:rPr>
                <w:sz w:val="18"/>
                <w:szCs w:val="18"/>
                <w:color w:val="auto"/>
              </w:rPr>
            </w:pPr>
          </w:p>
        </w:tc>
        <w:tc>
          <w:tcPr>
            <w:tcW w:w="1360" w:type="dxa"/>
            <w:vAlign w:val="bottom"/>
          </w:tcPr>
          <w:p>
            <w:pPr>
              <w:jc w:val="right"/>
              <w:ind w:right="431"/>
              <w:spacing w:after="0"/>
              <w:rPr>
                <w:sz w:val="20"/>
                <w:szCs w:val="20"/>
                <w:color w:val="auto"/>
              </w:rPr>
            </w:pPr>
            <w:r>
              <w:rPr>
                <w:rFonts w:ascii="Arial" w:cs="Arial" w:eastAsia="Arial" w:hAnsi="Arial"/>
                <w:sz w:val="18"/>
                <w:szCs w:val="18"/>
                <w:color w:val="auto"/>
              </w:rPr>
              <w:t>(235,111)</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(2,060,092)</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long-term borrowings</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3,650,010</w:t>
            </w:r>
          </w:p>
        </w:tc>
      </w:tr>
      <w:tr>
        <w:trPr>
          <w:trHeight w:val="216"/>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Payments on long-term borrowings</w:t>
            </w:r>
          </w:p>
        </w:tc>
        <w:tc>
          <w:tcPr>
            <w:tcW w:w="1280" w:type="dxa"/>
            <w:vAlign w:val="bottom"/>
          </w:tcPr>
          <w:p>
            <w:pPr>
              <w:spacing w:after="0"/>
              <w:rPr>
                <w:sz w:val="18"/>
                <w:szCs w:val="18"/>
                <w:color w:val="auto"/>
              </w:rPr>
            </w:pPr>
          </w:p>
        </w:tc>
        <w:tc>
          <w:tcPr>
            <w:tcW w:w="1360" w:type="dxa"/>
            <w:vAlign w:val="bottom"/>
          </w:tcPr>
          <w:p>
            <w:pPr>
              <w:jc w:val="right"/>
              <w:ind w:right="431"/>
              <w:spacing w:after="0"/>
              <w:rPr>
                <w:sz w:val="20"/>
                <w:szCs w:val="20"/>
                <w:color w:val="auto"/>
              </w:rPr>
            </w:pPr>
            <w:r>
              <w:rPr>
                <w:rFonts w:ascii="Arial" w:cs="Arial" w:eastAsia="Arial" w:hAnsi="Arial"/>
                <w:sz w:val="18"/>
                <w:szCs w:val="18"/>
                <w:color w:val="auto"/>
                <w:w w:val="89"/>
              </w:rPr>
              <w:t>(1,001,334)</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(1,175,977)</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paid — common</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(160,023)</w:t>
            </w:r>
          </w:p>
        </w:tc>
        <w:tc>
          <w:tcPr>
            <w:tcW w:w="1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(154,121)</w:t>
            </w:r>
          </w:p>
        </w:tc>
      </w:tr>
      <w:tr>
        <w:trPr>
          <w:trHeight w:val="216"/>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Dividends paid — preferred</w:t>
            </w:r>
          </w:p>
        </w:tc>
        <w:tc>
          <w:tcPr>
            <w:tcW w:w="1280" w:type="dxa"/>
            <w:vAlign w:val="bottom"/>
          </w:tcPr>
          <w:p>
            <w:pPr>
              <w:spacing w:after="0"/>
              <w:rPr>
                <w:sz w:val="18"/>
                <w:szCs w:val="18"/>
                <w:color w:val="auto"/>
              </w:rPr>
            </w:pPr>
          </w:p>
        </w:tc>
        <w:tc>
          <w:tcPr>
            <w:tcW w:w="1360" w:type="dxa"/>
            <w:vAlign w:val="bottom"/>
          </w:tcPr>
          <w:p>
            <w:pPr>
              <w:jc w:val="right"/>
              <w:ind w:right="431"/>
              <w:spacing w:after="0"/>
              <w:rPr>
                <w:sz w:val="20"/>
                <w:szCs w:val="20"/>
                <w:color w:val="auto"/>
              </w:rPr>
            </w:pPr>
            <w:r>
              <w:rPr>
                <w:rFonts w:ascii="Arial" w:cs="Arial" w:eastAsia="Arial" w:hAnsi="Arial"/>
                <w:sz w:val="18"/>
                <w:szCs w:val="18"/>
                <w:color w:val="auto"/>
              </w:rPr>
              <w:t>(11,833)</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8"/>
                <w:szCs w:val="18"/>
                <w:color w:val="auto"/>
              </w:rPr>
              <w:t>9,133</w:t>
            </w:r>
          </w:p>
        </w:tc>
        <w:tc>
          <w:tcPr>
            <w:tcW w:w="16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5,919</w:t>
            </w:r>
          </w:p>
        </w:tc>
      </w:tr>
      <w:tr>
        <w:trPr>
          <w:trHeight w:val="230"/>
        </w:trPr>
        <w:tc>
          <w:tcPr>
            <w:tcW w:w="20" w:type="dxa"/>
            <w:vAlign w:val="bottom"/>
          </w:tcPr>
          <w:p>
            <w:pPr>
              <w:spacing w:after="0"/>
              <w:rPr>
                <w:sz w:val="20"/>
                <w:szCs w:val="20"/>
                <w:color w:val="auto"/>
              </w:rPr>
            </w:pPr>
          </w:p>
        </w:tc>
        <w:tc>
          <w:tcPr>
            <w:tcW w:w="71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Net cash provided (used) by financing activities</w:t>
            </w:r>
          </w:p>
        </w:tc>
        <w:tc>
          <w:tcPr>
            <w:tcW w:w="1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w w:val="89"/>
              </w:rPr>
              <w:t>(2,280,228)</w:t>
            </w:r>
          </w:p>
        </w:tc>
        <w:tc>
          <w:tcPr>
            <w:tcW w:w="16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929,259</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decrease in cash and cash equivalents</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(417,423)</w:t>
            </w:r>
          </w:p>
        </w:tc>
        <w:tc>
          <w:tcPr>
            <w:tcW w:w="1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(129,044)</w:t>
            </w:r>
          </w:p>
        </w:tc>
      </w:tr>
      <w:tr>
        <w:trPr>
          <w:trHeight w:val="223"/>
        </w:trPr>
        <w:tc>
          <w:tcPr>
            <w:tcW w:w="20" w:type="dxa"/>
            <w:vAlign w:val="bottom"/>
          </w:tcPr>
          <w:p>
            <w:pPr>
              <w:spacing w:after="0"/>
              <w:rPr>
                <w:sz w:val="19"/>
                <w:szCs w:val="19"/>
                <w:color w:val="auto"/>
              </w:rPr>
            </w:pPr>
          </w:p>
        </w:tc>
        <w:tc>
          <w:tcPr>
            <w:tcW w:w="71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Cash and cash equivalents at beginning of period</w:t>
            </w:r>
          </w:p>
        </w:tc>
        <w:tc>
          <w:tcPr>
            <w:tcW w:w="1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w w:val="94"/>
              </w:rPr>
              <w:t>1,568,151</w:t>
            </w:r>
          </w:p>
        </w:tc>
        <w:tc>
          <w:tcPr>
            <w:tcW w:w="16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1,767,547</w:t>
            </w:r>
          </w:p>
        </w:tc>
      </w:tr>
      <w:tr>
        <w:trPr>
          <w:trHeight w:val="216"/>
        </w:trPr>
        <w:tc>
          <w:tcPr>
            <w:tcW w:w="20" w:type="dxa"/>
            <w:vAlign w:val="bottom"/>
          </w:tcPr>
          <w:p>
            <w:pPr>
              <w:spacing w:after="0"/>
              <w:rPr>
                <w:sz w:val="18"/>
                <w:szCs w:val="18"/>
                <w:color w:val="auto"/>
              </w:rPr>
            </w:pPr>
          </w:p>
        </w:tc>
        <w:tc>
          <w:tcPr>
            <w:tcW w:w="71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Cash and cash equivalents at end of period</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8"/>
                <w:szCs w:val="18"/>
                <w:color w:val="auto"/>
                <w:w w:val="94"/>
              </w:rPr>
              <w:t>1,150,728</w:t>
            </w:r>
          </w:p>
        </w:tc>
        <w:tc>
          <w:tcPr>
            <w:tcW w:w="16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1,638,503</w:t>
            </w:r>
          </w:p>
        </w:tc>
      </w:tr>
      <w:tr>
        <w:trPr>
          <w:trHeight w:val="20"/>
        </w:trPr>
        <w:tc>
          <w:tcPr>
            <w:tcW w:w="71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Supplemental disclosure of cash flow information</w:t>
            </w:r>
          </w:p>
        </w:tc>
        <w:tc>
          <w:tcPr>
            <w:tcW w:w="12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received during the period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w w:val="94"/>
              </w:rPr>
              <w:t>1,330,441</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1,763,523</w:t>
            </w:r>
          </w:p>
        </w:tc>
      </w:tr>
      <w:tr>
        <w:trPr>
          <w:trHeight w:val="216"/>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Interest paid during the period</w:t>
            </w:r>
          </w:p>
        </w:tc>
        <w:tc>
          <w:tcPr>
            <w:tcW w:w="1280" w:type="dxa"/>
            <w:vAlign w:val="bottom"/>
          </w:tcPr>
          <w:p>
            <w:pPr>
              <w:spacing w:after="0"/>
              <w:rPr>
                <w:sz w:val="18"/>
                <w:szCs w:val="18"/>
                <w:color w:val="auto"/>
              </w:rPr>
            </w:pPr>
          </w:p>
        </w:tc>
        <w:tc>
          <w:tcPr>
            <w:tcW w:w="1360" w:type="dxa"/>
            <w:vAlign w:val="bottom"/>
          </w:tcPr>
          <w:p>
            <w:pPr>
              <w:jc w:val="right"/>
              <w:ind w:right="491"/>
              <w:spacing w:after="0"/>
              <w:rPr>
                <w:sz w:val="20"/>
                <w:szCs w:val="20"/>
                <w:color w:val="auto"/>
              </w:rPr>
            </w:pPr>
            <w:r>
              <w:rPr>
                <w:rFonts w:ascii="Arial" w:cs="Arial" w:eastAsia="Arial" w:hAnsi="Arial"/>
                <w:sz w:val="18"/>
                <w:szCs w:val="18"/>
                <w:color w:val="auto"/>
              </w:rPr>
              <w:t>351,744</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775,474</w:t>
            </w:r>
          </w:p>
        </w:tc>
      </w:tr>
      <w:tr>
        <w:trPr>
          <w:trHeight w:val="216"/>
        </w:trPr>
        <w:tc>
          <w:tcPr>
            <w:tcW w:w="20" w:type="dxa"/>
            <w:vAlign w:val="bottom"/>
          </w:tcPr>
          <w:p>
            <w:pPr>
              <w:spacing w:after="0"/>
              <w:rPr>
                <w:sz w:val="18"/>
                <w:szCs w:val="18"/>
                <w:color w:val="auto"/>
              </w:rPr>
            </w:pPr>
          </w:p>
        </w:tc>
        <w:tc>
          <w:tcPr>
            <w:tcW w:w="71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Income taxes paid (refunded) during the period</w:t>
            </w:r>
          </w:p>
        </w:tc>
        <w:tc>
          <w:tcPr>
            <w:tcW w:w="1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(9,551)</w:t>
            </w:r>
          </w:p>
        </w:tc>
        <w:tc>
          <w:tcPr>
            <w:tcW w:w="16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186,313</w:t>
            </w:r>
          </w:p>
        </w:tc>
      </w:tr>
      <w:tr>
        <w:trPr>
          <w:trHeight w:val="20"/>
        </w:trPr>
        <w:tc>
          <w:tcPr>
            <w:tcW w:w="71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12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Securitization of residential mortgage loans allocated to</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00"/>
              <w:spacing w:after="0"/>
              <w:rPr>
                <w:sz w:val="20"/>
                <w:szCs w:val="20"/>
                <w:color w:val="auto"/>
              </w:rPr>
            </w:pPr>
            <w:r>
              <w:rPr>
                <w:rFonts w:ascii="Arial" w:cs="Arial" w:eastAsia="Arial" w:hAnsi="Arial"/>
                <w:sz w:val="18"/>
                <w:szCs w:val="18"/>
                <w:color w:val="auto"/>
              </w:rPr>
              <w:t>Available for sale investment securities</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91"/>
              <w:spacing w:after="0"/>
              <w:rPr>
                <w:sz w:val="20"/>
                <w:szCs w:val="20"/>
                <w:color w:val="auto"/>
              </w:rPr>
            </w:pPr>
            <w:r>
              <w:rPr>
                <w:rFonts w:ascii="Arial" w:cs="Arial" w:eastAsia="Arial" w:hAnsi="Arial"/>
                <w:sz w:val="18"/>
                <w:szCs w:val="18"/>
                <w:color w:val="auto"/>
              </w:rPr>
              <w:t>140,942</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541,196</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Capitalized servicing rights</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788</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4,940</w:t>
            </w:r>
          </w:p>
        </w:tc>
      </w:tr>
      <w:tr>
        <w:trPr>
          <w:trHeight w:val="216"/>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Real estate acquired in settlement of loans</w:t>
            </w:r>
          </w:p>
        </w:tc>
        <w:tc>
          <w:tcPr>
            <w:tcW w:w="1280" w:type="dxa"/>
            <w:vAlign w:val="bottom"/>
          </w:tcPr>
          <w:p>
            <w:pPr>
              <w:spacing w:after="0"/>
              <w:rPr>
                <w:sz w:val="18"/>
                <w:szCs w:val="18"/>
                <w:color w:val="auto"/>
              </w:rPr>
            </w:pPr>
          </w:p>
        </w:tc>
        <w:tc>
          <w:tcPr>
            <w:tcW w:w="1360" w:type="dxa"/>
            <w:vAlign w:val="bottom"/>
          </w:tcPr>
          <w:p>
            <w:pPr>
              <w:jc w:val="right"/>
              <w:ind w:right="491"/>
              <w:spacing w:after="0"/>
              <w:rPr>
                <w:sz w:val="20"/>
                <w:szCs w:val="20"/>
                <w:color w:val="auto"/>
              </w:rPr>
            </w:pPr>
            <w:r>
              <w:rPr>
                <w:rFonts w:ascii="Arial" w:cs="Arial" w:eastAsia="Arial" w:hAnsi="Arial"/>
                <w:sz w:val="18"/>
                <w:szCs w:val="18"/>
                <w:color w:val="auto"/>
              </w:rPr>
              <w:t>51,143</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40,314</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00"/>
              <w:spacing w:after="0"/>
              <w:rPr>
                <w:sz w:val="20"/>
                <w:szCs w:val="20"/>
                <w:color w:val="auto"/>
              </w:rPr>
            </w:pPr>
            <w:r>
              <w:rPr>
                <w:rFonts w:ascii="Arial" w:cs="Arial" w:eastAsia="Arial" w:hAnsi="Arial"/>
                <w:sz w:val="18"/>
                <w:szCs w:val="18"/>
                <w:color w:val="auto"/>
              </w:rPr>
              <w:t>Fair value of</w:t>
            </w:r>
          </w:p>
        </w:tc>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Assets acquired (noncash)</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w w:val="94"/>
              </w:rPr>
              <w:t>6,171,252</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40" w:type="dxa"/>
            <w:vAlign w:val="bottom"/>
          </w:tcPr>
          <w:p>
            <w:pPr>
              <w:ind w:left="600"/>
              <w:spacing w:after="0"/>
              <w:rPr>
                <w:sz w:val="20"/>
                <w:szCs w:val="20"/>
                <w:color w:val="auto"/>
              </w:rPr>
            </w:pPr>
            <w:r>
              <w:rPr>
                <w:rFonts w:ascii="Arial" w:cs="Arial" w:eastAsia="Arial" w:hAnsi="Arial"/>
                <w:sz w:val="18"/>
                <w:szCs w:val="18"/>
                <w:color w:val="auto"/>
              </w:rPr>
              <w:t>Liabilities assumed</w:t>
            </w:r>
          </w:p>
        </w:tc>
        <w:tc>
          <w:tcPr>
            <w:tcW w:w="1280" w:type="dxa"/>
            <w:vAlign w:val="bottom"/>
          </w:tcPr>
          <w:p>
            <w:pPr>
              <w:spacing w:after="0"/>
              <w:rPr>
                <w:sz w:val="18"/>
                <w:szCs w:val="18"/>
                <w:color w:val="auto"/>
              </w:rPr>
            </w:pPr>
          </w:p>
        </w:tc>
        <w:tc>
          <w:tcPr>
            <w:tcW w:w="1360" w:type="dxa"/>
            <w:vAlign w:val="bottom"/>
          </w:tcPr>
          <w:p>
            <w:pPr>
              <w:jc w:val="right"/>
              <w:ind w:right="491"/>
              <w:spacing w:after="0"/>
              <w:rPr>
                <w:sz w:val="20"/>
                <w:szCs w:val="20"/>
                <w:color w:val="auto"/>
              </w:rPr>
            </w:pPr>
            <w:r>
              <w:rPr>
                <w:rFonts w:ascii="Arial" w:cs="Arial" w:eastAsia="Arial" w:hAnsi="Arial"/>
                <w:sz w:val="18"/>
                <w:szCs w:val="18"/>
                <w:color w:val="auto"/>
                <w:w w:val="94"/>
              </w:rPr>
              <w:t>5,878,941</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Preferred stock issued</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155,779</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40" w:type="dxa"/>
            <w:vAlign w:val="bottom"/>
          </w:tcPr>
          <w:p>
            <w:pPr>
              <w:ind w:left="600"/>
              <w:spacing w:after="0"/>
              <w:rPr>
                <w:sz w:val="20"/>
                <w:szCs w:val="20"/>
                <w:color w:val="auto"/>
              </w:rPr>
            </w:pPr>
            <w:r>
              <w:rPr>
                <w:rFonts w:ascii="Arial" w:cs="Arial" w:eastAsia="Arial" w:hAnsi="Arial"/>
                <w:sz w:val="18"/>
                <w:szCs w:val="18"/>
                <w:color w:val="auto"/>
              </w:rPr>
              <w:t>Common stock issued</w:t>
            </w:r>
          </w:p>
        </w:tc>
        <w:tc>
          <w:tcPr>
            <w:tcW w:w="1280" w:type="dxa"/>
            <w:vAlign w:val="bottom"/>
          </w:tcPr>
          <w:p>
            <w:pPr>
              <w:spacing w:after="0"/>
              <w:rPr>
                <w:sz w:val="18"/>
                <w:szCs w:val="18"/>
                <w:color w:val="auto"/>
              </w:rPr>
            </w:pPr>
          </w:p>
        </w:tc>
        <w:tc>
          <w:tcPr>
            <w:tcW w:w="1360" w:type="dxa"/>
            <w:vAlign w:val="bottom"/>
          </w:tcPr>
          <w:p>
            <w:pPr>
              <w:jc w:val="right"/>
              <w:ind w:right="491"/>
              <w:spacing w:after="0"/>
              <w:rPr>
                <w:sz w:val="20"/>
                <w:szCs w:val="20"/>
                <w:color w:val="auto"/>
              </w:rPr>
            </w:pPr>
            <w:r>
              <w:rPr>
                <w:rFonts w:ascii="Arial" w:cs="Arial" w:eastAsia="Arial" w:hAnsi="Arial"/>
                <w:sz w:val="18"/>
                <w:szCs w:val="18"/>
                <w:color w:val="auto"/>
              </w:rPr>
              <w:t>272,824</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Common stock options</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1,367</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7140" w:type="dxa"/>
            <w:vAlign w:val="bottom"/>
          </w:tcPr>
          <w:p>
            <w:pPr>
              <w:ind w:left="600"/>
              <w:spacing w:after="0"/>
              <w:rPr>
                <w:sz w:val="20"/>
                <w:szCs w:val="20"/>
                <w:color w:val="auto"/>
              </w:rPr>
            </w:pPr>
            <w:r>
              <w:rPr>
                <w:rFonts w:ascii="Arial" w:cs="Arial" w:eastAsia="Arial" w:hAnsi="Arial"/>
                <w:sz w:val="18"/>
                <w:szCs w:val="18"/>
                <w:color w:val="auto"/>
              </w:rPr>
              <w:t>Common stock warrants</w:t>
            </w:r>
          </w:p>
        </w:tc>
        <w:tc>
          <w:tcPr>
            <w:tcW w:w="1280" w:type="dxa"/>
            <w:vAlign w:val="bottom"/>
          </w:tcPr>
          <w:p>
            <w:pPr>
              <w:spacing w:after="0"/>
              <w:rPr>
                <w:sz w:val="20"/>
                <w:szCs w:val="20"/>
                <w:color w:val="auto"/>
              </w:rPr>
            </w:pPr>
          </w:p>
        </w:tc>
        <w:tc>
          <w:tcPr>
            <w:tcW w:w="1360" w:type="dxa"/>
            <w:vAlign w:val="bottom"/>
          </w:tcPr>
          <w:p>
            <w:pPr>
              <w:jc w:val="right"/>
              <w:ind w:right="491"/>
              <w:spacing w:after="0"/>
              <w:rPr>
                <w:sz w:val="20"/>
                <w:szCs w:val="20"/>
                <w:color w:val="auto"/>
              </w:rPr>
            </w:pPr>
            <w:r>
              <w:rPr>
                <w:rFonts w:ascii="Arial" w:cs="Arial" w:eastAsia="Arial" w:hAnsi="Arial"/>
                <w:sz w:val="18"/>
                <w:szCs w:val="18"/>
                <w:color w:val="auto"/>
              </w:rPr>
              <w:t>6,467</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w:t>
            </w:r>
          </w:p>
        </w:tc>
      </w:tr>
      <w:tr>
        <w:trPr>
          <w:trHeight w:val="391"/>
        </w:trPr>
        <w:tc>
          <w:tcPr>
            <w:tcW w:w="7160" w:type="dxa"/>
            <w:vAlign w:val="bottom"/>
            <w:gridSpan w:val="2"/>
          </w:tcPr>
          <w:p>
            <w:pPr>
              <w:jc w:val="right"/>
              <w:ind w:right="1210"/>
              <w:spacing w:after="0"/>
              <w:rPr>
                <w:sz w:val="20"/>
                <w:szCs w:val="20"/>
                <w:color w:val="auto"/>
              </w:rPr>
            </w:pPr>
            <w:r>
              <w:rPr>
                <w:rFonts w:ascii="Arial" w:cs="Arial" w:eastAsia="Arial" w:hAnsi="Arial"/>
                <w:sz w:val="18"/>
                <w:szCs w:val="18"/>
                <w:color w:val="auto"/>
              </w:rPr>
              <w:t>- 5 -</w:t>
            </w:r>
          </w:p>
        </w:tc>
        <w:tc>
          <w:tcPr>
            <w:tcW w:w="1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911" w:orient="portrait"/>
          <w:cols w:equalWidth="0" w:num="1">
            <w:col w:w="11420"/>
          </w:cols>
          <w:pgMar w:left="240" w:top="419" w:right="239" w:bottom="0"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3720" w:firstLine="3721"/>
        <w:spacing w:after="0" w:line="414" w:lineRule="auto"/>
        <w:rPr>
          <w:sz w:val="20"/>
          <w:szCs w:val="20"/>
          <w:color w:val="auto"/>
        </w:rPr>
      </w:pPr>
      <w:r>
        <w:rPr>
          <w:rFonts w:ascii="Arial" w:cs="Arial" w:eastAsia="Arial" w:hAnsi="Arial"/>
          <w:sz w:val="17"/>
          <w:szCs w:val="17"/>
          <w:color w:val="auto"/>
        </w:rPr>
        <w:t>M&amp;T BANK CORPORATION AND SUBSIDIARIES CONSOLIDATED STATEMENT OF CHANGES IN STOCKHOLDERS’ EQUITY (Unaudited)</w:t>
      </w: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tcPr>
          <w:p>
            <w:pPr>
              <w:jc w:val="right"/>
              <w:ind w:right="237"/>
              <w:spacing w:after="0" w:line="136" w:lineRule="exact"/>
              <w:rPr>
                <w:sz w:val="20"/>
                <w:szCs w:val="20"/>
                <w:color w:val="auto"/>
              </w:rPr>
            </w:pPr>
            <w:r>
              <w:rPr>
                <w:rFonts w:ascii="Arial" w:cs="Arial" w:eastAsia="Arial" w:hAnsi="Arial"/>
                <w:sz w:val="13"/>
                <w:szCs w:val="13"/>
                <w:color w:val="auto"/>
              </w:rPr>
              <w:t>Accumulated</w:t>
            </w:r>
          </w:p>
        </w:tc>
        <w:tc>
          <w:tcPr>
            <w:tcW w:w="1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other</w:t>
            </w:r>
          </w:p>
        </w:tc>
        <w:tc>
          <w:tcPr>
            <w:tcW w:w="1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Common</w:t>
            </w:r>
          </w:p>
        </w:tc>
        <w:tc>
          <w:tcPr>
            <w:tcW w:w="114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Additional</w:t>
            </w:r>
          </w:p>
        </w:tc>
        <w:tc>
          <w:tcPr>
            <w:tcW w:w="1040" w:type="dxa"/>
            <w:vAlign w:val="bottom"/>
          </w:tcPr>
          <w:p>
            <w:pPr>
              <w:spacing w:after="0"/>
              <w:rPr>
                <w:sz w:val="11"/>
                <w:szCs w:val="11"/>
                <w:color w:val="auto"/>
              </w:rPr>
            </w:pPr>
          </w:p>
        </w:tc>
        <w:tc>
          <w:tcPr>
            <w:tcW w:w="126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comprehensive</w:t>
            </w:r>
          </w:p>
        </w:tc>
        <w:tc>
          <w:tcPr>
            <w:tcW w:w="1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jc w:val="right"/>
              <w:ind w:right="277"/>
              <w:spacing w:after="0" w:line="135" w:lineRule="exact"/>
              <w:rPr>
                <w:sz w:val="20"/>
                <w:szCs w:val="20"/>
                <w:color w:val="auto"/>
              </w:rPr>
            </w:pPr>
            <w:r>
              <w:rPr>
                <w:rFonts w:ascii="Arial" w:cs="Arial" w:eastAsia="Arial" w:hAnsi="Arial"/>
                <w:sz w:val="13"/>
                <w:szCs w:val="13"/>
                <w:color w:val="auto"/>
                <w:w w:val="99"/>
              </w:rPr>
              <w:t>Preferred</w:t>
            </w:r>
          </w:p>
        </w:tc>
        <w:tc>
          <w:tcPr>
            <w:tcW w:w="114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Common</w:t>
            </w:r>
          </w:p>
        </w:tc>
        <w:tc>
          <w:tcPr>
            <w:tcW w:w="110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stock</w:t>
            </w:r>
          </w:p>
        </w:tc>
        <w:tc>
          <w:tcPr>
            <w:tcW w:w="114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paid-in</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Retained</w:t>
            </w:r>
          </w:p>
        </w:tc>
        <w:tc>
          <w:tcPr>
            <w:tcW w:w="126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income (loss),</w:t>
            </w:r>
          </w:p>
        </w:tc>
        <w:tc>
          <w:tcPr>
            <w:tcW w:w="1260" w:type="dxa"/>
            <w:vAlign w:val="bottom"/>
          </w:tcPr>
          <w:p>
            <w:pPr>
              <w:jc w:val="right"/>
              <w:ind w:right="377"/>
              <w:spacing w:after="0" w:line="135" w:lineRule="exact"/>
              <w:rPr>
                <w:sz w:val="20"/>
                <w:szCs w:val="20"/>
                <w:color w:val="auto"/>
              </w:rPr>
            </w:pPr>
            <w:r>
              <w:rPr>
                <w:rFonts w:ascii="Arial" w:cs="Arial" w:eastAsia="Arial" w:hAnsi="Arial"/>
                <w:sz w:val="13"/>
                <w:szCs w:val="13"/>
                <w:color w:val="auto"/>
              </w:rPr>
              <w:t>Treasury</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460" w:type="dxa"/>
            <w:vAlign w:val="bottom"/>
            <w:gridSpan w:val="2"/>
          </w:tcPr>
          <w:p>
            <w:pPr>
              <w:spacing w:after="0"/>
              <w:rPr>
                <w:sz w:val="20"/>
                <w:szCs w:val="20"/>
                <w:color w:val="auto"/>
              </w:rPr>
            </w:pPr>
            <w:r>
              <w:rPr>
                <w:rFonts w:ascii="Arial" w:cs="Arial" w:eastAsia="Arial" w:hAnsi="Arial"/>
                <w:sz w:val="13"/>
                <w:szCs w:val="13"/>
                <w:color w:val="auto"/>
              </w:rPr>
              <w:t>In thousands, except per share</w:t>
            </w:r>
          </w:p>
        </w:tc>
        <w:tc>
          <w:tcPr>
            <w:tcW w:w="340" w:type="dxa"/>
            <w:vAlign w:val="bottom"/>
          </w:tcPr>
          <w:p>
            <w:pPr>
              <w:spacing w:after="0"/>
              <w:rPr>
                <w:sz w:val="13"/>
                <w:szCs w:val="13"/>
                <w:color w:val="auto"/>
              </w:rPr>
            </w:pPr>
          </w:p>
        </w:tc>
        <w:tc>
          <w:tcPr>
            <w:tcW w:w="900" w:type="dxa"/>
            <w:vAlign w:val="bottom"/>
          </w:tcPr>
          <w:p>
            <w:pPr>
              <w:jc w:val="right"/>
              <w:ind w:right="277"/>
              <w:spacing w:after="0"/>
              <w:rPr>
                <w:sz w:val="20"/>
                <w:szCs w:val="20"/>
                <w:color w:val="auto"/>
              </w:rPr>
            </w:pPr>
            <w:r>
              <w:rPr>
                <w:rFonts w:ascii="Arial" w:cs="Arial" w:eastAsia="Arial" w:hAnsi="Arial"/>
                <w:sz w:val="13"/>
                <w:szCs w:val="13"/>
                <w:color w:val="auto"/>
              </w:rPr>
              <w:t>stock</w:t>
            </w:r>
          </w:p>
        </w:tc>
        <w:tc>
          <w:tcPr>
            <w:tcW w:w="1140" w:type="dxa"/>
            <w:vAlign w:val="bottom"/>
          </w:tcPr>
          <w:p>
            <w:pPr>
              <w:jc w:val="right"/>
              <w:ind w:right="277"/>
              <w:spacing w:after="0"/>
              <w:rPr>
                <w:sz w:val="20"/>
                <w:szCs w:val="20"/>
                <w:color w:val="auto"/>
              </w:rPr>
            </w:pPr>
            <w:r>
              <w:rPr>
                <w:rFonts w:ascii="Arial" w:cs="Arial" w:eastAsia="Arial" w:hAnsi="Arial"/>
                <w:sz w:val="13"/>
                <w:szCs w:val="13"/>
                <w:color w:val="auto"/>
              </w:rPr>
              <w:t>stock</w:t>
            </w:r>
          </w:p>
        </w:tc>
        <w:tc>
          <w:tcPr>
            <w:tcW w:w="1100" w:type="dxa"/>
            <w:vAlign w:val="bottom"/>
          </w:tcPr>
          <w:p>
            <w:pPr>
              <w:jc w:val="right"/>
              <w:ind w:right="257"/>
              <w:spacing w:after="0"/>
              <w:rPr>
                <w:sz w:val="20"/>
                <w:szCs w:val="20"/>
                <w:color w:val="auto"/>
              </w:rPr>
            </w:pPr>
            <w:r>
              <w:rPr>
                <w:rFonts w:ascii="Arial" w:cs="Arial" w:eastAsia="Arial" w:hAnsi="Arial"/>
                <w:sz w:val="13"/>
                <w:szCs w:val="13"/>
                <w:color w:val="auto"/>
              </w:rPr>
              <w:t>issuable</w:t>
            </w:r>
          </w:p>
        </w:tc>
        <w:tc>
          <w:tcPr>
            <w:tcW w:w="1140" w:type="dxa"/>
            <w:vAlign w:val="bottom"/>
          </w:tcPr>
          <w:p>
            <w:pPr>
              <w:jc w:val="right"/>
              <w:ind w:right="277"/>
              <w:spacing w:after="0"/>
              <w:rPr>
                <w:sz w:val="20"/>
                <w:szCs w:val="20"/>
                <w:color w:val="auto"/>
              </w:rPr>
            </w:pPr>
            <w:r>
              <w:rPr>
                <w:rFonts w:ascii="Arial" w:cs="Arial" w:eastAsia="Arial" w:hAnsi="Arial"/>
                <w:sz w:val="13"/>
                <w:szCs w:val="13"/>
                <w:color w:val="auto"/>
              </w:rPr>
              <w:t>capital</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earnings</w:t>
            </w:r>
          </w:p>
        </w:tc>
        <w:tc>
          <w:tcPr>
            <w:tcW w:w="1260" w:type="dxa"/>
            <w:vAlign w:val="bottom"/>
          </w:tcPr>
          <w:p>
            <w:pPr>
              <w:jc w:val="right"/>
              <w:ind w:right="237"/>
              <w:spacing w:after="0"/>
              <w:rPr>
                <w:sz w:val="20"/>
                <w:szCs w:val="20"/>
                <w:color w:val="auto"/>
              </w:rPr>
            </w:pPr>
            <w:r>
              <w:rPr>
                <w:rFonts w:ascii="Arial" w:cs="Arial" w:eastAsia="Arial" w:hAnsi="Arial"/>
                <w:sz w:val="13"/>
                <w:szCs w:val="13"/>
                <w:color w:val="auto"/>
              </w:rPr>
              <w:t>net</w:t>
            </w:r>
          </w:p>
        </w:tc>
        <w:tc>
          <w:tcPr>
            <w:tcW w:w="1260" w:type="dxa"/>
            <w:vAlign w:val="bottom"/>
          </w:tcPr>
          <w:p>
            <w:pPr>
              <w:jc w:val="right"/>
              <w:ind w:right="377"/>
              <w:spacing w:after="0"/>
              <w:rPr>
                <w:sz w:val="20"/>
                <w:szCs w:val="20"/>
                <w:color w:val="auto"/>
              </w:rPr>
            </w:pPr>
            <w:r>
              <w:rPr>
                <w:rFonts w:ascii="Arial" w:cs="Arial" w:eastAsia="Arial" w:hAnsi="Arial"/>
                <w:sz w:val="13"/>
                <w:szCs w:val="13"/>
                <w:color w:val="auto"/>
              </w:rPr>
              <w:t>stock</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2008</w:t>
            </w:r>
          </w:p>
        </w:tc>
        <w:tc>
          <w:tcPr>
            <w:tcW w:w="34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tcPr>
          <w:p>
            <w:pPr>
              <w:spacing w:after="0" w:line="135" w:lineRule="exact"/>
              <w:rPr>
                <w:sz w:val="20"/>
                <w:szCs w:val="20"/>
                <w:color w:val="auto"/>
              </w:rPr>
            </w:pPr>
            <w:r>
              <w:rPr>
                <w:rFonts w:ascii="Arial" w:cs="Arial" w:eastAsia="Arial" w:hAnsi="Arial"/>
                <w:sz w:val="13"/>
                <w:szCs w:val="13"/>
                <w:color w:val="auto"/>
              </w:rPr>
              <w:t>Balance — January 1, 2008</w:t>
            </w:r>
          </w:p>
        </w:tc>
        <w:tc>
          <w:tcPr>
            <w:tcW w:w="3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60,198</w:t>
            </w:r>
          </w:p>
        </w:tc>
        <w:tc>
          <w:tcPr>
            <w:tcW w:w="110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4,776</w:t>
            </w:r>
          </w:p>
        </w:tc>
        <w:tc>
          <w:tcPr>
            <w:tcW w:w="114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2,848,752</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4,815,585</w:t>
            </w:r>
          </w:p>
        </w:tc>
        <w:tc>
          <w:tcPr>
            <w:tcW w:w="12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(114,822)</w:t>
            </w:r>
          </w:p>
        </w:tc>
        <w:tc>
          <w:tcPr>
            <w:tcW w:w="1260" w:type="dxa"/>
            <w:vAlign w:val="bottom"/>
          </w:tcPr>
          <w:p>
            <w:pPr>
              <w:jc w:val="right"/>
              <w:ind w:right="337"/>
              <w:spacing w:after="0" w:line="135" w:lineRule="exact"/>
              <w:rPr>
                <w:sz w:val="20"/>
                <w:szCs w:val="20"/>
                <w:color w:val="auto"/>
              </w:rPr>
            </w:pPr>
            <w:r>
              <w:rPr>
                <w:rFonts w:ascii="Arial" w:cs="Arial" w:eastAsia="Arial" w:hAnsi="Arial"/>
                <w:sz w:val="13"/>
                <w:szCs w:val="13"/>
                <w:color w:val="auto"/>
              </w:rPr>
              <w:t>(1,129,233)</w:t>
            </w: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6,485,256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Comprehensive income:</w:t>
            </w:r>
          </w:p>
        </w:tc>
        <w:tc>
          <w:tcPr>
            <w:tcW w:w="3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tcPr>
          <w:p>
            <w:pPr>
              <w:ind w:left="200"/>
              <w:spacing w:after="0" w:line="135" w:lineRule="exact"/>
              <w:rPr>
                <w:sz w:val="20"/>
                <w:szCs w:val="20"/>
                <w:color w:val="auto"/>
              </w:rPr>
            </w:pPr>
            <w:r>
              <w:rPr>
                <w:rFonts w:ascii="Arial" w:cs="Arial" w:eastAsia="Arial" w:hAnsi="Arial"/>
                <w:sz w:val="13"/>
                <w:szCs w:val="13"/>
                <w:color w:val="auto"/>
              </w:rPr>
              <w:t>Net income</w:t>
            </w:r>
          </w:p>
        </w:tc>
        <w:tc>
          <w:tcPr>
            <w:tcW w:w="340" w:type="dxa"/>
            <w:vAlign w:val="bottom"/>
          </w:tcPr>
          <w:p>
            <w:pPr>
              <w:spacing w:after="0"/>
              <w:rPr>
                <w:sz w:val="11"/>
                <w:szCs w:val="11"/>
                <w:color w:val="auto"/>
              </w:rPr>
            </w:pPr>
          </w:p>
        </w:tc>
        <w:tc>
          <w:tcPr>
            <w:tcW w:w="90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10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362,461</w:t>
            </w:r>
          </w:p>
        </w:tc>
        <w:tc>
          <w:tcPr>
            <w:tcW w:w="126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377"/>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362,461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40" w:type="dxa"/>
            <w:vAlign w:val="bottom"/>
            <w:shd w:val="clear" w:color="auto" w:fill="CCEEFF"/>
          </w:tcPr>
          <w:p>
            <w:pPr>
              <w:ind w:left="200"/>
              <w:spacing w:after="0" w:line="121" w:lineRule="exact"/>
              <w:rPr>
                <w:sz w:val="20"/>
                <w:szCs w:val="20"/>
                <w:color w:val="auto"/>
              </w:rPr>
            </w:pPr>
            <w:r>
              <w:rPr>
                <w:rFonts w:ascii="Arial" w:cs="Arial" w:eastAsia="Arial" w:hAnsi="Arial"/>
                <w:sz w:val="13"/>
                <w:szCs w:val="13"/>
                <w:color w:val="auto"/>
                <w:w w:val="96"/>
              </w:rPr>
              <w:t>Other comprehensive income, net of tax</w:t>
            </w:r>
          </w:p>
        </w:tc>
        <w:tc>
          <w:tcPr>
            <w:tcW w:w="3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ind w:left="400"/>
              <w:spacing w:after="0"/>
              <w:rPr>
                <w:sz w:val="20"/>
                <w:szCs w:val="20"/>
                <w:color w:val="auto"/>
              </w:rPr>
            </w:pPr>
            <w:r>
              <w:rPr>
                <w:rFonts w:ascii="Arial" w:cs="Arial" w:eastAsia="Arial" w:hAnsi="Arial"/>
                <w:sz w:val="13"/>
                <w:szCs w:val="13"/>
                <w:color w:val="auto"/>
              </w:rPr>
              <w:t>and reclassification adjustments:</w:t>
            </w: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40" w:type="dxa"/>
            <w:vAlign w:val="bottom"/>
          </w:tcPr>
          <w:p>
            <w:pPr>
              <w:ind w:left="400"/>
              <w:spacing w:after="0" w:line="121" w:lineRule="exact"/>
              <w:rPr>
                <w:sz w:val="20"/>
                <w:szCs w:val="20"/>
                <w:color w:val="auto"/>
              </w:rPr>
            </w:pPr>
            <w:r>
              <w:rPr>
                <w:rFonts w:ascii="Arial" w:cs="Arial" w:eastAsia="Arial" w:hAnsi="Arial"/>
                <w:sz w:val="13"/>
                <w:szCs w:val="13"/>
                <w:color w:val="auto"/>
              </w:rPr>
              <w:t>Unrealized losses on investment</w:t>
            </w:r>
          </w:p>
        </w:tc>
        <w:tc>
          <w:tcPr>
            <w:tcW w:w="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ind w:left="600"/>
              <w:spacing w:after="0"/>
              <w:rPr>
                <w:sz w:val="20"/>
                <w:szCs w:val="20"/>
                <w:color w:val="auto"/>
              </w:rPr>
            </w:pPr>
            <w:r>
              <w:rPr>
                <w:rFonts w:ascii="Arial" w:cs="Arial" w:eastAsia="Arial" w:hAnsi="Arial"/>
                <w:sz w:val="13"/>
                <w:szCs w:val="13"/>
                <w:color w:val="auto"/>
              </w:rPr>
              <w:t>securities</w:t>
            </w:r>
          </w:p>
        </w:tc>
        <w:tc>
          <w:tcPr>
            <w:tcW w:w="340" w:type="dxa"/>
            <w:vAlign w:val="bottom"/>
          </w:tcPr>
          <w:p>
            <w:pPr>
              <w:spacing w:after="0"/>
              <w:rPr>
                <w:sz w:val="12"/>
                <w:szCs w:val="12"/>
                <w:color w:val="auto"/>
              </w:rPr>
            </w:pPr>
          </w:p>
        </w:tc>
        <w:tc>
          <w:tcPr>
            <w:tcW w:w="90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7"/>
              <w:spacing w:after="0"/>
              <w:rPr>
                <w:sz w:val="20"/>
                <w:szCs w:val="20"/>
                <w:color w:val="auto"/>
              </w:rPr>
            </w:pPr>
            <w:r>
              <w:rPr>
                <w:rFonts w:ascii="Arial" w:cs="Arial" w:eastAsia="Arial" w:hAnsi="Arial"/>
                <w:sz w:val="13"/>
                <w:szCs w:val="13"/>
                <w:color w:val="auto"/>
              </w:rPr>
              <w:t>(212,309)</w:t>
            </w:r>
          </w:p>
        </w:tc>
        <w:tc>
          <w:tcPr>
            <w:tcW w:w="1260" w:type="dxa"/>
            <w:vAlign w:val="bottom"/>
          </w:tcPr>
          <w:p>
            <w:pPr>
              <w:jc w:val="right"/>
              <w:ind w:right="377"/>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(212,309)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40" w:type="dxa"/>
            <w:vAlign w:val="bottom"/>
            <w:shd w:val="clear" w:color="auto" w:fill="CCEEFF"/>
          </w:tcPr>
          <w:p>
            <w:pPr>
              <w:ind w:left="400"/>
              <w:spacing w:after="0" w:line="121" w:lineRule="exact"/>
              <w:rPr>
                <w:sz w:val="20"/>
                <w:szCs w:val="20"/>
                <w:color w:val="auto"/>
              </w:rPr>
            </w:pPr>
            <w:r>
              <w:rPr>
                <w:rFonts w:ascii="Arial" w:cs="Arial" w:eastAsia="Arial" w:hAnsi="Arial"/>
                <w:sz w:val="13"/>
                <w:szCs w:val="13"/>
                <w:color w:val="auto"/>
              </w:rPr>
              <w:t>Defined benefit plans liablity</w:t>
            </w:r>
          </w:p>
        </w:tc>
        <w:tc>
          <w:tcPr>
            <w:tcW w:w="3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ind w:left="600"/>
              <w:spacing w:after="0"/>
              <w:rPr>
                <w:sz w:val="20"/>
                <w:szCs w:val="20"/>
                <w:color w:val="auto"/>
              </w:rPr>
            </w:pPr>
            <w:r>
              <w:rPr>
                <w:rFonts w:ascii="Arial" w:cs="Arial" w:eastAsia="Arial" w:hAnsi="Arial"/>
                <w:sz w:val="13"/>
                <w:szCs w:val="13"/>
                <w:color w:val="auto"/>
              </w:rPr>
              <w:t>adjustment</w:t>
            </w: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(699)</w:t>
            </w:r>
          </w:p>
        </w:tc>
        <w:tc>
          <w:tcPr>
            <w:tcW w:w="1260" w:type="dxa"/>
            <w:vAlign w:val="bottom"/>
            <w:shd w:val="clear" w:color="auto" w:fill="CCEEFF"/>
          </w:tcPr>
          <w:p>
            <w:pPr>
              <w:jc w:val="right"/>
              <w:ind w:right="377"/>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(699)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40" w:type="dxa"/>
            <w:vAlign w:val="bottom"/>
          </w:tcPr>
          <w:p>
            <w:pPr>
              <w:ind w:left="400"/>
              <w:spacing w:after="0" w:line="121" w:lineRule="exact"/>
              <w:rPr>
                <w:sz w:val="20"/>
                <w:szCs w:val="20"/>
                <w:color w:val="auto"/>
              </w:rPr>
            </w:pPr>
            <w:r>
              <w:rPr>
                <w:rFonts w:ascii="Arial" w:cs="Arial" w:eastAsia="Arial" w:hAnsi="Arial"/>
                <w:sz w:val="13"/>
                <w:szCs w:val="13"/>
                <w:color w:val="auto"/>
              </w:rPr>
              <w:t>Unrealized losses on cash flow</w:t>
            </w:r>
          </w:p>
        </w:tc>
        <w:tc>
          <w:tcPr>
            <w:tcW w:w="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40" w:type="dxa"/>
            <w:vAlign w:val="bottom"/>
          </w:tcPr>
          <w:p>
            <w:pPr>
              <w:ind w:left="600"/>
              <w:spacing w:after="0"/>
              <w:rPr>
                <w:sz w:val="20"/>
                <w:szCs w:val="20"/>
                <w:color w:val="auto"/>
              </w:rPr>
            </w:pPr>
            <w:r>
              <w:rPr>
                <w:rFonts w:ascii="Arial" w:cs="Arial" w:eastAsia="Arial" w:hAnsi="Arial"/>
                <w:sz w:val="13"/>
                <w:szCs w:val="13"/>
                <w:color w:val="auto"/>
              </w:rPr>
              <w:t>hedges</w:t>
            </w:r>
          </w:p>
        </w:tc>
        <w:tc>
          <w:tcPr>
            <w:tcW w:w="340" w:type="dxa"/>
            <w:vAlign w:val="bottom"/>
          </w:tcPr>
          <w:p>
            <w:pPr>
              <w:spacing w:after="0"/>
              <w:rPr>
                <w:sz w:val="13"/>
                <w:szCs w:val="13"/>
                <w:color w:val="auto"/>
              </w:rPr>
            </w:pPr>
          </w:p>
        </w:tc>
        <w:tc>
          <w:tcPr>
            <w:tcW w:w="90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7"/>
              <w:spacing w:after="0"/>
              <w:rPr>
                <w:sz w:val="20"/>
                <w:szCs w:val="20"/>
                <w:color w:val="auto"/>
              </w:rPr>
            </w:pPr>
            <w:r>
              <w:rPr>
                <w:rFonts w:ascii="Arial" w:cs="Arial" w:eastAsia="Arial" w:hAnsi="Arial"/>
                <w:sz w:val="13"/>
                <w:szCs w:val="13"/>
                <w:color w:val="auto"/>
              </w:rPr>
              <w:t>(5,087)</w:t>
            </w:r>
          </w:p>
        </w:tc>
        <w:tc>
          <w:tcPr>
            <w:tcW w:w="1260" w:type="dxa"/>
            <w:vAlign w:val="bottom"/>
          </w:tcPr>
          <w:p>
            <w:pPr>
              <w:jc w:val="right"/>
              <w:ind w:right="377"/>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(5,087)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144,366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2460" w:type="dxa"/>
            <w:vAlign w:val="bottom"/>
            <w:gridSpan w:val="2"/>
          </w:tcPr>
          <w:p>
            <w:pPr>
              <w:spacing w:after="0"/>
              <w:rPr>
                <w:sz w:val="20"/>
                <w:szCs w:val="20"/>
                <w:color w:val="auto"/>
              </w:rPr>
            </w:pPr>
            <w:r>
              <w:rPr>
                <w:rFonts w:ascii="Arial" w:cs="Arial" w:eastAsia="Arial" w:hAnsi="Arial"/>
                <w:sz w:val="13"/>
                <w:szCs w:val="13"/>
                <w:color w:val="auto"/>
                <w:w w:val="94"/>
              </w:rPr>
              <w:t>Repayment of management stock ownership</w:t>
            </w: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ind w:left="200"/>
              <w:spacing w:after="0"/>
              <w:rPr>
                <w:sz w:val="20"/>
                <w:szCs w:val="20"/>
                <w:color w:val="auto"/>
              </w:rPr>
            </w:pPr>
            <w:r>
              <w:rPr>
                <w:rFonts w:ascii="Arial" w:cs="Arial" w:eastAsia="Arial" w:hAnsi="Arial"/>
                <w:sz w:val="13"/>
                <w:szCs w:val="13"/>
                <w:color w:val="auto"/>
              </w:rPr>
              <w:t>program receivable</w:t>
            </w:r>
          </w:p>
        </w:tc>
        <w:tc>
          <w:tcPr>
            <w:tcW w:w="340" w:type="dxa"/>
            <w:vAlign w:val="bottom"/>
          </w:tcPr>
          <w:p>
            <w:pPr>
              <w:spacing w:after="0"/>
              <w:rPr>
                <w:sz w:val="12"/>
                <w:szCs w:val="12"/>
                <w:color w:val="auto"/>
              </w:rPr>
            </w:pPr>
          </w:p>
        </w:tc>
        <w:tc>
          <w:tcPr>
            <w:tcW w:w="90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77"/>
              <w:spacing w:after="0"/>
              <w:rPr>
                <w:sz w:val="20"/>
                <w:szCs w:val="20"/>
                <w:color w:val="auto"/>
              </w:rPr>
            </w:pPr>
            <w:r>
              <w:rPr>
                <w:rFonts w:ascii="Arial" w:cs="Arial" w:eastAsia="Arial" w:hAnsi="Arial"/>
                <w:sz w:val="13"/>
                <w:szCs w:val="13"/>
                <w:color w:val="auto"/>
              </w:rPr>
              <w:t>72</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377"/>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Stock-based compensation plans:</w:t>
            </w:r>
          </w:p>
        </w:tc>
        <w:tc>
          <w:tcPr>
            <w:tcW w:w="3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tcPr>
          <w:p>
            <w:pPr>
              <w:ind w:left="200"/>
              <w:spacing w:after="0" w:line="135" w:lineRule="exact"/>
              <w:rPr>
                <w:sz w:val="20"/>
                <w:szCs w:val="20"/>
                <w:color w:val="auto"/>
              </w:rPr>
            </w:pPr>
            <w:r>
              <w:rPr>
                <w:rFonts w:ascii="Arial" w:cs="Arial" w:eastAsia="Arial" w:hAnsi="Arial"/>
                <w:sz w:val="13"/>
                <w:szCs w:val="13"/>
                <w:color w:val="auto"/>
              </w:rPr>
              <w:t>Stock option and purchase plans:</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Compensation expense</w:t>
            </w:r>
          </w:p>
        </w:tc>
        <w:tc>
          <w:tcPr>
            <w:tcW w:w="34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257"/>
              <w:spacing w:after="0" w:line="135" w:lineRule="exact"/>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24,949</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377"/>
              <w:spacing w:after="0" w:line="135" w:lineRule="exact"/>
              <w:rPr>
                <w:sz w:val="20"/>
                <w:szCs w:val="20"/>
                <w:color w:val="auto"/>
              </w:rPr>
            </w:pPr>
            <w:r>
              <w:rPr>
                <w:rFonts w:ascii="Arial" w:cs="Arial" w:eastAsia="Arial" w:hAnsi="Arial"/>
                <w:sz w:val="13"/>
                <w:szCs w:val="13"/>
                <w:color w:val="auto"/>
              </w:rPr>
              <w:t>3,944</w:t>
            </w: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28,893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tcPr>
          <w:p>
            <w:pPr>
              <w:ind w:left="400"/>
              <w:spacing w:after="0" w:line="135" w:lineRule="exact"/>
              <w:rPr>
                <w:sz w:val="20"/>
                <w:szCs w:val="20"/>
                <w:color w:val="auto"/>
              </w:rPr>
            </w:pPr>
            <w:r>
              <w:rPr>
                <w:rFonts w:ascii="Arial" w:cs="Arial" w:eastAsia="Arial" w:hAnsi="Arial"/>
                <w:sz w:val="13"/>
                <w:szCs w:val="13"/>
                <w:color w:val="auto"/>
              </w:rPr>
              <w:t>Exercises</w:t>
            </w:r>
          </w:p>
        </w:tc>
        <w:tc>
          <w:tcPr>
            <w:tcW w:w="340" w:type="dxa"/>
            <w:vAlign w:val="bottom"/>
          </w:tcPr>
          <w:p>
            <w:pPr>
              <w:spacing w:after="0"/>
              <w:rPr>
                <w:sz w:val="11"/>
                <w:szCs w:val="11"/>
                <w:color w:val="auto"/>
              </w:rPr>
            </w:pPr>
          </w:p>
        </w:tc>
        <w:tc>
          <w:tcPr>
            <w:tcW w:w="90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10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(19,518)</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377"/>
              <w:spacing w:after="0" w:line="135" w:lineRule="exact"/>
              <w:rPr>
                <w:sz w:val="20"/>
                <w:szCs w:val="20"/>
                <w:color w:val="auto"/>
              </w:rPr>
            </w:pPr>
            <w:r>
              <w:rPr>
                <w:rFonts w:ascii="Arial" w:cs="Arial" w:eastAsia="Arial" w:hAnsi="Arial"/>
                <w:sz w:val="13"/>
                <w:szCs w:val="13"/>
                <w:color w:val="auto"/>
              </w:rPr>
              <w:t>33,346</w:t>
            </w: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13,828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Directors’ stock plan</w:t>
            </w:r>
          </w:p>
        </w:tc>
        <w:tc>
          <w:tcPr>
            <w:tcW w:w="34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257"/>
              <w:spacing w:after="0" w:line="135" w:lineRule="exact"/>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(223)</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377"/>
              <w:spacing w:after="0" w:line="135" w:lineRule="exact"/>
              <w:rPr>
                <w:sz w:val="20"/>
                <w:szCs w:val="20"/>
                <w:color w:val="auto"/>
              </w:rPr>
            </w:pPr>
            <w:r>
              <w:rPr>
                <w:rFonts w:ascii="Arial" w:cs="Arial" w:eastAsia="Arial" w:hAnsi="Arial"/>
                <w:sz w:val="13"/>
                <w:szCs w:val="13"/>
                <w:color w:val="auto"/>
              </w:rPr>
              <w:t>919</w:t>
            </w: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696</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40" w:type="dxa"/>
            <w:vAlign w:val="bottom"/>
          </w:tcPr>
          <w:p>
            <w:pPr>
              <w:ind w:left="200"/>
              <w:spacing w:after="0" w:line="121" w:lineRule="exact"/>
              <w:rPr>
                <w:sz w:val="20"/>
                <w:szCs w:val="20"/>
                <w:color w:val="auto"/>
              </w:rPr>
            </w:pPr>
            <w:r>
              <w:rPr>
                <w:rFonts w:ascii="Arial" w:cs="Arial" w:eastAsia="Arial" w:hAnsi="Arial"/>
                <w:sz w:val="13"/>
                <w:szCs w:val="13"/>
                <w:color w:val="auto"/>
              </w:rPr>
              <w:t>Deferred compensation plans, net,</w:t>
            </w:r>
          </w:p>
        </w:tc>
        <w:tc>
          <w:tcPr>
            <w:tcW w:w="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ind w:left="400"/>
              <w:spacing w:after="0"/>
              <w:rPr>
                <w:sz w:val="20"/>
                <w:szCs w:val="20"/>
                <w:color w:val="auto"/>
              </w:rPr>
            </w:pPr>
            <w:r>
              <w:rPr>
                <w:rFonts w:ascii="Arial" w:cs="Arial" w:eastAsia="Arial" w:hAnsi="Arial"/>
                <w:sz w:val="13"/>
                <w:szCs w:val="13"/>
                <w:color w:val="auto"/>
              </w:rPr>
              <w:t>including dividend equivalents</w:t>
            </w:r>
          </w:p>
        </w:tc>
        <w:tc>
          <w:tcPr>
            <w:tcW w:w="340" w:type="dxa"/>
            <w:vAlign w:val="bottom"/>
          </w:tcPr>
          <w:p>
            <w:pPr>
              <w:spacing w:after="0"/>
              <w:rPr>
                <w:sz w:val="12"/>
                <w:szCs w:val="12"/>
                <w:color w:val="auto"/>
              </w:rPr>
            </w:pPr>
          </w:p>
        </w:tc>
        <w:tc>
          <w:tcPr>
            <w:tcW w:w="90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217"/>
              <w:spacing w:after="0"/>
              <w:rPr>
                <w:sz w:val="20"/>
                <w:szCs w:val="20"/>
                <w:color w:val="auto"/>
              </w:rPr>
            </w:pPr>
            <w:r>
              <w:rPr>
                <w:rFonts w:ascii="Arial" w:cs="Arial" w:eastAsia="Arial" w:hAnsi="Arial"/>
                <w:sz w:val="13"/>
                <w:szCs w:val="13"/>
                <w:color w:val="auto"/>
              </w:rPr>
              <w:t>(182)</w:t>
            </w:r>
          </w:p>
        </w:tc>
        <w:tc>
          <w:tcPr>
            <w:tcW w:w="1140" w:type="dxa"/>
            <w:vAlign w:val="bottom"/>
          </w:tcPr>
          <w:p>
            <w:pPr>
              <w:jc w:val="right"/>
              <w:ind w:right="237"/>
              <w:spacing w:after="0"/>
              <w:rPr>
                <w:sz w:val="20"/>
                <w:szCs w:val="20"/>
                <w:color w:val="auto"/>
              </w:rPr>
            </w:pPr>
            <w:r>
              <w:rPr>
                <w:rFonts w:ascii="Arial" w:cs="Arial" w:eastAsia="Arial" w:hAnsi="Arial"/>
                <w:sz w:val="13"/>
                <w:szCs w:val="13"/>
                <w:color w:val="auto"/>
              </w:rPr>
              <w:t>(383)</w:t>
            </w:r>
          </w:p>
        </w:tc>
        <w:tc>
          <w:tcPr>
            <w:tcW w:w="1040" w:type="dxa"/>
            <w:vAlign w:val="bottom"/>
          </w:tcPr>
          <w:p>
            <w:pPr>
              <w:jc w:val="right"/>
              <w:ind w:right="137"/>
              <w:spacing w:after="0"/>
              <w:rPr>
                <w:sz w:val="20"/>
                <w:szCs w:val="20"/>
                <w:color w:val="auto"/>
              </w:rPr>
            </w:pPr>
            <w:r>
              <w:rPr>
                <w:rFonts w:ascii="Arial" w:cs="Arial" w:eastAsia="Arial" w:hAnsi="Arial"/>
                <w:sz w:val="13"/>
                <w:szCs w:val="13"/>
                <w:color w:val="auto"/>
              </w:rPr>
              <w:t>(108)</w:t>
            </w:r>
          </w:p>
        </w:tc>
        <w:tc>
          <w:tcPr>
            <w:tcW w:w="126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377"/>
              <w:spacing w:after="0"/>
              <w:rPr>
                <w:sz w:val="20"/>
                <w:szCs w:val="20"/>
                <w:color w:val="auto"/>
              </w:rPr>
            </w:pPr>
            <w:r>
              <w:rPr>
                <w:rFonts w:ascii="Arial" w:cs="Arial" w:eastAsia="Arial" w:hAnsi="Arial"/>
                <w:sz w:val="13"/>
                <w:szCs w:val="13"/>
                <w:color w:val="auto"/>
              </w:rPr>
              <w:t>739</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9"/>
              </w:rPr>
              <w:t>Common stock cash dividends - $1.40 per</w:t>
            </w:r>
          </w:p>
        </w:tc>
        <w:tc>
          <w:tcPr>
            <w:tcW w:w="3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color w:val="auto"/>
              </w:rPr>
              <w:t>share</w:t>
            </w:r>
          </w:p>
        </w:tc>
        <w:tc>
          <w:tcPr>
            <w:tcW w:w="3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rPr>
              <w:t>(154,121)</w:t>
            </w:r>
          </w:p>
        </w:tc>
        <w:tc>
          <w:tcPr>
            <w:tcW w:w="126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shd w:val="clear" w:color="auto" w:fill="CCEEFF"/>
          </w:tcPr>
          <w:p>
            <w:pPr>
              <w:jc w:val="right"/>
              <w:ind w:right="37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(154,121)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Borders>
              <w:bottom w:val="single" w:sz="8" w:color="auto"/>
            </w:tcBorders>
          </w:tcPr>
          <w:p>
            <w:pPr>
              <w:spacing w:after="0" w:line="143" w:lineRule="exact"/>
              <w:rPr>
                <w:sz w:val="20"/>
                <w:szCs w:val="20"/>
                <w:color w:val="auto"/>
              </w:rPr>
            </w:pPr>
            <w:r>
              <w:rPr>
                <w:rFonts w:ascii="Arial" w:cs="Arial" w:eastAsia="Arial" w:hAnsi="Arial"/>
                <w:sz w:val="13"/>
                <w:szCs w:val="13"/>
                <w:color w:val="auto"/>
              </w:rPr>
              <w:t>Balance — June 30, 2008</w:t>
            </w:r>
          </w:p>
        </w:tc>
        <w:tc>
          <w:tcPr>
            <w:tcW w:w="340" w:type="dxa"/>
            <w:vAlign w:val="bottom"/>
            <w:tcBorders>
              <w:bottom w:val="single" w:sz="8" w:color="auto"/>
            </w:tcBorders>
          </w:tcPr>
          <w:p>
            <w:pPr>
              <w:jc w:val="right"/>
              <w:ind w:right="17"/>
              <w:spacing w:after="0" w:line="143"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277"/>
              <w:spacing w:after="0" w:line="143" w:lineRule="exact"/>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277"/>
              <w:spacing w:after="0" w:line="143" w:lineRule="exact"/>
              <w:rPr>
                <w:sz w:val="20"/>
                <w:szCs w:val="20"/>
                <w:color w:val="auto"/>
              </w:rPr>
            </w:pPr>
            <w:r>
              <w:rPr>
                <w:rFonts w:ascii="Arial" w:cs="Arial" w:eastAsia="Arial" w:hAnsi="Arial"/>
                <w:sz w:val="13"/>
                <w:szCs w:val="13"/>
                <w:color w:val="auto"/>
              </w:rPr>
              <w:t>60,198</w:t>
            </w:r>
          </w:p>
        </w:tc>
        <w:tc>
          <w:tcPr>
            <w:tcW w:w="1100" w:type="dxa"/>
            <w:vAlign w:val="bottom"/>
            <w:tcBorders>
              <w:bottom w:val="single" w:sz="8" w:color="auto"/>
            </w:tcBorders>
          </w:tcPr>
          <w:p>
            <w:pPr>
              <w:jc w:val="right"/>
              <w:ind w:right="257"/>
              <w:spacing w:after="0" w:line="143" w:lineRule="exact"/>
              <w:rPr>
                <w:sz w:val="20"/>
                <w:szCs w:val="20"/>
                <w:color w:val="auto"/>
              </w:rPr>
            </w:pPr>
            <w:r>
              <w:rPr>
                <w:rFonts w:ascii="Arial" w:cs="Arial" w:eastAsia="Arial" w:hAnsi="Arial"/>
                <w:sz w:val="13"/>
                <w:szCs w:val="13"/>
                <w:color w:val="auto"/>
              </w:rPr>
              <w:t>4,594</w:t>
            </w:r>
          </w:p>
        </w:tc>
        <w:tc>
          <w:tcPr>
            <w:tcW w:w="1140" w:type="dxa"/>
            <w:vAlign w:val="bottom"/>
            <w:tcBorders>
              <w:bottom w:val="single" w:sz="8" w:color="auto"/>
            </w:tcBorders>
          </w:tcPr>
          <w:p>
            <w:pPr>
              <w:jc w:val="right"/>
              <w:ind w:right="277"/>
              <w:spacing w:after="0" w:line="143" w:lineRule="exact"/>
              <w:rPr>
                <w:sz w:val="20"/>
                <w:szCs w:val="20"/>
                <w:color w:val="auto"/>
              </w:rPr>
            </w:pPr>
            <w:r>
              <w:rPr>
                <w:rFonts w:ascii="Arial" w:cs="Arial" w:eastAsia="Arial" w:hAnsi="Arial"/>
                <w:sz w:val="13"/>
                <w:szCs w:val="13"/>
                <w:color w:val="auto"/>
              </w:rPr>
              <w:t>2,853,649</w:t>
            </w:r>
          </w:p>
        </w:tc>
        <w:tc>
          <w:tcPr>
            <w:tcW w:w="1040" w:type="dxa"/>
            <w:vAlign w:val="bottom"/>
            <w:tcBorders>
              <w:bottom w:val="single" w:sz="8" w:color="auto"/>
            </w:tcBorders>
          </w:tcPr>
          <w:p>
            <w:pPr>
              <w:jc w:val="right"/>
              <w:ind w:right="197"/>
              <w:spacing w:after="0" w:line="143" w:lineRule="exact"/>
              <w:rPr>
                <w:sz w:val="20"/>
                <w:szCs w:val="20"/>
                <w:color w:val="auto"/>
              </w:rPr>
            </w:pPr>
            <w:r>
              <w:rPr>
                <w:rFonts w:ascii="Arial" w:cs="Arial" w:eastAsia="Arial" w:hAnsi="Arial"/>
                <w:sz w:val="13"/>
                <w:szCs w:val="13"/>
                <w:color w:val="auto"/>
              </w:rPr>
              <w:t>5,023,817</w:t>
            </w:r>
          </w:p>
        </w:tc>
        <w:tc>
          <w:tcPr>
            <w:tcW w:w="1260" w:type="dxa"/>
            <w:vAlign w:val="bottom"/>
            <w:tcBorders>
              <w:bottom w:val="single" w:sz="8" w:color="auto"/>
            </w:tcBorders>
          </w:tcPr>
          <w:p>
            <w:pPr>
              <w:jc w:val="right"/>
              <w:ind w:right="197"/>
              <w:spacing w:after="0" w:line="143" w:lineRule="exact"/>
              <w:rPr>
                <w:sz w:val="20"/>
                <w:szCs w:val="20"/>
                <w:color w:val="auto"/>
              </w:rPr>
            </w:pPr>
            <w:r>
              <w:rPr>
                <w:rFonts w:ascii="Arial" w:cs="Arial" w:eastAsia="Arial" w:hAnsi="Arial"/>
                <w:sz w:val="13"/>
                <w:szCs w:val="13"/>
                <w:color w:val="auto"/>
              </w:rPr>
              <w:t>(332,917)</w:t>
            </w:r>
          </w:p>
        </w:tc>
        <w:tc>
          <w:tcPr>
            <w:tcW w:w="1260" w:type="dxa"/>
            <w:vAlign w:val="bottom"/>
            <w:tcBorders>
              <w:bottom w:val="single" w:sz="8" w:color="auto"/>
            </w:tcBorders>
          </w:tcPr>
          <w:p>
            <w:pPr>
              <w:jc w:val="right"/>
              <w:ind w:right="337"/>
              <w:spacing w:after="0" w:line="143" w:lineRule="exact"/>
              <w:rPr>
                <w:sz w:val="20"/>
                <w:szCs w:val="20"/>
                <w:color w:val="auto"/>
              </w:rPr>
            </w:pPr>
            <w:r>
              <w:rPr>
                <w:rFonts w:ascii="Arial" w:cs="Arial" w:eastAsia="Arial" w:hAnsi="Arial"/>
                <w:sz w:val="13"/>
                <w:szCs w:val="13"/>
                <w:color w:val="auto"/>
              </w:rPr>
              <w:t>(1,090,285)</w:t>
            </w:r>
          </w:p>
        </w:tc>
        <w:tc>
          <w:tcPr>
            <w:tcW w:w="780" w:type="dxa"/>
            <w:vAlign w:val="bottom"/>
            <w:tcBorders>
              <w:bottom w:val="single" w:sz="8" w:color="auto"/>
            </w:tcBorders>
            <w:gridSpan w:val="2"/>
          </w:tcPr>
          <w:p>
            <w:pPr>
              <w:jc w:val="right"/>
              <w:ind w:right="100"/>
              <w:spacing w:after="0" w:line="143" w:lineRule="exact"/>
              <w:rPr>
                <w:sz w:val="20"/>
                <w:szCs w:val="20"/>
                <w:color w:val="auto"/>
              </w:rPr>
            </w:pPr>
            <w:r>
              <w:rPr>
                <w:rFonts w:ascii="Arial" w:cs="Arial" w:eastAsia="Arial" w:hAnsi="Arial"/>
                <w:sz w:val="13"/>
                <w:szCs w:val="13"/>
                <w:color w:val="auto"/>
              </w:rPr>
              <w:t>6,519,056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2009</w:t>
            </w:r>
          </w:p>
        </w:tc>
        <w:tc>
          <w:tcPr>
            <w:tcW w:w="3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tcPr>
          <w:p>
            <w:pPr>
              <w:spacing w:after="0" w:line="135" w:lineRule="exact"/>
              <w:rPr>
                <w:sz w:val="20"/>
                <w:szCs w:val="20"/>
                <w:color w:val="auto"/>
              </w:rPr>
            </w:pPr>
            <w:r>
              <w:rPr>
                <w:rFonts w:ascii="Arial" w:cs="Arial" w:eastAsia="Arial" w:hAnsi="Arial"/>
                <w:sz w:val="13"/>
                <w:szCs w:val="13"/>
                <w:color w:val="auto"/>
              </w:rPr>
              <w:t>Balance — January 1, 2009</w:t>
            </w:r>
          </w:p>
        </w:tc>
        <w:tc>
          <w:tcPr>
            <w:tcW w:w="3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567,463</w:t>
            </w:r>
          </w:p>
        </w:tc>
        <w:tc>
          <w:tcPr>
            <w:tcW w:w="114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60,198</w:t>
            </w:r>
          </w:p>
        </w:tc>
        <w:tc>
          <w:tcPr>
            <w:tcW w:w="110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4,617</w:t>
            </w:r>
          </w:p>
        </w:tc>
        <w:tc>
          <w:tcPr>
            <w:tcW w:w="114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2,897,907</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5,062,754</w:t>
            </w:r>
          </w:p>
        </w:tc>
        <w:tc>
          <w:tcPr>
            <w:tcW w:w="12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(736,881)</w:t>
            </w:r>
          </w:p>
        </w:tc>
        <w:tc>
          <w:tcPr>
            <w:tcW w:w="1260" w:type="dxa"/>
            <w:vAlign w:val="bottom"/>
          </w:tcPr>
          <w:p>
            <w:pPr>
              <w:jc w:val="right"/>
              <w:ind w:right="337"/>
              <w:spacing w:after="0" w:line="135" w:lineRule="exact"/>
              <w:rPr>
                <w:sz w:val="20"/>
                <w:szCs w:val="20"/>
                <w:color w:val="auto"/>
              </w:rPr>
            </w:pPr>
            <w:r>
              <w:rPr>
                <w:rFonts w:ascii="Arial" w:cs="Arial" w:eastAsia="Arial" w:hAnsi="Arial"/>
                <w:sz w:val="13"/>
                <w:szCs w:val="13"/>
                <w:color w:val="auto"/>
              </w:rPr>
              <w:t>(1,071,327)</w:t>
            </w: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6,784,731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Comprehensive income:</w:t>
            </w:r>
          </w:p>
        </w:tc>
        <w:tc>
          <w:tcPr>
            <w:tcW w:w="3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tcPr>
          <w:p>
            <w:pPr>
              <w:ind w:left="200"/>
              <w:spacing w:after="0" w:line="135" w:lineRule="exact"/>
              <w:rPr>
                <w:sz w:val="20"/>
                <w:szCs w:val="20"/>
                <w:color w:val="auto"/>
              </w:rPr>
            </w:pPr>
            <w:r>
              <w:rPr>
                <w:rFonts w:ascii="Arial" w:cs="Arial" w:eastAsia="Arial" w:hAnsi="Arial"/>
                <w:sz w:val="13"/>
                <w:szCs w:val="13"/>
                <w:color w:val="auto"/>
              </w:rPr>
              <w:t>Net income</w:t>
            </w:r>
          </w:p>
        </w:tc>
        <w:tc>
          <w:tcPr>
            <w:tcW w:w="340" w:type="dxa"/>
            <w:vAlign w:val="bottom"/>
          </w:tcPr>
          <w:p>
            <w:pPr>
              <w:spacing w:after="0"/>
              <w:rPr>
                <w:sz w:val="11"/>
                <w:szCs w:val="11"/>
                <w:color w:val="auto"/>
              </w:rPr>
            </w:pPr>
          </w:p>
        </w:tc>
        <w:tc>
          <w:tcPr>
            <w:tcW w:w="90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10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115,409</w:t>
            </w:r>
          </w:p>
        </w:tc>
        <w:tc>
          <w:tcPr>
            <w:tcW w:w="126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377"/>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115,409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40" w:type="dxa"/>
            <w:vAlign w:val="bottom"/>
            <w:shd w:val="clear" w:color="auto" w:fill="CCEEFF"/>
          </w:tcPr>
          <w:p>
            <w:pPr>
              <w:ind w:left="200"/>
              <w:spacing w:after="0" w:line="121" w:lineRule="exact"/>
              <w:rPr>
                <w:sz w:val="20"/>
                <w:szCs w:val="20"/>
                <w:color w:val="auto"/>
              </w:rPr>
            </w:pPr>
            <w:r>
              <w:rPr>
                <w:rFonts w:ascii="Arial" w:cs="Arial" w:eastAsia="Arial" w:hAnsi="Arial"/>
                <w:sz w:val="13"/>
                <w:szCs w:val="13"/>
                <w:color w:val="auto"/>
                <w:w w:val="96"/>
              </w:rPr>
              <w:t>Other comprehensive income, net of tax</w:t>
            </w:r>
          </w:p>
        </w:tc>
        <w:tc>
          <w:tcPr>
            <w:tcW w:w="3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ind w:left="400"/>
              <w:spacing w:after="0"/>
              <w:rPr>
                <w:sz w:val="20"/>
                <w:szCs w:val="20"/>
                <w:color w:val="auto"/>
              </w:rPr>
            </w:pPr>
            <w:r>
              <w:rPr>
                <w:rFonts w:ascii="Arial" w:cs="Arial" w:eastAsia="Arial" w:hAnsi="Arial"/>
                <w:sz w:val="13"/>
                <w:szCs w:val="13"/>
                <w:color w:val="auto"/>
              </w:rPr>
              <w:t>and reclassification adjustments:</w:t>
            </w: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40" w:type="dxa"/>
            <w:vAlign w:val="bottom"/>
          </w:tcPr>
          <w:p>
            <w:pPr>
              <w:ind w:left="400"/>
              <w:spacing w:after="0" w:line="121" w:lineRule="exact"/>
              <w:rPr>
                <w:sz w:val="20"/>
                <w:szCs w:val="20"/>
                <w:color w:val="auto"/>
              </w:rPr>
            </w:pPr>
            <w:r>
              <w:rPr>
                <w:rFonts w:ascii="Arial" w:cs="Arial" w:eastAsia="Arial" w:hAnsi="Arial"/>
                <w:sz w:val="13"/>
                <w:szCs w:val="13"/>
                <w:color w:val="auto"/>
              </w:rPr>
              <w:t>Unrealized gains on investment</w:t>
            </w:r>
          </w:p>
        </w:tc>
        <w:tc>
          <w:tcPr>
            <w:tcW w:w="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ind w:left="600"/>
              <w:spacing w:after="0"/>
              <w:rPr>
                <w:sz w:val="20"/>
                <w:szCs w:val="20"/>
                <w:color w:val="auto"/>
              </w:rPr>
            </w:pPr>
            <w:r>
              <w:rPr>
                <w:rFonts w:ascii="Arial" w:cs="Arial" w:eastAsia="Arial" w:hAnsi="Arial"/>
                <w:sz w:val="13"/>
                <w:szCs w:val="13"/>
                <w:color w:val="auto"/>
              </w:rPr>
              <w:t>securities</w:t>
            </w:r>
          </w:p>
        </w:tc>
        <w:tc>
          <w:tcPr>
            <w:tcW w:w="340" w:type="dxa"/>
            <w:vAlign w:val="bottom"/>
          </w:tcPr>
          <w:p>
            <w:pPr>
              <w:spacing w:after="0"/>
              <w:rPr>
                <w:sz w:val="12"/>
                <w:szCs w:val="12"/>
                <w:color w:val="auto"/>
              </w:rPr>
            </w:pPr>
          </w:p>
        </w:tc>
        <w:tc>
          <w:tcPr>
            <w:tcW w:w="90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237"/>
              <w:spacing w:after="0"/>
              <w:rPr>
                <w:sz w:val="20"/>
                <w:szCs w:val="20"/>
                <w:color w:val="auto"/>
              </w:rPr>
            </w:pPr>
            <w:r>
              <w:rPr>
                <w:rFonts w:ascii="Arial" w:cs="Arial" w:eastAsia="Arial" w:hAnsi="Arial"/>
                <w:sz w:val="13"/>
                <w:szCs w:val="13"/>
                <w:color w:val="auto"/>
              </w:rPr>
              <w:t>149,398</w:t>
            </w:r>
          </w:p>
        </w:tc>
        <w:tc>
          <w:tcPr>
            <w:tcW w:w="1260" w:type="dxa"/>
            <w:vAlign w:val="bottom"/>
          </w:tcPr>
          <w:p>
            <w:pPr>
              <w:jc w:val="right"/>
              <w:ind w:right="377"/>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149,398</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40" w:type="dxa"/>
            <w:vAlign w:val="bottom"/>
            <w:shd w:val="clear" w:color="auto" w:fill="CCEEFF"/>
          </w:tcPr>
          <w:p>
            <w:pPr>
              <w:ind w:left="400"/>
              <w:spacing w:after="0" w:line="121" w:lineRule="exact"/>
              <w:rPr>
                <w:sz w:val="20"/>
                <w:szCs w:val="20"/>
                <w:color w:val="auto"/>
              </w:rPr>
            </w:pPr>
            <w:r>
              <w:rPr>
                <w:rFonts w:ascii="Arial" w:cs="Arial" w:eastAsia="Arial" w:hAnsi="Arial"/>
                <w:sz w:val="13"/>
                <w:szCs w:val="13"/>
                <w:color w:val="auto"/>
              </w:rPr>
              <w:t>Defined benefit plans liability</w:t>
            </w:r>
          </w:p>
        </w:tc>
        <w:tc>
          <w:tcPr>
            <w:tcW w:w="3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ind w:left="600"/>
              <w:spacing w:after="0"/>
              <w:rPr>
                <w:sz w:val="20"/>
                <w:szCs w:val="20"/>
                <w:color w:val="auto"/>
              </w:rPr>
            </w:pPr>
            <w:r>
              <w:rPr>
                <w:rFonts w:ascii="Arial" w:cs="Arial" w:eastAsia="Arial" w:hAnsi="Arial"/>
                <w:sz w:val="13"/>
                <w:szCs w:val="13"/>
                <w:color w:val="auto"/>
              </w:rPr>
              <w:t>adjustment</w:t>
            </w: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735</w:t>
            </w:r>
          </w:p>
        </w:tc>
        <w:tc>
          <w:tcPr>
            <w:tcW w:w="1260" w:type="dxa"/>
            <w:vAlign w:val="bottom"/>
            <w:shd w:val="clear" w:color="auto" w:fill="CCEEFF"/>
          </w:tcPr>
          <w:p>
            <w:pPr>
              <w:jc w:val="right"/>
              <w:ind w:right="377"/>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735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40" w:type="dxa"/>
            <w:vAlign w:val="bottom"/>
          </w:tcPr>
          <w:p>
            <w:pPr>
              <w:ind w:left="400"/>
              <w:spacing w:after="0" w:line="121" w:lineRule="exact"/>
              <w:rPr>
                <w:sz w:val="20"/>
                <w:szCs w:val="20"/>
                <w:color w:val="auto"/>
              </w:rPr>
            </w:pPr>
            <w:r>
              <w:rPr>
                <w:rFonts w:ascii="Arial" w:cs="Arial" w:eastAsia="Arial" w:hAnsi="Arial"/>
                <w:sz w:val="13"/>
                <w:szCs w:val="13"/>
                <w:color w:val="auto"/>
                <w:w w:val="93"/>
              </w:rPr>
              <w:t>Unrealized losses on terminated cash</w:t>
            </w:r>
          </w:p>
        </w:tc>
        <w:tc>
          <w:tcPr>
            <w:tcW w:w="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40" w:type="dxa"/>
            <w:vAlign w:val="bottom"/>
          </w:tcPr>
          <w:p>
            <w:pPr>
              <w:ind w:left="600"/>
              <w:spacing w:after="0"/>
              <w:rPr>
                <w:sz w:val="20"/>
                <w:szCs w:val="20"/>
                <w:color w:val="auto"/>
              </w:rPr>
            </w:pPr>
            <w:r>
              <w:rPr>
                <w:rFonts w:ascii="Arial" w:cs="Arial" w:eastAsia="Arial" w:hAnsi="Arial"/>
                <w:sz w:val="13"/>
                <w:szCs w:val="13"/>
                <w:color w:val="auto"/>
              </w:rPr>
              <w:t>flow hedges</w:t>
            </w:r>
          </w:p>
        </w:tc>
        <w:tc>
          <w:tcPr>
            <w:tcW w:w="340" w:type="dxa"/>
            <w:vAlign w:val="bottom"/>
          </w:tcPr>
          <w:p>
            <w:pPr>
              <w:spacing w:after="0"/>
              <w:rPr>
                <w:sz w:val="13"/>
                <w:szCs w:val="13"/>
                <w:color w:val="auto"/>
              </w:rPr>
            </w:pPr>
          </w:p>
        </w:tc>
        <w:tc>
          <w:tcPr>
            <w:tcW w:w="90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237"/>
              <w:spacing w:after="0"/>
              <w:rPr>
                <w:sz w:val="20"/>
                <w:szCs w:val="20"/>
                <w:color w:val="auto"/>
              </w:rPr>
            </w:pPr>
            <w:r>
              <w:rPr>
                <w:rFonts w:ascii="Arial" w:cs="Arial" w:eastAsia="Arial" w:hAnsi="Arial"/>
                <w:sz w:val="13"/>
                <w:szCs w:val="13"/>
                <w:color w:val="auto"/>
              </w:rPr>
              <w:t>5,992</w:t>
            </w:r>
          </w:p>
        </w:tc>
        <w:tc>
          <w:tcPr>
            <w:tcW w:w="1260" w:type="dxa"/>
            <w:vAlign w:val="bottom"/>
          </w:tcPr>
          <w:p>
            <w:pPr>
              <w:jc w:val="right"/>
              <w:ind w:right="377"/>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5,992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271,534</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40" w:type="dxa"/>
            <w:vAlign w:val="bottom"/>
          </w:tcPr>
          <w:p>
            <w:pPr>
              <w:spacing w:after="0" w:line="121" w:lineRule="exact"/>
              <w:rPr>
                <w:sz w:val="20"/>
                <w:szCs w:val="20"/>
                <w:color w:val="auto"/>
              </w:rPr>
            </w:pPr>
            <w:r>
              <w:rPr>
                <w:rFonts w:ascii="Arial" w:cs="Arial" w:eastAsia="Arial" w:hAnsi="Arial"/>
                <w:sz w:val="13"/>
                <w:szCs w:val="13"/>
                <w:color w:val="auto"/>
              </w:rPr>
              <w:t>Acquisition of Provident Bankshares</w:t>
            </w:r>
          </w:p>
        </w:tc>
        <w:tc>
          <w:tcPr>
            <w:tcW w:w="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ind w:left="200"/>
              <w:spacing w:after="0"/>
              <w:rPr>
                <w:sz w:val="20"/>
                <w:szCs w:val="20"/>
                <w:color w:val="auto"/>
              </w:rPr>
            </w:pPr>
            <w:r>
              <w:rPr>
                <w:rFonts w:ascii="Arial" w:cs="Arial" w:eastAsia="Arial" w:hAnsi="Arial"/>
                <w:sz w:val="13"/>
                <w:szCs w:val="13"/>
                <w:color w:val="auto"/>
              </w:rPr>
              <w:t>Corporation:</w:t>
            </w: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Preferred stock issued</w:t>
            </w:r>
          </w:p>
        </w:tc>
        <w:tc>
          <w:tcPr>
            <w:tcW w:w="34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155,779</w:t>
            </w:r>
          </w:p>
        </w:tc>
        <w:tc>
          <w:tcPr>
            <w:tcW w:w="114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257"/>
              <w:spacing w:after="0" w:line="135" w:lineRule="exact"/>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377"/>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155,779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tcPr>
          <w:p>
            <w:pPr>
              <w:ind w:left="200"/>
              <w:spacing w:after="0" w:line="135" w:lineRule="exact"/>
              <w:rPr>
                <w:sz w:val="20"/>
                <w:szCs w:val="20"/>
                <w:color w:val="auto"/>
              </w:rPr>
            </w:pPr>
            <w:r>
              <w:rPr>
                <w:rFonts w:ascii="Arial" w:cs="Arial" w:eastAsia="Arial" w:hAnsi="Arial"/>
                <w:sz w:val="13"/>
                <w:szCs w:val="13"/>
                <w:color w:val="auto"/>
              </w:rPr>
              <w:t>Common stock issued</w:t>
            </w:r>
          </w:p>
        </w:tc>
        <w:tc>
          <w:tcPr>
            <w:tcW w:w="340" w:type="dxa"/>
            <w:vAlign w:val="bottom"/>
          </w:tcPr>
          <w:p>
            <w:pPr>
              <w:spacing w:after="0"/>
              <w:rPr>
                <w:sz w:val="11"/>
                <w:szCs w:val="11"/>
                <w:color w:val="auto"/>
              </w:rPr>
            </w:pPr>
          </w:p>
        </w:tc>
        <w:tc>
          <w:tcPr>
            <w:tcW w:w="90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10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(348,080)</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377"/>
              <w:spacing w:after="0" w:line="135" w:lineRule="exact"/>
              <w:rPr>
                <w:sz w:val="20"/>
                <w:szCs w:val="20"/>
                <w:color w:val="auto"/>
              </w:rPr>
            </w:pPr>
            <w:r>
              <w:rPr>
                <w:rFonts w:ascii="Arial" w:cs="Arial" w:eastAsia="Arial" w:hAnsi="Arial"/>
                <w:sz w:val="13"/>
                <w:szCs w:val="13"/>
                <w:color w:val="auto"/>
              </w:rPr>
              <w:t>620,904</w:t>
            </w: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272,824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Common stock options</w:t>
            </w:r>
          </w:p>
        </w:tc>
        <w:tc>
          <w:tcPr>
            <w:tcW w:w="34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257"/>
              <w:spacing w:after="0" w:line="135" w:lineRule="exact"/>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1,367</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377"/>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1,367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40" w:type="dxa"/>
            <w:vAlign w:val="bottom"/>
          </w:tcPr>
          <w:p>
            <w:pPr>
              <w:ind w:left="200"/>
              <w:spacing w:after="0"/>
              <w:rPr>
                <w:sz w:val="20"/>
                <w:szCs w:val="20"/>
                <w:color w:val="auto"/>
              </w:rPr>
            </w:pPr>
            <w:r>
              <w:rPr>
                <w:rFonts w:ascii="Arial" w:cs="Arial" w:eastAsia="Arial" w:hAnsi="Arial"/>
                <w:sz w:val="13"/>
                <w:szCs w:val="13"/>
                <w:color w:val="auto"/>
              </w:rPr>
              <w:t>Common stock warrants</w:t>
            </w:r>
          </w:p>
        </w:tc>
        <w:tc>
          <w:tcPr>
            <w:tcW w:w="340" w:type="dxa"/>
            <w:vAlign w:val="bottom"/>
          </w:tcPr>
          <w:p>
            <w:pPr>
              <w:spacing w:after="0"/>
              <w:rPr>
                <w:sz w:val="13"/>
                <w:szCs w:val="13"/>
                <w:color w:val="auto"/>
              </w:rPr>
            </w:pPr>
          </w:p>
        </w:tc>
        <w:tc>
          <w:tcPr>
            <w:tcW w:w="90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77"/>
              <w:spacing w:after="0"/>
              <w:rPr>
                <w:sz w:val="20"/>
                <w:szCs w:val="20"/>
                <w:color w:val="auto"/>
              </w:rPr>
            </w:pPr>
            <w:r>
              <w:rPr>
                <w:rFonts w:ascii="Arial" w:cs="Arial" w:eastAsia="Arial" w:hAnsi="Arial"/>
                <w:sz w:val="13"/>
                <w:szCs w:val="13"/>
                <w:color w:val="auto"/>
              </w:rPr>
              <w:t>6,467</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377"/>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6,467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4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4"/>
              </w:rPr>
              <w:t>Issuance of common stock to defined benefit</w:t>
            </w:r>
          </w:p>
        </w:tc>
        <w:tc>
          <w:tcPr>
            <w:tcW w:w="3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pension plan</w:t>
            </w: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(51,417)</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377"/>
              <w:spacing w:after="0"/>
              <w:rPr>
                <w:sz w:val="20"/>
                <w:szCs w:val="20"/>
                <w:color w:val="auto"/>
              </w:rPr>
            </w:pPr>
            <w:r>
              <w:rPr>
                <w:rFonts w:ascii="Arial" w:cs="Arial" w:eastAsia="Arial" w:hAnsi="Arial"/>
                <w:sz w:val="13"/>
                <w:szCs w:val="13"/>
                <w:color w:val="auto"/>
              </w:rPr>
              <w:t>95,706</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44,289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tcPr>
          <w:p>
            <w:pPr>
              <w:spacing w:after="0" w:line="135" w:lineRule="exact"/>
              <w:rPr>
                <w:sz w:val="20"/>
                <w:szCs w:val="20"/>
                <w:color w:val="auto"/>
              </w:rPr>
            </w:pPr>
            <w:r>
              <w:rPr>
                <w:rFonts w:ascii="Arial" w:cs="Arial" w:eastAsia="Arial" w:hAnsi="Arial"/>
                <w:sz w:val="13"/>
                <w:szCs w:val="13"/>
                <w:color w:val="auto"/>
              </w:rPr>
              <w:t>Preferred stock cash dividends</w:t>
            </w:r>
          </w:p>
        </w:tc>
        <w:tc>
          <w:tcPr>
            <w:tcW w:w="340" w:type="dxa"/>
            <w:vAlign w:val="bottom"/>
          </w:tcPr>
          <w:p>
            <w:pPr>
              <w:spacing w:after="0"/>
              <w:rPr>
                <w:sz w:val="11"/>
                <w:szCs w:val="11"/>
                <w:color w:val="auto"/>
              </w:rPr>
            </w:pPr>
          </w:p>
        </w:tc>
        <w:tc>
          <w:tcPr>
            <w:tcW w:w="90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10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(11,833)</w:t>
            </w:r>
          </w:p>
        </w:tc>
        <w:tc>
          <w:tcPr>
            <w:tcW w:w="126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377"/>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(11,833)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Amortization of preferred stock discount</w:t>
            </w:r>
          </w:p>
        </w:tc>
        <w:tc>
          <w:tcPr>
            <w:tcW w:w="34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2,230</w:t>
            </w:r>
          </w:p>
        </w:tc>
        <w:tc>
          <w:tcPr>
            <w:tcW w:w="114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257"/>
              <w:spacing w:after="0" w:line="135" w:lineRule="exact"/>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(2,230)</w:t>
            </w:r>
          </w:p>
        </w:tc>
        <w:tc>
          <w:tcPr>
            <w:tcW w:w="126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377"/>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tcPr>
          <w:p>
            <w:pPr>
              <w:spacing w:after="0" w:line="135" w:lineRule="exact"/>
              <w:rPr>
                <w:sz w:val="20"/>
                <w:szCs w:val="20"/>
                <w:color w:val="auto"/>
              </w:rPr>
            </w:pPr>
            <w:r>
              <w:rPr>
                <w:rFonts w:ascii="Arial" w:cs="Arial" w:eastAsia="Arial" w:hAnsi="Arial"/>
                <w:sz w:val="13"/>
                <w:szCs w:val="13"/>
                <w:color w:val="auto"/>
              </w:rPr>
              <w:t>Stock-based compensation plans:</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Stock option and purchase plans:</w:t>
            </w:r>
          </w:p>
        </w:tc>
        <w:tc>
          <w:tcPr>
            <w:tcW w:w="3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tcPr>
          <w:p>
            <w:pPr>
              <w:ind w:left="400"/>
              <w:spacing w:after="0" w:line="135" w:lineRule="exact"/>
              <w:rPr>
                <w:sz w:val="20"/>
                <w:szCs w:val="20"/>
                <w:color w:val="auto"/>
              </w:rPr>
            </w:pPr>
            <w:r>
              <w:rPr>
                <w:rFonts w:ascii="Arial" w:cs="Arial" w:eastAsia="Arial" w:hAnsi="Arial"/>
                <w:sz w:val="13"/>
                <w:szCs w:val="13"/>
                <w:color w:val="auto"/>
              </w:rPr>
              <w:t>Compensation expense</w:t>
            </w:r>
          </w:p>
        </w:tc>
        <w:tc>
          <w:tcPr>
            <w:tcW w:w="340" w:type="dxa"/>
            <w:vAlign w:val="bottom"/>
          </w:tcPr>
          <w:p>
            <w:pPr>
              <w:spacing w:after="0"/>
              <w:rPr>
                <w:sz w:val="11"/>
                <w:szCs w:val="11"/>
                <w:color w:val="auto"/>
              </w:rPr>
            </w:pPr>
          </w:p>
        </w:tc>
        <w:tc>
          <w:tcPr>
            <w:tcW w:w="90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10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(42,014)</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377"/>
              <w:spacing w:after="0" w:line="135" w:lineRule="exact"/>
              <w:rPr>
                <w:sz w:val="20"/>
                <w:szCs w:val="20"/>
                <w:color w:val="auto"/>
              </w:rPr>
            </w:pPr>
            <w:r>
              <w:rPr>
                <w:rFonts w:ascii="Arial" w:cs="Arial" w:eastAsia="Arial" w:hAnsi="Arial"/>
                <w:sz w:val="13"/>
                <w:szCs w:val="13"/>
                <w:color w:val="auto"/>
              </w:rPr>
              <w:t>74,605</w:t>
            </w: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32,591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Exercises</w:t>
            </w:r>
          </w:p>
        </w:tc>
        <w:tc>
          <w:tcPr>
            <w:tcW w:w="34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257"/>
              <w:spacing w:after="0" w:line="135" w:lineRule="exact"/>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(14,097)</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377"/>
              <w:spacing w:after="0" w:line="135" w:lineRule="exact"/>
              <w:rPr>
                <w:sz w:val="20"/>
                <w:szCs w:val="20"/>
                <w:color w:val="auto"/>
              </w:rPr>
            </w:pPr>
            <w:r>
              <w:rPr>
                <w:rFonts w:ascii="Arial" w:cs="Arial" w:eastAsia="Arial" w:hAnsi="Arial"/>
                <w:sz w:val="13"/>
                <w:szCs w:val="13"/>
                <w:color w:val="auto"/>
              </w:rPr>
              <w:t>16,211</w:t>
            </w: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2,114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tcPr>
          <w:p>
            <w:pPr>
              <w:ind w:left="200"/>
              <w:spacing w:after="0" w:line="135" w:lineRule="exact"/>
              <w:rPr>
                <w:sz w:val="20"/>
                <w:szCs w:val="20"/>
                <w:color w:val="auto"/>
              </w:rPr>
            </w:pPr>
            <w:r>
              <w:rPr>
                <w:rFonts w:ascii="Arial" w:cs="Arial" w:eastAsia="Arial" w:hAnsi="Arial"/>
                <w:sz w:val="13"/>
                <w:szCs w:val="13"/>
                <w:color w:val="auto"/>
              </w:rPr>
              <w:t>Directors’ stock plan</w:t>
            </w:r>
          </w:p>
        </w:tc>
        <w:tc>
          <w:tcPr>
            <w:tcW w:w="340" w:type="dxa"/>
            <w:vAlign w:val="bottom"/>
          </w:tcPr>
          <w:p>
            <w:pPr>
              <w:spacing w:after="0"/>
              <w:rPr>
                <w:sz w:val="11"/>
                <w:szCs w:val="11"/>
                <w:color w:val="auto"/>
              </w:rPr>
            </w:pPr>
          </w:p>
        </w:tc>
        <w:tc>
          <w:tcPr>
            <w:tcW w:w="90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10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(785)</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377"/>
              <w:spacing w:after="0" w:line="135" w:lineRule="exact"/>
              <w:rPr>
                <w:sz w:val="20"/>
                <w:szCs w:val="20"/>
                <w:color w:val="auto"/>
              </w:rPr>
            </w:pPr>
            <w:r>
              <w:rPr>
                <w:rFonts w:ascii="Arial" w:cs="Arial" w:eastAsia="Arial" w:hAnsi="Arial"/>
                <w:sz w:val="13"/>
                <w:szCs w:val="13"/>
                <w:color w:val="auto"/>
              </w:rPr>
              <w:t>1,480</w:t>
            </w: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695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40" w:type="dxa"/>
            <w:vAlign w:val="bottom"/>
            <w:shd w:val="clear" w:color="auto" w:fill="CCEEFF"/>
          </w:tcPr>
          <w:p>
            <w:pPr>
              <w:ind w:left="200"/>
              <w:spacing w:after="0" w:line="121" w:lineRule="exact"/>
              <w:rPr>
                <w:sz w:val="20"/>
                <w:szCs w:val="20"/>
                <w:color w:val="auto"/>
              </w:rPr>
            </w:pPr>
            <w:r>
              <w:rPr>
                <w:rFonts w:ascii="Arial" w:cs="Arial" w:eastAsia="Arial" w:hAnsi="Arial"/>
                <w:sz w:val="13"/>
                <w:szCs w:val="13"/>
                <w:color w:val="auto"/>
              </w:rPr>
              <w:t>Deferred compensation plans, net,</w:t>
            </w:r>
          </w:p>
        </w:tc>
        <w:tc>
          <w:tcPr>
            <w:tcW w:w="3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ind w:left="400"/>
              <w:spacing w:after="0"/>
              <w:rPr>
                <w:sz w:val="20"/>
                <w:szCs w:val="20"/>
                <w:color w:val="auto"/>
              </w:rPr>
            </w:pPr>
            <w:r>
              <w:rPr>
                <w:rFonts w:ascii="Arial" w:cs="Arial" w:eastAsia="Arial" w:hAnsi="Arial"/>
                <w:sz w:val="13"/>
                <w:szCs w:val="13"/>
                <w:color w:val="auto"/>
              </w:rPr>
              <w:t>including dividend equivalents</w:t>
            </w: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(373)</w:t>
            </w:r>
          </w:p>
        </w:tc>
        <w:tc>
          <w:tcPr>
            <w:tcW w:w="114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(497)</w:t>
            </w:r>
          </w:p>
        </w:tc>
        <w:tc>
          <w:tcPr>
            <w:tcW w:w="10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(101)</w:t>
            </w:r>
          </w:p>
        </w:tc>
        <w:tc>
          <w:tcPr>
            <w:tcW w:w="126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377"/>
              <w:spacing w:after="0"/>
              <w:rPr>
                <w:sz w:val="20"/>
                <w:szCs w:val="20"/>
                <w:color w:val="auto"/>
              </w:rPr>
            </w:pPr>
            <w:r>
              <w:rPr>
                <w:rFonts w:ascii="Arial" w:cs="Arial" w:eastAsia="Arial" w:hAnsi="Arial"/>
                <w:sz w:val="13"/>
                <w:szCs w:val="13"/>
                <w:color w:val="auto"/>
              </w:rPr>
              <w:t>1,025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40" w:type="dxa"/>
            <w:vAlign w:val="bottom"/>
          </w:tcPr>
          <w:p>
            <w:pPr>
              <w:spacing w:after="0" w:line="121" w:lineRule="exact"/>
              <w:rPr>
                <w:sz w:val="20"/>
                <w:szCs w:val="20"/>
                <w:color w:val="auto"/>
              </w:rPr>
            </w:pPr>
            <w:r>
              <w:rPr>
                <w:rFonts w:ascii="Arial" w:cs="Arial" w:eastAsia="Arial" w:hAnsi="Arial"/>
                <w:sz w:val="13"/>
                <w:szCs w:val="13"/>
                <w:color w:val="auto"/>
                <w:w w:val="99"/>
              </w:rPr>
              <w:t>Common stock cash dividends - $1.40 per</w:t>
            </w:r>
          </w:p>
        </w:tc>
        <w:tc>
          <w:tcPr>
            <w:tcW w:w="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40" w:type="dxa"/>
            <w:vAlign w:val="bottom"/>
            <w:tcBorders>
              <w:bottom w:val="single" w:sz="8" w:color="auto"/>
            </w:tcBorders>
          </w:tcPr>
          <w:p>
            <w:pPr>
              <w:ind w:left="200"/>
              <w:spacing w:after="0"/>
              <w:rPr>
                <w:sz w:val="20"/>
                <w:szCs w:val="20"/>
                <w:color w:val="auto"/>
              </w:rPr>
            </w:pPr>
            <w:r>
              <w:rPr>
                <w:rFonts w:ascii="Arial" w:cs="Arial" w:eastAsia="Arial" w:hAnsi="Arial"/>
                <w:sz w:val="13"/>
                <w:szCs w:val="13"/>
                <w:color w:val="auto"/>
              </w:rPr>
              <w:t>share</w:t>
            </w: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(160,448)</w:t>
            </w:r>
          </w:p>
        </w:tc>
        <w:tc>
          <w:tcPr>
            <w:tcW w:w="12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(160,448)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3"/>
                <w:szCs w:val="13"/>
                <w:color w:val="auto"/>
              </w:rPr>
              <w:t>Balance — June 30, 2009</w:t>
            </w:r>
          </w:p>
        </w:tc>
        <w:tc>
          <w:tcPr>
            <w:tcW w:w="340" w:type="dxa"/>
            <w:vAlign w:val="bottom"/>
            <w:tcBorders>
              <w:bottom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725,472</w:t>
            </w:r>
          </w:p>
        </w:tc>
        <w:tc>
          <w:tcPr>
            <w:tcW w:w="1140" w:type="dxa"/>
            <w:vAlign w:val="bottom"/>
            <w:tcBorders>
              <w:bottom w:val="single" w:sz="8" w:color="auto"/>
            </w:tcBorders>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60,198</w:t>
            </w:r>
          </w:p>
        </w:tc>
        <w:tc>
          <w:tcPr>
            <w:tcW w:w="1100" w:type="dxa"/>
            <w:vAlign w:val="bottom"/>
            <w:tcBorders>
              <w:bottom w:val="single" w:sz="8" w:color="auto"/>
            </w:tcBorders>
            <w:shd w:val="clear" w:color="auto" w:fill="CCEEFF"/>
          </w:tcPr>
          <w:p>
            <w:pPr>
              <w:jc w:val="right"/>
              <w:ind w:right="257"/>
              <w:spacing w:after="0" w:line="135" w:lineRule="exact"/>
              <w:rPr>
                <w:sz w:val="20"/>
                <w:szCs w:val="20"/>
                <w:color w:val="auto"/>
              </w:rPr>
            </w:pPr>
            <w:r>
              <w:rPr>
                <w:rFonts w:ascii="Arial" w:cs="Arial" w:eastAsia="Arial" w:hAnsi="Arial"/>
                <w:sz w:val="13"/>
                <w:szCs w:val="13"/>
                <w:color w:val="auto"/>
              </w:rPr>
              <w:t>4,244</w:t>
            </w:r>
          </w:p>
        </w:tc>
        <w:tc>
          <w:tcPr>
            <w:tcW w:w="1140" w:type="dxa"/>
            <w:vAlign w:val="bottom"/>
            <w:tcBorders>
              <w:bottom w:val="single" w:sz="8" w:color="auto"/>
            </w:tcBorders>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2,448,851</w:t>
            </w:r>
          </w:p>
        </w:tc>
        <w:tc>
          <w:tcPr>
            <w:tcW w:w="1040" w:type="dxa"/>
            <w:vAlign w:val="bottom"/>
            <w:tcBorders>
              <w:bottom w:val="single" w:sz="8" w:color="auto"/>
            </w:tcBorders>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5,003,551</w:t>
            </w:r>
          </w:p>
        </w:tc>
        <w:tc>
          <w:tcPr>
            <w:tcW w:w="1260" w:type="dxa"/>
            <w:vAlign w:val="bottom"/>
            <w:tcBorders>
              <w:bottom w:val="single" w:sz="8" w:color="auto"/>
            </w:tcBorders>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(580,756)</w:t>
            </w:r>
          </w:p>
        </w:tc>
        <w:tc>
          <w:tcPr>
            <w:tcW w:w="1260" w:type="dxa"/>
            <w:vAlign w:val="bottom"/>
            <w:tcBorders>
              <w:bottom w:val="single" w:sz="8" w:color="auto"/>
            </w:tcBorders>
            <w:shd w:val="clear" w:color="auto" w:fill="CCEEFF"/>
          </w:tcPr>
          <w:p>
            <w:pPr>
              <w:jc w:val="right"/>
              <w:ind w:right="337"/>
              <w:spacing w:after="0" w:line="135" w:lineRule="exact"/>
              <w:rPr>
                <w:sz w:val="20"/>
                <w:szCs w:val="20"/>
                <w:color w:val="auto"/>
              </w:rPr>
            </w:pPr>
            <w:r>
              <w:rPr>
                <w:rFonts w:ascii="Arial" w:cs="Arial" w:eastAsia="Arial" w:hAnsi="Arial"/>
                <w:sz w:val="13"/>
                <w:szCs w:val="13"/>
                <w:color w:val="auto"/>
              </w:rPr>
              <w:t>(261,396)</w:t>
            </w:r>
          </w:p>
        </w:tc>
        <w:tc>
          <w:tcPr>
            <w:tcW w:w="780" w:type="dxa"/>
            <w:vAlign w:val="bottom"/>
            <w:tcBorders>
              <w:bottom w:val="single" w:sz="8" w:color="auto"/>
            </w:tcBorders>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7,400,164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SUMMARY OF CHANGES IN ALLOWANCE FOR CREDIT LOSSES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6980" w:type="dxa"/>
            <w:vAlign w:val="bottom"/>
            <w:gridSpan w:val="2"/>
          </w:tcPr>
          <w:p>
            <w:pPr>
              <w:jc w:val="right"/>
              <w:ind w:right="12"/>
              <w:spacing w:after="0"/>
              <w:rPr>
                <w:sz w:val="20"/>
                <w:szCs w:val="20"/>
                <w:color w:val="auto"/>
              </w:rPr>
            </w:pPr>
            <w:r>
              <w:rPr>
                <w:rFonts w:ascii="Arial" w:cs="Arial" w:eastAsia="Arial" w:hAnsi="Arial"/>
                <w:sz w:val="14"/>
                <w:szCs w:val="14"/>
                <w:color w:val="auto"/>
              </w:rPr>
              <w:t>Six months ended June 30</w:t>
            </w:r>
          </w:p>
        </w:tc>
      </w:tr>
      <w:tr>
        <w:trPr>
          <w:trHeight w:val="174"/>
        </w:trPr>
        <w:tc>
          <w:tcPr>
            <w:tcW w:w="44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860" w:type="dxa"/>
            <w:vAlign w:val="bottom"/>
          </w:tcPr>
          <w:p>
            <w:pPr>
              <w:jc w:val="right"/>
              <w:ind w:right="334"/>
              <w:spacing w:after="0"/>
              <w:rPr>
                <w:sz w:val="20"/>
                <w:szCs w:val="20"/>
                <w:color w:val="auto"/>
              </w:rPr>
            </w:pPr>
            <w:r>
              <w:rPr>
                <w:rFonts w:ascii="Arial" w:cs="Arial" w:eastAsia="Arial" w:hAnsi="Arial"/>
                <w:sz w:val="14"/>
                <w:szCs w:val="14"/>
                <w:color w:val="auto"/>
              </w:rPr>
              <w:t>2009</w:t>
            </w:r>
          </w:p>
        </w:tc>
        <w:tc>
          <w:tcPr>
            <w:tcW w:w="1120" w:type="dxa"/>
            <w:vAlign w:val="bottom"/>
          </w:tcPr>
          <w:p>
            <w:pPr>
              <w:jc w:val="right"/>
              <w:ind w:right="12"/>
              <w:spacing w:after="0"/>
              <w:rPr>
                <w:sz w:val="20"/>
                <w:szCs w:val="20"/>
                <w:color w:val="auto"/>
              </w:rPr>
            </w:pPr>
            <w:r>
              <w:rPr>
                <w:rFonts w:ascii="Arial" w:cs="Arial" w:eastAsia="Arial" w:hAnsi="Arial"/>
                <w:sz w:val="14"/>
                <w:szCs w:val="14"/>
                <w:color w:val="auto"/>
              </w:rPr>
              <w:t>2008</w:t>
            </w:r>
          </w:p>
        </w:tc>
      </w:tr>
      <w:tr>
        <w:trPr>
          <w:trHeight w:val="216"/>
        </w:trPr>
        <w:tc>
          <w:tcPr>
            <w:tcW w:w="20" w:type="dxa"/>
            <w:vAlign w:val="bottom"/>
          </w:tcPr>
          <w:p>
            <w:pPr>
              <w:spacing w:after="0"/>
              <w:rPr>
                <w:sz w:val="18"/>
                <w:szCs w:val="18"/>
                <w:color w:val="auto"/>
              </w:rPr>
            </w:pPr>
          </w:p>
        </w:tc>
        <w:tc>
          <w:tcPr>
            <w:tcW w:w="4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5860" w:type="dxa"/>
            <w:vAlign w:val="bottom"/>
            <w:tcBorders>
              <w:top w:val="single" w:sz="8" w:color="auto"/>
            </w:tcBorders>
            <w:shd w:val="clear" w:color="auto" w:fill="CCEEFF"/>
          </w:tcPr>
          <w:p>
            <w:pPr>
              <w:jc w:val="right"/>
              <w:ind w:right="334"/>
              <w:spacing w:after="0"/>
              <w:rPr>
                <w:sz w:val="20"/>
                <w:szCs w:val="20"/>
                <w:color w:val="auto"/>
              </w:rPr>
            </w:pPr>
            <w:r>
              <w:rPr>
                <w:rFonts w:ascii="Arial" w:cs="Arial" w:eastAsia="Arial" w:hAnsi="Arial"/>
                <w:sz w:val="18"/>
                <w:szCs w:val="18"/>
                <w:color w:val="auto"/>
              </w:rPr>
              <w:t>$ 787,904</w:t>
            </w:r>
          </w:p>
        </w:tc>
        <w:tc>
          <w:tcPr>
            <w:tcW w:w="1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759,439</w:t>
            </w: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5860" w:type="dxa"/>
            <w:vAlign w:val="bottom"/>
          </w:tcPr>
          <w:p>
            <w:pPr>
              <w:jc w:val="right"/>
              <w:ind w:right="334"/>
              <w:spacing w:after="0"/>
              <w:rPr>
                <w:sz w:val="20"/>
                <w:szCs w:val="20"/>
                <w:color w:val="auto"/>
              </w:rPr>
            </w:pPr>
            <w:r>
              <w:rPr>
                <w:rFonts w:ascii="Arial" w:cs="Arial" w:eastAsia="Arial" w:hAnsi="Arial"/>
                <w:sz w:val="18"/>
                <w:szCs w:val="18"/>
                <w:color w:val="auto"/>
              </w:rPr>
              <w:t>305,000</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160,000</w:t>
            </w: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Allowance related to loans sold or securitized</w:t>
            </w:r>
          </w:p>
        </w:tc>
        <w:tc>
          <w:tcPr>
            <w:tcW w:w="586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Net charge-offs</w:t>
            </w:r>
          </w:p>
        </w:tc>
        <w:tc>
          <w:tcPr>
            <w:tcW w:w="58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Charge-offs</w:t>
            </w:r>
          </w:p>
        </w:tc>
        <w:tc>
          <w:tcPr>
            <w:tcW w:w="586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(259,019)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(165,404)</w:t>
            </w:r>
          </w:p>
        </w:tc>
      </w:tr>
      <w:tr>
        <w:trPr>
          <w:trHeight w:val="223"/>
        </w:trPr>
        <w:tc>
          <w:tcPr>
            <w:tcW w:w="20" w:type="dxa"/>
            <w:vAlign w:val="bottom"/>
          </w:tcPr>
          <w:p>
            <w:pPr>
              <w:spacing w:after="0"/>
              <w:rPr>
                <w:sz w:val="19"/>
                <w:szCs w:val="19"/>
                <w:color w:val="auto"/>
              </w:rPr>
            </w:pPr>
          </w:p>
        </w:tc>
        <w:tc>
          <w:tcPr>
            <w:tcW w:w="44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Recoveries</w:t>
            </w:r>
          </w:p>
        </w:tc>
        <w:tc>
          <w:tcPr>
            <w:tcW w:w="586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color w:val="auto"/>
              </w:rPr>
              <w:t>21,480</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20,368</w:t>
            </w:r>
          </w:p>
        </w:tc>
      </w:tr>
      <w:tr>
        <w:trPr>
          <w:trHeight w:val="216"/>
        </w:trPr>
        <w:tc>
          <w:tcPr>
            <w:tcW w:w="20" w:type="dxa"/>
            <w:vAlign w:val="bottom"/>
          </w:tcPr>
          <w:p>
            <w:pPr>
              <w:spacing w:after="0"/>
              <w:rPr>
                <w:sz w:val="18"/>
                <w:szCs w:val="18"/>
                <w:color w:val="auto"/>
              </w:rPr>
            </w:pPr>
          </w:p>
        </w:tc>
        <w:tc>
          <w:tcPr>
            <w:tcW w:w="44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net charge-offs</w:t>
            </w:r>
          </w:p>
        </w:tc>
        <w:tc>
          <w:tcPr>
            <w:tcW w:w="586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rPr>
              <w:t>(237,539)</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(145,036)</w:t>
            </w:r>
          </w:p>
        </w:tc>
      </w:tr>
      <w:tr>
        <w:trPr>
          <w:trHeight w:val="223"/>
        </w:trPr>
        <w:tc>
          <w:tcPr>
            <w:tcW w:w="20" w:type="dxa"/>
            <w:vAlign w:val="bottom"/>
          </w:tcPr>
          <w:p>
            <w:pPr>
              <w:spacing w:after="0"/>
              <w:rPr>
                <w:sz w:val="19"/>
                <w:szCs w:val="19"/>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Ending balance</w:t>
            </w:r>
          </w:p>
        </w:tc>
        <w:tc>
          <w:tcPr>
            <w:tcW w:w="586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color w:val="auto"/>
              </w:rPr>
              <w:t>$ 855,365</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774,076</w:t>
            </w:r>
          </w:p>
        </w:tc>
      </w:tr>
      <w:tr>
        <w:trPr>
          <w:trHeight w:val="20"/>
        </w:trPr>
        <w:tc>
          <w:tcPr>
            <w:tcW w:w="20" w:type="dxa"/>
            <w:vAlign w:val="bottom"/>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c>
          <w:tcPr>
            <w:tcW w:w="58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5860" w:type="dxa"/>
            <w:vAlign w:val="bottom"/>
          </w:tcPr>
          <w:p>
            <w:pPr>
              <w:jc w:val="right"/>
              <w:ind w:right="4354"/>
              <w:spacing w:after="0"/>
              <w:rPr>
                <w:sz w:val="20"/>
                <w:szCs w:val="20"/>
                <w:color w:val="auto"/>
              </w:rPr>
            </w:pPr>
            <w:r>
              <w:rPr>
                <w:rFonts w:ascii="Arial" w:cs="Arial" w:eastAsia="Arial" w:hAnsi="Arial"/>
                <w:sz w:val="18"/>
                <w:szCs w:val="18"/>
                <w:color w:val="auto"/>
              </w:rPr>
              <w:t>- 6 -</w:t>
            </w:r>
          </w:p>
        </w:tc>
        <w:tc>
          <w:tcPr>
            <w:tcW w:w="112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586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Significant accounting policies</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consolidated financial statements of M&amp;T Bank Corporation (“M&amp;T”) and subsidiaries (“the Company”) were compiled in accordance with generally accepted accounting principles (“GAAP”) using the accounting policies set forth in note 1 of Notes to Financial Statements included in the 2008 Annual Report, except as described below. In the opinion of management, all adjustments necessary for a fair presentation have been made and were all of a normal recurring nature. Subsequent events have been evaluated for their potential impact on the financial statements through August 4, 2009, which is the date the financial statements were issued.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On May 23, 2009, M&amp;T acquired all of the outstanding common stock of Provident Bankshares Corporation (“Provident”), a bank holding company based in Baltimore, Maryland, in a stock-for-stock transaction. Provident Bank, Provident’s banking subsidiary, was merged into M&amp;T Bank, M&amp;T’s principal banking subsidiary, on that date. The results of operations acquired in the Provident transaction have been included in the Company’s financial results since May 23, 2009. Provident common shareholders received .171625 shares of M&amp;T common stock in exchange for each share of Provident common stock, resulting in M&amp;T issuing a total of 5,838,308 common shares with an acquisition date fair value of $273 million. In addition, based on the merger agreement, outstanding and unexercised options to purchase Provident common stock were converted into options to purchase the common stock of M&amp;T. Those options had an estimated fair value of $1 million. In total, the purchase price was approximately $274 million based on the fair value on the acquisition date of M&amp;T common stock exchanged and the options to purchase M&amp;T common stock. Holders of Provident’s preferred stock were issued shares of new Series B and Series C Preferred Stock of M&amp;T having substantially identical terms. That preferred stock and warrants to purchase common stock associated with the Series C Preferred Stock added $162 million to M&amp;T’s stockholders’ equity.</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transaction has been accounted for using the acquisition method of accounting and, accordingly, assets acquired, liabilities assumed and consideration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exchanged were recorded at estimated fair value on the acquisition date. Assets acquired totaled $6.3 billion, including $4.0 billion of loans and leases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(including approximately $1.7 billion of commercial real estate loans, $1.4 billion of consumer loans, $700 million of commercial loans and leases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$300 million of residential real estate loans) and $1.0 billion of investment securities. Liabilities assumed were $5.9 billion, including $5.1 billion of deposits.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transaction added $436 million to M&amp;T’s stockholders’ equity, including $280 million of common equity and $156 million of preferred equity.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connection with the acquisition, the Company recorded $332 million of goodwill and $63 million of core deposit intangible. The core deposit intangible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being amortized over seven years using an accelerated method. The acquisition of Provident expands the Company’s presence in the Mid-Atlantic area, gives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Company the second largest deposit share in Maryland, and tripled the Company’s presence in Virginia.</w:t>
      </w:r>
    </w:p>
    <w:p>
      <w:pPr>
        <w:spacing w:after="0" w:line="103"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In many cases, determining the fair value of the acquired assets and assumed liabilities required the Company to estimate cash flows expected to result from those assets and liabilities and to discount those cash flows at appropriate rates of interest. The most significant of these determinations related to the fair valuation of acquired loans. For such loans, the excess of cash flows expected at acquisition over the estimated fair value is recognized as interest income over the remaining lives of the loans. The difference between contractually required payments at acquisition and the cash flows expected to be collected at acquisition reflects the impact of estimated credit losses and other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continued</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factors, such as prepayments. In accordance with GAAP, there was no carry over of Provident’s previously established allowance for credit losses. Subsequent decreases in the expected cash flows will require the Company to evaluate the need for additions to the Company’s allowance for credit losses. Subsequent improvements in expected cash flows will result in the recognition of additional interest income over the then remaining lives of the loans.</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conjunction with the Provident acquisition, the acquired loan portfolio was accounted for at fair value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046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May 23, 2009</w:t>
            </w:r>
          </w:p>
        </w:tc>
      </w:tr>
      <w:tr>
        <w:trPr>
          <w:trHeight w:val="142"/>
        </w:trPr>
        <w:tc>
          <w:tcPr>
            <w:tcW w:w="20" w:type="dxa"/>
            <w:vAlign w:val="bottom"/>
          </w:tcPr>
          <w:p>
            <w:pPr>
              <w:spacing w:after="0"/>
              <w:rPr>
                <w:sz w:val="12"/>
                <w:szCs w:val="12"/>
                <w:color w:val="auto"/>
              </w:rPr>
            </w:pPr>
          </w:p>
        </w:tc>
        <w:tc>
          <w:tcPr>
            <w:tcW w:w="1046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Contractually required principal and interest at acquisition</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$ 5,465,167</w:t>
            </w:r>
          </w:p>
        </w:tc>
      </w:tr>
      <w:tr>
        <w:trPr>
          <w:trHeight w:val="223"/>
        </w:trPr>
        <w:tc>
          <w:tcPr>
            <w:tcW w:w="20" w:type="dxa"/>
            <w:vAlign w:val="bottom"/>
          </w:tcPr>
          <w:p>
            <w:pPr>
              <w:spacing w:after="0"/>
              <w:rPr>
                <w:sz w:val="19"/>
                <w:szCs w:val="19"/>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Contractual cash flows not expected to be collected</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(832,115)</w:t>
            </w: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Expected cash flows at acquisition</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4,633,052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Interest component of expected cash flows</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(595,685)</w:t>
            </w: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Basis in acquired loans at acquisition — estimated fair value</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$ 4,037,367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500" w:firstLine="225"/>
        <w:spacing w:after="0" w:line="308" w:lineRule="auto"/>
        <w:rPr>
          <w:sz w:val="20"/>
          <w:szCs w:val="20"/>
          <w:color w:val="auto"/>
        </w:rPr>
      </w:pPr>
      <w:r>
        <w:rPr>
          <w:rFonts w:ascii="Arial" w:cs="Arial" w:eastAsia="Arial" w:hAnsi="Arial"/>
          <w:sz w:val="17"/>
          <w:szCs w:val="17"/>
          <w:color w:val="auto"/>
        </w:rPr>
        <w:t>Interest income on acquired loans for the period from date of acquisition to June 30, 2009 was approximately $19 million. The outstanding principal balance and the carrying amount of these loans that is included in the consolidated balance sheet at June 30, 2009 is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4920" w:type="dxa"/>
            <w:vAlign w:val="bottom"/>
          </w:tcPr>
          <w:p>
            <w:pPr>
              <w:jc w:val="right"/>
              <w:spacing w:after="0"/>
              <w:rPr>
                <w:sz w:val="20"/>
                <w:szCs w:val="20"/>
                <w:color w:val="auto"/>
              </w:rPr>
            </w:pPr>
            <w:r>
              <w:rPr>
                <w:rFonts w:ascii="Arial" w:cs="Arial" w:eastAsia="Arial" w:hAnsi="Arial"/>
                <w:sz w:val="14"/>
                <w:szCs w:val="14"/>
                <w:color w:val="auto"/>
              </w:rPr>
              <w:t>(in thousands)</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Outstanding principal balance</w:t>
            </w:r>
          </w:p>
        </w:tc>
        <w:tc>
          <w:tcPr>
            <w:tcW w:w="4920" w:type="dxa"/>
            <w:vAlign w:val="bottom"/>
          </w:tcPr>
          <w:p>
            <w:pPr>
              <w:jc w:val="right"/>
              <w:spacing w:after="0"/>
              <w:rPr>
                <w:sz w:val="20"/>
                <w:szCs w:val="20"/>
                <w:color w:val="auto"/>
              </w:rPr>
            </w:pPr>
            <w:r>
              <w:rPr>
                <w:rFonts w:ascii="Arial" w:cs="Arial" w:eastAsia="Arial" w:hAnsi="Arial"/>
                <w:sz w:val="18"/>
                <w:szCs w:val="18"/>
                <w:color w:val="auto"/>
              </w:rPr>
              <w:t>$4,269,847</w:t>
            </w: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Carrying amount</w:t>
            </w:r>
          </w:p>
        </w:tc>
        <w:tc>
          <w:tcPr>
            <w:tcW w:w="4920" w:type="dxa"/>
            <w:vAlign w:val="bottom"/>
          </w:tcPr>
          <w:p>
            <w:pPr>
              <w:jc w:val="right"/>
              <w:spacing w:after="0"/>
              <w:rPr>
                <w:sz w:val="20"/>
                <w:szCs w:val="20"/>
                <w:color w:val="auto"/>
              </w:rPr>
            </w:pPr>
            <w:r>
              <w:rPr>
                <w:rFonts w:ascii="Arial" w:cs="Arial" w:eastAsia="Arial" w:hAnsi="Arial"/>
                <w:sz w:val="18"/>
                <w:szCs w:val="18"/>
                <w:color w:val="auto"/>
              </w:rPr>
              <w:t>3,996,718</w:t>
            </w:r>
          </w:p>
        </w:tc>
      </w:tr>
    </w:tbl>
    <w:p>
      <w:pPr>
        <w:spacing w:after="0" w:line="94" w:lineRule="exact"/>
        <w:rPr>
          <w:sz w:val="20"/>
          <w:szCs w:val="20"/>
          <w:color w:val="auto"/>
        </w:rPr>
      </w:pPr>
    </w:p>
    <w:p>
      <w:pPr>
        <w:jc w:val="both"/>
        <w:ind w:right="60" w:firstLine="225"/>
        <w:spacing w:after="0" w:line="264" w:lineRule="auto"/>
        <w:rPr>
          <w:sz w:val="20"/>
          <w:szCs w:val="20"/>
          <w:color w:val="auto"/>
        </w:rPr>
      </w:pPr>
      <w:r>
        <w:rPr>
          <w:rFonts w:ascii="Arial" w:cs="Arial" w:eastAsia="Arial" w:hAnsi="Arial"/>
          <w:sz w:val="18"/>
          <w:szCs w:val="18"/>
          <w:color w:val="auto"/>
        </w:rPr>
        <w:t>Receivables (including loans and investment securities) obtained in the acquisition of Provident for which there is specific evidence of credit deterioration and for which it was probable that the Company would be unable to collect all contractually required principal and interest payments represent less than .25% of the Company’s assets and, accordingly, are not considered material.</w:t>
      </w:r>
    </w:p>
    <w:p>
      <w:pPr>
        <w:spacing w:after="0" w:line="73"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In connection with the acquisition of Provident, goodwill of $332 million was calculated after recording all other acquired assets and liabilities at estimated fair value. In management’s opinion, that goodwill represents the inherent long-term value expected from the business opportunities and synergies created from combining Provident with the Company.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continued</w:t>
      </w:r>
    </w:p>
    <w:p>
      <w:pPr>
        <w:spacing w:after="0" w:line="121" w:lineRule="exact"/>
        <w:rPr>
          <w:sz w:val="20"/>
          <w:szCs w:val="20"/>
          <w:color w:val="auto"/>
        </w:rPr>
      </w:pPr>
    </w:p>
    <w:p>
      <w:pPr>
        <w:ind w:right="260" w:firstLine="222"/>
        <w:spacing w:after="0" w:line="277" w:lineRule="auto"/>
        <w:rPr>
          <w:sz w:val="20"/>
          <w:szCs w:val="20"/>
          <w:color w:val="auto"/>
        </w:rPr>
      </w:pPr>
      <w:r>
        <w:rPr>
          <w:rFonts w:ascii="Arial" w:cs="Arial" w:eastAsia="Arial" w:hAnsi="Arial"/>
          <w:sz w:val="18"/>
          <w:szCs w:val="18"/>
          <w:color w:val="auto"/>
        </w:rPr>
        <w:t>The consideration paid for Provident’s common equity and the amounts of acquired identifiable assets and liabilities and preferred equity assumed as of the acquisition date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046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Value of:</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shares issued (5,838,308 shares)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Stock options</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Fractional common shares paid in cash</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60" w:type="dxa"/>
            <w:vAlign w:val="bottom"/>
          </w:tcPr>
          <w:p>
            <w:pPr>
              <w:ind w:left="600"/>
              <w:spacing w:after="0"/>
              <w:rPr>
                <w:sz w:val="20"/>
                <w:szCs w:val="20"/>
                <w:color w:val="auto"/>
              </w:rPr>
            </w:pPr>
            <w:r>
              <w:rPr>
                <w:rFonts w:ascii="Arial" w:cs="Arial" w:eastAsia="Arial" w:hAnsi="Arial"/>
                <w:sz w:val="18"/>
                <w:szCs w:val="18"/>
                <w:color w:val="auto"/>
              </w:rPr>
              <w:t>Total purchase price</w:t>
            </w: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274,308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0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Cash and due from banks</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144,126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securities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1,039,350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Loans and leases</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4,037,367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Core deposit intangible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698,860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5,982,880</w:t>
            </w:r>
          </w:p>
        </w:tc>
        <w:tc>
          <w:tcPr>
            <w:tcW w:w="0" w:type="dxa"/>
            <w:vAlign w:val="bottom"/>
          </w:tcPr>
          <w:p>
            <w:pPr>
              <w:spacing w:after="0"/>
              <w:rPr>
                <w:sz w:val="1"/>
                <w:szCs w:val="1"/>
                <w:color w:val="auto"/>
              </w:rPr>
            </w:pPr>
          </w:p>
        </w:tc>
      </w:tr>
      <w:tr>
        <w:trPr>
          <w:trHeight w:val="439"/>
        </w:trPr>
        <w:tc>
          <w:tcPr>
            <w:tcW w:w="10480" w:type="dxa"/>
            <w:vAlign w:val="bottom"/>
            <w:gridSpan w:val="2"/>
          </w:tcPr>
          <w:p>
            <w:pPr>
              <w:spacing w:after="0"/>
              <w:rPr>
                <w:sz w:val="20"/>
                <w:szCs w:val="20"/>
                <w:color w:val="auto"/>
              </w:rPr>
            </w:pPr>
            <w:r>
              <w:rPr>
                <w:rFonts w:ascii="Arial" w:cs="Arial" w:eastAsia="Arial" w:hAnsi="Arial"/>
                <w:sz w:val="18"/>
                <w:szCs w:val="18"/>
                <w:color w:val="auto"/>
              </w:rPr>
              <w:t>Liabilities and equity:</w:t>
            </w: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5,060,546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Short-term borrowings</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176,515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borrowings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580,740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5,878,823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Preferred stock and common stock warrants</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6,041,069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0480" w:type="dxa"/>
            <w:vAlign w:val="bottom"/>
            <w:gridSpan w:val="2"/>
          </w:tcPr>
          <w:p>
            <w:pPr>
              <w:spacing w:after="0"/>
              <w:rPr>
                <w:sz w:val="20"/>
                <w:szCs w:val="20"/>
                <w:color w:val="auto"/>
              </w:rPr>
            </w:pPr>
            <w:r>
              <w:rPr>
                <w:rFonts w:ascii="Arial" w:cs="Arial" w:eastAsia="Arial" w:hAnsi="Arial"/>
                <w:sz w:val="18"/>
                <w:szCs w:val="18"/>
                <w:color w:val="auto"/>
              </w:rPr>
              <w:t>Net liabilities and preferred equity assumed</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58,189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0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Goodwill resulting from acquisition</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332,497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firstLine="225"/>
        <w:spacing w:after="0" w:line="279" w:lineRule="auto"/>
        <w:rPr>
          <w:sz w:val="20"/>
          <w:szCs w:val="20"/>
          <w:color w:val="auto"/>
        </w:rPr>
      </w:pPr>
      <w:r>
        <w:rPr>
          <w:rFonts w:ascii="Arial" w:cs="Arial" w:eastAsia="Arial" w:hAnsi="Arial"/>
          <w:sz w:val="17"/>
          <w:szCs w:val="17"/>
          <w:color w:val="auto"/>
        </w:rPr>
        <w:t>None of the goodwill recognized will be deductible for income tax purposes. Changes in goodwill in the Company’s consolidated balance sheet from December 31, 2008 to June 30, 2009 were attributable to the acquisition of Provident. As described in note 12, the Company does not allocate goodwill to its reportable segments when compiling the assets associated with those segments. The Company does, however, allocate goodwill to segments for purposes of periodically testing goodwill for impairment. That allocation of goodwill has not yet been completed.</w:t>
      </w:r>
    </w:p>
    <w:p>
      <w:pPr>
        <w:spacing w:after="0" w:line="63"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Merger-related expenses associated with the acquisition of Provident were $66 million and $69 million during the three- and six-month periods ended June 30, 2009, respectively. Such expenses were for professional services and other temporary help fees associated with the conversion of systems and/or integration of operations; costs related to branch and office consolidations; costs related to termination of existing Provident contractual arrangements for various services; initial marketing and promotion expenses designed to introduce M&amp;T Bank to Provident’s customers; severance and incentive compensation costs; travel costs; and printing, supplies and other costs of commencing operations in new markets and offices. The Company expects to incur additional merger-related expenses, although such costs are expected to be substantially less than the amount incurred in the first six months of 2009. As of June 30, 2009, the remaining unpaid portion of merger-related expenses was $33 million.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continued</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merger-related expenses included in the consolidated statement of income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4"/>
                <w:szCs w:val="14"/>
                <w:color w:val="auto"/>
              </w:rPr>
              <w:t>Three months ended</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Six months ended</w:t>
            </w:r>
          </w:p>
        </w:tc>
      </w:tr>
      <w:tr>
        <w:trPr>
          <w:trHeight w:val="167"/>
        </w:trPr>
        <w:tc>
          <w:tcPr>
            <w:tcW w:w="8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ind w:left="40"/>
              <w:spacing w:after="0"/>
              <w:rPr>
                <w:sz w:val="20"/>
                <w:szCs w:val="20"/>
                <w:color w:val="auto"/>
              </w:rPr>
            </w:pPr>
            <w:r>
              <w:rPr>
                <w:rFonts w:ascii="Arial" w:cs="Arial" w:eastAsia="Arial" w:hAnsi="Arial"/>
                <w:sz w:val="14"/>
                <w:szCs w:val="14"/>
                <w:color w:val="auto"/>
              </w:rPr>
              <w:t>June 30, 2009</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June 30, 2009</w:t>
            </w:r>
          </w:p>
        </w:tc>
      </w:tr>
      <w:tr>
        <w:trPr>
          <w:trHeight w:val="142"/>
        </w:trPr>
        <w:tc>
          <w:tcPr>
            <w:tcW w:w="84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(in</w:t>
            </w:r>
          </w:p>
        </w:tc>
        <w:tc>
          <w:tcPr>
            <w:tcW w:w="620" w:type="dxa"/>
            <w:vAlign w:val="bottom"/>
          </w:tcPr>
          <w:p>
            <w:pPr>
              <w:ind w:left="20"/>
              <w:spacing w:after="0" w:line="142" w:lineRule="exact"/>
              <w:rPr>
                <w:sz w:val="20"/>
                <w:szCs w:val="20"/>
                <w:color w:val="auto"/>
              </w:rPr>
            </w:pPr>
            <w:r>
              <w:rPr>
                <w:rFonts w:ascii="Arial" w:cs="Arial" w:eastAsia="Arial" w:hAnsi="Arial"/>
                <w:sz w:val="14"/>
                <w:szCs w:val="14"/>
                <w:color w:val="auto"/>
                <w:w w:val="83"/>
              </w:rPr>
              <w:t>thousands)</w:t>
            </w: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8,768</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8,779</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Equipment and net occupancy</w:t>
            </w:r>
          </w:p>
        </w:tc>
        <w:tc>
          <w:tcPr>
            <w:tcW w:w="140" w:type="dxa"/>
            <w:vAlign w:val="bottom"/>
          </w:tcPr>
          <w:p>
            <w:pPr>
              <w:spacing w:after="0"/>
              <w:rPr>
                <w:sz w:val="18"/>
                <w:szCs w:val="18"/>
                <w:color w:val="auto"/>
              </w:rPr>
            </w:pPr>
          </w:p>
        </w:tc>
        <w:tc>
          <w:tcPr>
            <w:tcW w:w="1660" w:type="dxa"/>
            <w:vAlign w:val="bottom"/>
            <w:gridSpan w:val="2"/>
          </w:tcPr>
          <w:p>
            <w:pPr>
              <w:jc w:val="right"/>
              <w:ind w:right="548"/>
              <w:spacing w:after="0"/>
              <w:rPr>
                <w:sz w:val="20"/>
                <w:szCs w:val="20"/>
                <w:color w:val="auto"/>
              </w:rPr>
            </w:pPr>
            <w:r>
              <w:rPr>
                <w:rFonts w:ascii="Arial" w:cs="Arial" w:eastAsia="Arial" w:hAnsi="Arial"/>
                <w:sz w:val="18"/>
                <w:szCs w:val="18"/>
                <w:color w:val="auto"/>
              </w:rPr>
              <w:t>581</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585</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Printing, postage and supplies</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2,514</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2,815</w:t>
            </w: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auto"/>
              </w:rPr>
              <w:t>Other costs of operations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54,594</w:t>
            </w:r>
          </w:p>
        </w:tc>
        <w:tc>
          <w:tcPr>
            <w:tcW w:w="6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56,704</w:t>
            </w:r>
          </w:p>
        </w:tc>
        <w:tc>
          <w:tcPr>
            <w:tcW w:w="100" w:type="dxa"/>
            <w:vAlign w:val="bottom"/>
          </w:tcPr>
          <w:p>
            <w:pPr>
              <w:spacing w:after="0"/>
              <w:rPr>
                <w:sz w:val="19"/>
                <w:szCs w:val="19"/>
                <w:color w:val="auto"/>
              </w:rPr>
            </w:pPr>
          </w:p>
        </w:tc>
      </w:tr>
      <w:tr>
        <w:trPr>
          <w:trHeight w:val="216"/>
        </w:trPr>
        <w:tc>
          <w:tcPr>
            <w:tcW w:w="8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66,457</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68,883</w:t>
            </w:r>
          </w:p>
        </w:tc>
      </w:tr>
      <w:tr>
        <w:trPr>
          <w:trHeight w:val="20"/>
        </w:trPr>
        <w:tc>
          <w:tcPr>
            <w:tcW w:w="8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222"/>
        <w:spacing w:after="0" w:line="288" w:lineRule="auto"/>
        <w:rPr>
          <w:sz w:val="20"/>
          <w:szCs w:val="20"/>
          <w:color w:val="auto"/>
        </w:rPr>
      </w:pPr>
      <w:r>
        <w:rPr>
          <w:rFonts w:ascii="Arial" w:cs="Arial" w:eastAsia="Arial" w:hAnsi="Arial"/>
          <w:sz w:val="16"/>
          <w:szCs w:val="16"/>
          <w:color w:val="auto"/>
        </w:rPr>
        <w:t>The following table discloses the impact of Provident (excluding the impact of merger-related expenses) since the acquisition on May 23, 2009 through the end of the second quarter of 2009. The table also presents certain pro forma information for 2009 as if Provident had been acquired on January 1, 2009 and for 2008 as if Provident had been acquired on January 1, 2008. These results combine the historical results of Provident into the Company’s consolidated statement of income and, while certain adjustments were made for the estimated impact of certain fair valuation adjustments and other acquisition-related activity, they are not necessarily indicative of what would have occurred had the acquisition taken place on the indicated dates. In particular, no adjustments have been made to eliminate the amount of Provident’s provision for credit losses of $42 million in 2009 and $10 million in 2008 or the impact of other-than-temporary impairment losses recognized by Provident of $87 million in 2009 and $63 million in 2008 that would not have been necessary had the acquired loans and investment securities been recorded at fair value as of the beginning of each year. Furthermore, expenses related to systems conversions and other costs of integration of $69 million are included in the 2009 periods in which such costs were incurred. Additionally, the Company expects to achieve further operating cost savings and other business synergies as a result of the acquisition which are not reflected in the pro forma amounts presented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5"/>
              </w:rPr>
              <w:t>Actual since</w:t>
            </w:r>
          </w:p>
        </w:tc>
        <w:tc>
          <w:tcPr>
            <w:tcW w:w="480" w:type="dxa"/>
            <w:vAlign w:val="bottom"/>
          </w:tcPr>
          <w:p>
            <w:pPr>
              <w:spacing w:after="0"/>
              <w:rPr>
                <w:sz w:val="14"/>
                <w:szCs w:val="14"/>
                <w:color w:val="auto"/>
              </w:rPr>
            </w:pPr>
          </w:p>
        </w:tc>
        <w:tc>
          <w:tcPr>
            <w:tcW w:w="2100" w:type="dxa"/>
            <w:vAlign w:val="bottom"/>
            <w:gridSpan w:val="3"/>
          </w:tcPr>
          <w:p>
            <w:pPr>
              <w:jc w:val="center"/>
              <w:ind w:left="968"/>
              <w:spacing w:after="0"/>
              <w:rPr>
                <w:sz w:val="20"/>
                <w:szCs w:val="20"/>
                <w:color w:val="auto"/>
              </w:rPr>
            </w:pPr>
            <w:r>
              <w:rPr>
                <w:rFonts w:ascii="Arial" w:cs="Arial" w:eastAsia="Arial" w:hAnsi="Arial"/>
                <w:sz w:val="14"/>
                <w:szCs w:val="14"/>
                <w:color w:val="auto"/>
                <w:w w:val="94"/>
              </w:rPr>
              <w:t>Pro forma</w:t>
            </w:r>
          </w:p>
        </w:tc>
        <w:tc>
          <w:tcPr>
            <w:tcW w:w="1040" w:type="dxa"/>
            <w:vAlign w:val="bottom"/>
          </w:tcPr>
          <w:p>
            <w:pPr>
              <w:spacing w:after="0"/>
              <w:rPr>
                <w:sz w:val="14"/>
                <w:szCs w:val="14"/>
                <w:color w:val="auto"/>
              </w:rPr>
            </w:pPr>
          </w:p>
        </w:tc>
      </w:tr>
      <w:tr>
        <w:trPr>
          <w:trHeight w:val="149"/>
        </w:trPr>
        <w:tc>
          <w:tcPr>
            <w:tcW w:w="32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3"/>
              </w:rPr>
              <w:t>acquisition</w:t>
            </w:r>
          </w:p>
        </w:tc>
        <w:tc>
          <w:tcPr>
            <w:tcW w:w="480" w:type="dxa"/>
            <w:vAlign w:val="bottom"/>
          </w:tcPr>
          <w:p>
            <w:pPr>
              <w:spacing w:after="0"/>
              <w:rPr>
                <w:sz w:val="12"/>
                <w:szCs w:val="12"/>
                <w:color w:val="auto"/>
              </w:rPr>
            </w:pPr>
          </w:p>
        </w:tc>
        <w:tc>
          <w:tcPr>
            <w:tcW w:w="2100" w:type="dxa"/>
            <w:vAlign w:val="bottom"/>
            <w:gridSpan w:val="3"/>
          </w:tcPr>
          <w:p>
            <w:pPr>
              <w:jc w:val="center"/>
              <w:ind w:left="968"/>
              <w:spacing w:after="0" w:line="149" w:lineRule="exact"/>
              <w:rPr>
                <w:sz w:val="20"/>
                <w:szCs w:val="20"/>
                <w:color w:val="auto"/>
              </w:rPr>
            </w:pPr>
            <w:r>
              <w:rPr>
                <w:rFonts w:ascii="Arial" w:cs="Arial" w:eastAsia="Arial" w:hAnsi="Arial"/>
                <w:sz w:val="14"/>
                <w:szCs w:val="14"/>
                <w:color w:val="auto"/>
                <w:w w:val="90"/>
              </w:rPr>
              <w:t>Six months ended</w:t>
            </w:r>
          </w:p>
        </w:tc>
        <w:tc>
          <w:tcPr>
            <w:tcW w:w="1040" w:type="dxa"/>
            <w:vAlign w:val="bottom"/>
          </w:tcPr>
          <w:p>
            <w:pPr>
              <w:spacing w:after="0"/>
              <w:rPr>
                <w:sz w:val="12"/>
                <w:szCs w:val="12"/>
                <w:color w:val="auto"/>
              </w:rPr>
            </w:pPr>
          </w:p>
        </w:tc>
      </w:tr>
      <w:tr>
        <w:trPr>
          <w:trHeight w:val="149"/>
        </w:trPr>
        <w:tc>
          <w:tcPr>
            <w:tcW w:w="32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6"/>
              </w:rPr>
              <w:t>through</w:t>
            </w:r>
          </w:p>
        </w:tc>
        <w:tc>
          <w:tcPr>
            <w:tcW w:w="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9"/>
              </w:rPr>
              <w:t>June 30,</w:t>
            </w:r>
          </w:p>
        </w:tc>
        <w:tc>
          <w:tcPr>
            <w:tcW w:w="1040" w:type="dxa"/>
            <w:vAlign w:val="bottom"/>
          </w:tcPr>
          <w:p>
            <w:pPr>
              <w:spacing w:after="0"/>
              <w:rPr>
                <w:sz w:val="12"/>
                <w:szCs w:val="12"/>
                <w:color w:val="auto"/>
              </w:rPr>
            </w:pPr>
          </w:p>
        </w:tc>
      </w:tr>
      <w:tr>
        <w:trPr>
          <w:trHeight w:val="167"/>
        </w:trPr>
        <w:tc>
          <w:tcPr>
            <w:tcW w:w="32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0"/>
              </w:rPr>
              <w:t>June 30, 2009</w:t>
            </w:r>
          </w:p>
        </w:tc>
        <w:tc>
          <w:tcPr>
            <w:tcW w:w="1820" w:type="dxa"/>
            <w:vAlign w:val="bottom"/>
            <w:gridSpan w:val="2"/>
          </w:tcPr>
          <w:p>
            <w:pPr>
              <w:jc w:val="right"/>
              <w:ind w:right="448"/>
              <w:spacing w:after="0"/>
              <w:rPr>
                <w:sz w:val="20"/>
                <w:szCs w:val="20"/>
                <w:color w:val="auto"/>
              </w:rPr>
            </w:pPr>
            <w:r>
              <w:rPr>
                <w:rFonts w:ascii="Arial" w:cs="Arial" w:eastAsia="Arial" w:hAnsi="Arial"/>
                <w:sz w:val="14"/>
                <w:szCs w:val="14"/>
                <w:color w:val="auto"/>
              </w:rPr>
              <w:t>2009</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ind w:right="436"/>
              <w:spacing w:after="0"/>
              <w:rPr>
                <w:sz w:val="20"/>
                <w:szCs w:val="20"/>
                <w:color w:val="auto"/>
              </w:rPr>
            </w:pPr>
            <w:r>
              <w:rPr>
                <w:rFonts w:ascii="Arial" w:cs="Arial" w:eastAsia="Arial" w:hAnsi="Arial"/>
                <w:sz w:val="14"/>
                <w:szCs w:val="14"/>
                <w:color w:val="auto"/>
              </w:rPr>
              <w:t>2008</w:t>
            </w:r>
          </w:p>
        </w:tc>
      </w:tr>
      <w:tr>
        <w:trPr>
          <w:trHeight w:val="128"/>
        </w:trPr>
        <w:tc>
          <w:tcPr>
            <w:tcW w:w="328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Borders>
              <w:top w:val="single" w:sz="8" w:color="auto"/>
            </w:tcBorders>
          </w:tcPr>
          <w:p>
            <w:pPr>
              <w:jc w:val="right"/>
              <w:ind w:right="108"/>
              <w:spacing w:after="0" w:line="128" w:lineRule="exact"/>
              <w:rPr>
                <w:sz w:val="20"/>
                <w:szCs w:val="20"/>
                <w:color w:val="auto"/>
              </w:rPr>
            </w:pPr>
            <w:r>
              <w:rPr>
                <w:rFonts w:ascii="Arial" w:cs="Arial" w:eastAsia="Arial" w:hAnsi="Arial"/>
                <w:sz w:val="14"/>
                <w:szCs w:val="14"/>
                <w:color w:val="auto"/>
              </w:rPr>
              <w:t>(in thousands)</w:t>
            </w:r>
          </w:p>
        </w:tc>
        <w:tc>
          <w:tcPr>
            <w:tcW w:w="4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Total revenues</w:t>
            </w:r>
          </w:p>
        </w:tc>
        <w:tc>
          <w:tcPr>
            <w:tcW w:w="4520" w:type="dxa"/>
            <w:vAlign w:val="bottom"/>
            <w:gridSpan w:val="2"/>
          </w:tcPr>
          <w:p>
            <w:pPr>
              <w:jc w:val="right"/>
              <w:ind w:right="268"/>
              <w:spacing w:after="0"/>
              <w:rPr>
                <w:sz w:val="20"/>
                <w:szCs w:val="20"/>
                <w:color w:val="auto"/>
              </w:rPr>
            </w:pPr>
            <w:r>
              <w:rPr>
                <w:rFonts w:ascii="Arial" w:cs="Arial" w:eastAsia="Arial" w:hAnsi="Arial"/>
                <w:sz w:val="18"/>
                <w:szCs w:val="18"/>
                <w:color w:val="auto"/>
              </w:rPr>
              <w:t>$33,923</w:t>
            </w:r>
          </w:p>
        </w:tc>
        <w:tc>
          <w:tcPr>
            <w:tcW w:w="1820" w:type="dxa"/>
            <w:vAlign w:val="bottom"/>
            <w:gridSpan w:val="2"/>
          </w:tcPr>
          <w:p>
            <w:pPr>
              <w:jc w:val="right"/>
              <w:ind w:right="228"/>
              <w:spacing w:after="0"/>
              <w:rPr>
                <w:sz w:val="20"/>
                <w:szCs w:val="20"/>
                <w:color w:val="auto"/>
              </w:rPr>
            </w:pPr>
            <w:r>
              <w:rPr>
                <w:rFonts w:ascii="Arial" w:cs="Arial" w:eastAsia="Arial" w:hAnsi="Arial"/>
                <w:sz w:val="18"/>
                <w:szCs w:val="18"/>
                <w:color w:val="auto"/>
              </w:rPr>
              <w:t>1,884,980</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216"/>
              <w:spacing w:after="0"/>
              <w:rPr>
                <w:sz w:val="20"/>
                <w:szCs w:val="20"/>
                <w:color w:val="auto"/>
              </w:rPr>
            </w:pPr>
            <w:r>
              <w:rPr>
                <w:rFonts w:ascii="Arial" w:cs="Arial" w:eastAsia="Arial" w:hAnsi="Arial"/>
                <w:sz w:val="18"/>
                <w:szCs w:val="18"/>
                <w:color w:val="auto"/>
                <w:w w:val="89"/>
              </w:rPr>
              <w:t>2,451,489</w:t>
            </w: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Net income</w:t>
            </w:r>
          </w:p>
        </w:tc>
        <w:tc>
          <w:tcPr>
            <w:tcW w:w="4520" w:type="dxa"/>
            <w:vAlign w:val="bottom"/>
            <w:gridSpan w:val="2"/>
          </w:tcPr>
          <w:p>
            <w:pPr>
              <w:jc w:val="right"/>
              <w:ind w:right="268"/>
              <w:spacing w:after="0"/>
              <w:rPr>
                <w:sz w:val="20"/>
                <w:szCs w:val="20"/>
                <w:color w:val="auto"/>
              </w:rPr>
            </w:pPr>
            <w:r>
              <w:rPr>
                <w:rFonts w:ascii="Arial" w:cs="Arial" w:eastAsia="Arial" w:hAnsi="Arial"/>
                <w:sz w:val="18"/>
                <w:szCs w:val="18"/>
                <w:color w:val="auto"/>
              </w:rPr>
              <w:t>3,562</w:t>
            </w:r>
          </w:p>
        </w:tc>
        <w:tc>
          <w:tcPr>
            <w:tcW w:w="1820" w:type="dxa"/>
            <w:vAlign w:val="bottom"/>
            <w:gridSpan w:val="2"/>
          </w:tcPr>
          <w:p>
            <w:pPr>
              <w:jc w:val="right"/>
              <w:ind w:right="228"/>
              <w:spacing w:after="0"/>
              <w:rPr>
                <w:sz w:val="20"/>
                <w:szCs w:val="20"/>
                <w:color w:val="auto"/>
              </w:rPr>
            </w:pPr>
            <w:r>
              <w:rPr>
                <w:rFonts w:ascii="Arial" w:cs="Arial" w:eastAsia="Arial" w:hAnsi="Arial"/>
                <w:sz w:val="18"/>
                <w:szCs w:val="18"/>
                <w:color w:val="auto"/>
              </w:rPr>
              <w:t>31,320</w:t>
            </w: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216"/>
              <w:spacing w:after="0"/>
              <w:rPr>
                <w:sz w:val="20"/>
                <w:szCs w:val="20"/>
                <w:color w:val="auto"/>
              </w:rPr>
            </w:pPr>
            <w:r>
              <w:rPr>
                <w:rFonts w:ascii="Arial" w:cs="Arial" w:eastAsia="Arial" w:hAnsi="Arial"/>
                <w:sz w:val="18"/>
                <w:szCs w:val="18"/>
                <w:color w:val="auto"/>
              </w:rPr>
              <w:t>353,349</w:t>
            </w:r>
          </w:p>
        </w:tc>
      </w:tr>
      <w:tr>
        <w:trPr>
          <w:trHeight w:val="405"/>
        </w:trPr>
        <w:tc>
          <w:tcPr>
            <w:tcW w:w="3280" w:type="dxa"/>
            <w:vAlign w:val="bottom"/>
          </w:tcPr>
          <w:p>
            <w:pPr>
              <w:spacing w:after="0"/>
              <w:rPr>
                <w:sz w:val="24"/>
                <w:szCs w:val="24"/>
                <w:color w:val="auto"/>
              </w:rPr>
            </w:pPr>
          </w:p>
        </w:tc>
        <w:tc>
          <w:tcPr>
            <w:tcW w:w="3340" w:type="dxa"/>
            <w:vAlign w:val="bottom"/>
          </w:tcPr>
          <w:p>
            <w:pPr>
              <w:jc w:val="right"/>
              <w:ind w:right="630"/>
              <w:spacing w:after="0"/>
              <w:rPr>
                <w:sz w:val="20"/>
                <w:szCs w:val="20"/>
                <w:color w:val="auto"/>
              </w:rPr>
            </w:pPr>
            <w:r>
              <w:rPr>
                <w:rFonts w:ascii="Arial" w:cs="Arial" w:eastAsia="Arial" w:hAnsi="Arial"/>
                <w:sz w:val="18"/>
                <w:szCs w:val="18"/>
                <w:color w:val="auto"/>
              </w:rPr>
              <w:t>- 10 -</w:t>
            </w: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6"/>
        </w:trPr>
        <w:tc>
          <w:tcPr>
            <w:tcW w:w="3280" w:type="dxa"/>
            <w:vAlign w:val="bottom"/>
            <w:tcBorders>
              <w:bottom w:val="single" w:sz="8" w:color="808080"/>
            </w:tcBorders>
          </w:tcPr>
          <w:p>
            <w:pPr>
              <w:spacing w:after="0"/>
              <w:rPr>
                <w:sz w:val="19"/>
                <w:szCs w:val="19"/>
                <w:color w:val="auto"/>
              </w:rPr>
            </w:pPr>
          </w:p>
        </w:tc>
        <w:tc>
          <w:tcPr>
            <w:tcW w:w="334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estimated fair value of investment securities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gridSpan w:val="2"/>
          </w:tcPr>
          <w:p>
            <w:pPr>
              <w:jc w:val="center"/>
              <w:ind w:right="573"/>
              <w:spacing w:after="0"/>
              <w:rPr>
                <w:sz w:val="20"/>
                <w:szCs w:val="20"/>
                <w:color w:val="auto"/>
              </w:rPr>
            </w:pPr>
            <w:r>
              <w:rPr>
                <w:rFonts w:ascii="Arial" w:cs="Arial" w:eastAsia="Arial" w:hAnsi="Arial"/>
                <w:sz w:val="14"/>
                <w:szCs w:val="14"/>
                <w:color w:val="auto"/>
                <w:w w:val="90"/>
              </w:rPr>
              <w:t>Gross</w:t>
            </w:r>
          </w:p>
        </w:tc>
        <w:tc>
          <w:tcPr>
            <w:tcW w:w="1500" w:type="dxa"/>
            <w:vAlign w:val="bottom"/>
            <w:gridSpan w:val="2"/>
          </w:tcPr>
          <w:p>
            <w:pPr>
              <w:jc w:val="center"/>
              <w:ind w:right="640"/>
              <w:spacing w:after="0"/>
              <w:rPr>
                <w:sz w:val="20"/>
                <w:szCs w:val="20"/>
                <w:color w:val="auto"/>
              </w:rPr>
            </w:pPr>
            <w:r>
              <w:rPr>
                <w:rFonts w:ascii="Arial" w:cs="Arial" w:eastAsia="Arial" w:hAnsi="Arial"/>
                <w:sz w:val="14"/>
                <w:szCs w:val="14"/>
                <w:color w:val="auto"/>
                <w:w w:val="90"/>
              </w:rPr>
              <w:t>Gross</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98"/>
              </w:rPr>
              <w:t>Amortized</w:t>
            </w:r>
          </w:p>
        </w:tc>
        <w:tc>
          <w:tcPr>
            <w:tcW w:w="1340" w:type="dxa"/>
            <w:vAlign w:val="bottom"/>
            <w:gridSpan w:val="2"/>
          </w:tcPr>
          <w:p>
            <w:pPr>
              <w:jc w:val="center"/>
              <w:ind w:right="573"/>
              <w:spacing w:after="0" w:line="149" w:lineRule="exact"/>
              <w:rPr>
                <w:sz w:val="20"/>
                <w:szCs w:val="20"/>
                <w:color w:val="auto"/>
              </w:rPr>
            </w:pPr>
            <w:r>
              <w:rPr>
                <w:rFonts w:ascii="Arial" w:cs="Arial" w:eastAsia="Arial" w:hAnsi="Arial"/>
                <w:sz w:val="14"/>
                <w:szCs w:val="14"/>
                <w:color w:val="auto"/>
                <w:w w:val="89"/>
              </w:rPr>
              <w:t>unrealized</w:t>
            </w:r>
          </w:p>
        </w:tc>
        <w:tc>
          <w:tcPr>
            <w:tcW w:w="150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2"/>
              </w:rPr>
              <w:t>unrealized</w:t>
            </w:r>
          </w:p>
        </w:tc>
        <w:tc>
          <w:tcPr>
            <w:tcW w:w="10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Estimated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760"/>
              <w:spacing w:after="0"/>
              <w:rPr>
                <w:sz w:val="20"/>
                <w:szCs w:val="20"/>
                <w:color w:val="auto"/>
              </w:rPr>
            </w:pPr>
            <w:r>
              <w:rPr>
                <w:rFonts w:ascii="Arial" w:cs="Arial" w:eastAsia="Arial" w:hAnsi="Arial"/>
                <w:sz w:val="14"/>
                <w:szCs w:val="14"/>
                <w:color w:val="auto"/>
                <w:w w:val="85"/>
              </w:rPr>
              <w:t>cost</w:t>
            </w:r>
          </w:p>
        </w:tc>
        <w:tc>
          <w:tcPr>
            <w:tcW w:w="1340" w:type="dxa"/>
            <w:vAlign w:val="bottom"/>
            <w:gridSpan w:val="2"/>
          </w:tcPr>
          <w:p>
            <w:pPr>
              <w:jc w:val="center"/>
              <w:ind w:right="573"/>
              <w:spacing w:after="0"/>
              <w:rPr>
                <w:sz w:val="20"/>
                <w:szCs w:val="20"/>
                <w:color w:val="auto"/>
              </w:rPr>
            </w:pPr>
            <w:r>
              <w:rPr>
                <w:rFonts w:ascii="Arial" w:cs="Arial" w:eastAsia="Arial" w:hAnsi="Arial"/>
                <w:sz w:val="14"/>
                <w:szCs w:val="14"/>
                <w:color w:val="auto"/>
                <w:w w:val="89"/>
              </w:rPr>
              <w:t>gains</w:t>
            </w:r>
          </w:p>
        </w:tc>
        <w:tc>
          <w:tcPr>
            <w:tcW w:w="1500" w:type="dxa"/>
            <w:vAlign w:val="bottom"/>
            <w:gridSpan w:val="2"/>
          </w:tcPr>
          <w:p>
            <w:pPr>
              <w:jc w:val="center"/>
              <w:ind w:right="640"/>
              <w:spacing w:after="0"/>
              <w:rPr>
                <w:sz w:val="20"/>
                <w:szCs w:val="20"/>
                <w:color w:val="auto"/>
              </w:rPr>
            </w:pPr>
            <w:r>
              <w:rPr>
                <w:rFonts w:ascii="Arial" w:cs="Arial" w:eastAsia="Arial" w:hAnsi="Arial"/>
                <w:sz w:val="14"/>
                <w:szCs w:val="14"/>
                <w:color w:val="auto"/>
                <w:w w:val="85"/>
              </w:rPr>
              <w:t>losses</w:t>
            </w:r>
          </w:p>
        </w:tc>
        <w:tc>
          <w:tcPr>
            <w:tcW w:w="10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40" w:type="dxa"/>
            <w:vAlign w:val="bottom"/>
          </w:tcPr>
          <w:p>
            <w:pPr>
              <w:jc w:val="right"/>
              <w:spacing w:after="0" w:line="143" w:lineRule="exact"/>
              <w:rPr>
                <w:sz w:val="20"/>
                <w:szCs w:val="20"/>
                <w:color w:val="auto"/>
              </w:rPr>
            </w:pPr>
            <w:r>
              <w:rPr>
                <w:rFonts w:ascii="Arial" w:cs="Arial" w:eastAsia="Arial" w:hAnsi="Arial"/>
                <w:sz w:val="13"/>
                <w:szCs w:val="13"/>
                <w:color w:val="auto"/>
                <w:w w:val="75"/>
              </w:rPr>
              <w:t>(in thousands)</w:t>
            </w:r>
          </w:p>
        </w:tc>
        <w:tc>
          <w:tcPr>
            <w:tcW w:w="84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June 30, 2009</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212,113</w:t>
            </w:r>
          </w:p>
        </w:tc>
        <w:tc>
          <w:tcPr>
            <w:tcW w:w="134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2,778</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64,297</w:t>
            </w:r>
          </w:p>
        </w:tc>
        <w:tc>
          <w:tcPr>
            <w:tcW w:w="1340" w:type="dxa"/>
            <w:vAlign w:val="bottom"/>
            <w:gridSpan w:val="2"/>
          </w:tcPr>
          <w:p>
            <w:pPr>
              <w:jc w:val="right"/>
              <w:ind w:right="573"/>
              <w:spacing w:after="0"/>
              <w:rPr>
                <w:sz w:val="20"/>
                <w:szCs w:val="20"/>
                <w:color w:val="auto"/>
              </w:rPr>
            </w:pPr>
            <w:r>
              <w:rPr>
                <w:rFonts w:ascii="Arial" w:cs="Arial" w:eastAsia="Arial" w:hAnsi="Arial"/>
                <w:sz w:val="18"/>
                <w:szCs w:val="18"/>
                <w:color w:val="auto"/>
              </w:rPr>
              <w:t>1,631</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65,739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Government issued or guaranteed</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3,755,001</w:t>
            </w:r>
          </w:p>
        </w:tc>
        <w:tc>
          <w:tcPr>
            <w:tcW w:w="640" w:type="dxa"/>
            <w:vAlign w:val="bottom"/>
          </w:tcPr>
          <w:p>
            <w:pPr>
              <w:spacing w:after="0"/>
              <w:rPr>
                <w:sz w:val="18"/>
                <w:szCs w:val="18"/>
                <w:color w:val="auto"/>
              </w:rPr>
            </w:pPr>
          </w:p>
        </w:tc>
        <w:tc>
          <w:tcPr>
            <w:tcW w:w="1340" w:type="dxa"/>
            <w:vAlign w:val="bottom"/>
            <w:gridSpan w:val="2"/>
          </w:tcPr>
          <w:p>
            <w:pPr>
              <w:jc w:val="right"/>
              <w:ind w:right="573"/>
              <w:spacing w:after="0"/>
              <w:rPr>
                <w:sz w:val="20"/>
                <w:szCs w:val="20"/>
                <w:color w:val="auto"/>
              </w:rPr>
            </w:pPr>
            <w:r>
              <w:rPr>
                <w:rFonts w:ascii="Arial" w:cs="Arial" w:eastAsia="Arial" w:hAnsi="Arial"/>
                <w:sz w:val="18"/>
                <w:szCs w:val="18"/>
                <w:color w:val="auto"/>
              </w:rPr>
              <w:t>115,858</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3,394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3,867,465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Privately issued residential</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2,811,913</w:t>
            </w:r>
          </w:p>
        </w:tc>
        <w:tc>
          <w:tcPr>
            <w:tcW w:w="134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1,797</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571,952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2,241,758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Privately issued commercial</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37,124</w:t>
            </w:r>
          </w:p>
        </w:tc>
        <w:tc>
          <w:tcPr>
            <w:tcW w:w="1340" w:type="dxa"/>
            <w:vAlign w:val="bottom"/>
            <w:gridSpan w:val="2"/>
          </w:tcPr>
          <w:p>
            <w:pPr>
              <w:jc w:val="right"/>
              <w:ind w:right="573"/>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14,106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114,707</w:t>
            </w:r>
          </w:p>
        </w:tc>
        <w:tc>
          <w:tcPr>
            <w:tcW w:w="134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8,092</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10,427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Other debt securities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296,835</w:t>
            </w:r>
          </w:p>
        </w:tc>
        <w:tc>
          <w:tcPr>
            <w:tcW w:w="1340" w:type="dxa"/>
            <w:vAlign w:val="bottom"/>
            <w:gridSpan w:val="2"/>
          </w:tcPr>
          <w:p>
            <w:pPr>
              <w:jc w:val="right"/>
              <w:ind w:right="573"/>
              <w:spacing w:after="0"/>
              <w:rPr>
                <w:sz w:val="20"/>
                <w:szCs w:val="20"/>
                <w:color w:val="auto"/>
              </w:rPr>
            </w:pPr>
            <w:r>
              <w:rPr>
                <w:rFonts w:ascii="Arial" w:cs="Arial" w:eastAsia="Arial" w:hAnsi="Arial"/>
                <w:sz w:val="18"/>
                <w:szCs w:val="18"/>
                <w:color w:val="auto"/>
              </w:rPr>
              <w:t>5,442</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88,889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213,388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239,547</w:t>
            </w:r>
          </w:p>
        </w:tc>
        <w:tc>
          <w:tcPr>
            <w:tcW w:w="134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3,866</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18,982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224,431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7,531,537</w:t>
            </w:r>
          </w:p>
        </w:tc>
        <w:tc>
          <w:tcPr>
            <w:tcW w:w="6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139,464</w:t>
            </w:r>
          </w:p>
        </w:tc>
        <w:tc>
          <w:tcPr>
            <w:tcW w:w="6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707,997</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6,963,004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held to maturity:</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215,401</w:t>
            </w:r>
          </w:p>
        </w:tc>
        <w:tc>
          <w:tcPr>
            <w:tcW w:w="1340" w:type="dxa"/>
            <w:vAlign w:val="bottom"/>
            <w:gridSpan w:val="2"/>
          </w:tcPr>
          <w:p>
            <w:pPr>
              <w:jc w:val="right"/>
              <w:ind w:right="573"/>
              <w:spacing w:after="0"/>
              <w:rPr>
                <w:sz w:val="20"/>
                <w:szCs w:val="20"/>
                <w:color w:val="auto"/>
              </w:rPr>
            </w:pPr>
            <w:r>
              <w:rPr>
                <w:rFonts w:ascii="Arial" w:cs="Arial" w:eastAsia="Arial" w:hAnsi="Arial"/>
                <w:sz w:val="18"/>
                <w:szCs w:val="18"/>
                <w:color w:val="auto"/>
              </w:rPr>
              <w:t>1,332</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3,142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213,591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Privately issued residential mortgage-backed securities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383,962</w:t>
            </w:r>
          </w:p>
        </w:tc>
        <w:tc>
          <w:tcPr>
            <w:tcW w:w="134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194,794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Other debt securities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11,414</w:t>
            </w:r>
          </w:p>
        </w:tc>
        <w:tc>
          <w:tcPr>
            <w:tcW w:w="640" w:type="dxa"/>
            <w:vAlign w:val="bottom"/>
          </w:tcPr>
          <w:p>
            <w:pPr>
              <w:spacing w:after="0"/>
              <w:rPr>
                <w:sz w:val="18"/>
                <w:szCs w:val="18"/>
                <w:color w:val="auto"/>
              </w:rPr>
            </w:pPr>
          </w:p>
        </w:tc>
        <w:tc>
          <w:tcPr>
            <w:tcW w:w="1340" w:type="dxa"/>
            <w:vAlign w:val="bottom"/>
            <w:gridSpan w:val="2"/>
          </w:tcPr>
          <w:p>
            <w:pPr>
              <w:jc w:val="right"/>
              <w:ind w:right="573"/>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11,414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610,777</w:t>
            </w:r>
          </w:p>
        </w:tc>
        <w:tc>
          <w:tcPr>
            <w:tcW w:w="6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1,332</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197,936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414,173</w:t>
            </w: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Other securities</w:t>
            </w:r>
          </w:p>
        </w:tc>
        <w:tc>
          <w:tcPr>
            <w:tcW w:w="1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581,653</w:t>
            </w:r>
          </w:p>
        </w:tc>
        <w:tc>
          <w:tcPr>
            <w:tcW w:w="6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581,653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8,723,967</w:t>
            </w:r>
          </w:p>
        </w:tc>
        <w:tc>
          <w:tcPr>
            <w:tcW w:w="6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140,796</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905,933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7,958,830</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8"/>
                <w:szCs w:val="18"/>
                <w:color w:val="auto"/>
              </w:rPr>
              <w:t>December 31, 2008</w:t>
            </w:r>
          </w:p>
        </w:tc>
        <w:tc>
          <w:tcPr>
            <w:tcW w:w="1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74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available for sale:</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U.S. Treasury and federal agencies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290,893</w:t>
            </w:r>
          </w:p>
        </w:tc>
        <w:tc>
          <w:tcPr>
            <w:tcW w:w="1340" w:type="dxa"/>
            <w:vAlign w:val="bottom"/>
            <w:gridSpan w:val="2"/>
          </w:tcPr>
          <w:p>
            <w:pPr>
              <w:jc w:val="right"/>
              <w:ind w:right="573"/>
              <w:spacing w:after="0"/>
              <w:rPr>
                <w:sz w:val="20"/>
                <w:szCs w:val="20"/>
                <w:color w:val="auto"/>
              </w:rPr>
            </w:pPr>
            <w:r>
              <w:rPr>
                <w:rFonts w:ascii="Arial" w:cs="Arial" w:eastAsia="Arial" w:hAnsi="Arial"/>
                <w:sz w:val="18"/>
                <w:szCs w:val="18"/>
                <w:color w:val="auto"/>
              </w:rPr>
              <w:t>6,203</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383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296,713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70,425</w:t>
            </w:r>
          </w:p>
        </w:tc>
        <w:tc>
          <w:tcPr>
            <w:tcW w:w="134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1,641</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Government issued or guaranteed</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3,525,196</w:t>
            </w:r>
          </w:p>
        </w:tc>
        <w:tc>
          <w:tcPr>
            <w:tcW w:w="6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93,578</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5,994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3,612,780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Privately issued residential</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3,104,209</w:t>
            </w:r>
          </w:p>
        </w:tc>
        <w:tc>
          <w:tcPr>
            <w:tcW w:w="640" w:type="dxa"/>
            <w:vAlign w:val="bottom"/>
          </w:tcPr>
          <w:p>
            <w:pPr>
              <w:spacing w:after="0"/>
              <w:rPr>
                <w:sz w:val="18"/>
                <w:szCs w:val="18"/>
                <w:color w:val="auto"/>
              </w:rPr>
            </w:pPr>
          </w:p>
        </w:tc>
        <w:tc>
          <w:tcPr>
            <w:tcW w:w="1340" w:type="dxa"/>
            <w:vAlign w:val="bottom"/>
            <w:gridSpan w:val="2"/>
          </w:tcPr>
          <w:p>
            <w:pPr>
              <w:jc w:val="right"/>
              <w:ind w:right="573"/>
              <w:spacing w:after="0"/>
              <w:rPr>
                <w:sz w:val="20"/>
                <w:szCs w:val="20"/>
                <w:color w:val="auto"/>
              </w:rPr>
            </w:pPr>
            <w:r>
              <w:rPr>
                <w:rFonts w:ascii="Arial" w:cs="Arial" w:eastAsia="Arial" w:hAnsi="Arial"/>
                <w:sz w:val="18"/>
                <w:szCs w:val="18"/>
                <w:color w:val="auto"/>
              </w:rPr>
              <w:t>484</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778,139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2,326,554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Privately issued commercial</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49,231</w:t>
            </w:r>
          </w:p>
        </w:tc>
        <w:tc>
          <w:tcPr>
            <w:tcW w:w="134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8,185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18,088</w:t>
            </w:r>
          </w:p>
        </w:tc>
        <w:tc>
          <w:tcPr>
            <w:tcW w:w="1340" w:type="dxa"/>
            <w:vAlign w:val="bottom"/>
            <w:gridSpan w:val="2"/>
          </w:tcPr>
          <w:p>
            <w:pPr>
              <w:jc w:val="right"/>
              <w:ind w:right="573"/>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15,592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245,685</w:t>
            </w:r>
          </w:p>
        </w:tc>
        <w:tc>
          <w:tcPr>
            <w:tcW w:w="134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18</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77,601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Equity securities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352,908</w:t>
            </w:r>
          </w:p>
        </w:tc>
        <w:tc>
          <w:tcPr>
            <w:tcW w:w="640" w:type="dxa"/>
            <w:vAlign w:val="bottom"/>
          </w:tcPr>
          <w:p>
            <w:pPr>
              <w:spacing w:after="0"/>
              <w:rPr>
                <w:sz w:val="18"/>
                <w:szCs w:val="18"/>
                <w:color w:val="auto"/>
              </w:rPr>
            </w:pPr>
          </w:p>
        </w:tc>
        <w:tc>
          <w:tcPr>
            <w:tcW w:w="1340" w:type="dxa"/>
            <w:vAlign w:val="bottom"/>
            <w:gridSpan w:val="2"/>
          </w:tcPr>
          <w:p>
            <w:pPr>
              <w:jc w:val="right"/>
              <w:ind w:right="573"/>
              <w:spacing w:after="0"/>
              <w:rPr>
                <w:sz w:val="20"/>
                <w:szCs w:val="20"/>
                <w:color w:val="auto"/>
              </w:rPr>
            </w:pPr>
            <w:r>
              <w:rPr>
                <w:rFonts w:ascii="Arial" w:cs="Arial" w:eastAsia="Arial" w:hAnsi="Arial"/>
                <w:sz w:val="18"/>
                <w:szCs w:val="18"/>
                <w:color w:val="auto"/>
              </w:rPr>
              <w:t>581</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22,750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330,739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7,656,635</w:t>
            </w:r>
          </w:p>
        </w:tc>
        <w:tc>
          <w:tcPr>
            <w:tcW w:w="6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102,505</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908,947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6,850,193</w:t>
            </w: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color w:val="auto"/>
              </w:rPr>
              <w:t>Investment securities held to maturity:</w:t>
            </w:r>
          </w:p>
        </w:tc>
        <w:tc>
          <w:tcPr>
            <w:tcW w:w="1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63,822</w:t>
            </w:r>
          </w:p>
        </w:tc>
        <w:tc>
          <w:tcPr>
            <w:tcW w:w="134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1,715</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Privately issued residential mortgage-backed securities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411,847</w:t>
            </w:r>
          </w:p>
        </w:tc>
        <w:tc>
          <w:tcPr>
            <w:tcW w:w="1340" w:type="dxa"/>
            <w:vAlign w:val="bottom"/>
            <w:gridSpan w:val="2"/>
          </w:tcPr>
          <w:p>
            <w:pPr>
              <w:jc w:val="right"/>
              <w:ind w:right="573"/>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92,730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319,117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10,169</w:t>
            </w:r>
          </w:p>
        </w:tc>
        <w:tc>
          <w:tcPr>
            <w:tcW w:w="134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485,838</w:t>
            </w:r>
          </w:p>
        </w:tc>
        <w:tc>
          <w:tcPr>
            <w:tcW w:w="6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1,715</w:t>
            </w:r>
          </w:p>
        </w:tc>
        <w:tc>
          <w:tcPr>
            <w:tcW w:w="6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92,801</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394,752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 securities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583,176</w:t>
            </w:r>
          </w:p>
        </w:tc>
        <w:tc>
          <w:tcPr>
            <w:tcW w:w="134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583,176</w:t>
            </w: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8,725,649</w:t>
            </w:r>
          </w:p>
        </w:tc>
        <w:tc>
          <w:tcPr>
            <w:tcW w:w="6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104,220</w:t>
            </w:r>
          </w:p>
        </w:tc>
        <w:tc>
          <w:tcPr>
            <w:tcW w:w="6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1,001,748</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7,828,121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420" w:type="dxa"/>
            <w:vAlign w:val="bottom"/>
            <w:vMerge w:val="restart"/>
          </w:tcPr>
          <w:p>
            <w:pPr>
              <w:jc w:val="right"/>
              <w:ind w:right="170"/>
              <w:spacing w:after="0"/>
              <w:rPr>
                <w:sz w:val="20"/>
                <w:szCs w:val="20"/>
                <w:color w:val="auto"/>
              </w:rPr>
            </w:pPr>
            <w:r>
              <w:rPr>
                <w:rFonts w:ascii="Arial" w:cs="Arial" w:eastAsia="Arial" w:hAnsi="Arial"/>
                <w:sz w:val="18"/>
                <w:szCs w:val="18"/>
                <w:color w:val="auto"/>
              </w:rPr>
              <w:t>- 11 -</w:t>
            </w: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72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 continued</w:t>
      </w:r>
    </w:p>
    <w:p>
      <w:pPr>
        <w:spacing w:after="0" w:line="121"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Gross realized gains and losses from sales of investment securities were not significant during the three- and six-month periods ended June 30, 2009 and 2008. Effective January 1, 2009, the Company adopted FSP FAS 115-2 and FAS 124-2 “Recognition and Presentation of Other-Than-Temporary Impairments” (“FSP 115-2”). In accordance with FSP 115-2, the Company recognized $25 million and $57 million of pre-tax other-than-temporary impairment losses during the three and six months ended June 30, 2009, respectively, related primarily to certain privately issued residential mortgage-backed securities. The impairment charges were recognized in light of deterioration of housing values in the residential real estate market and a rise in delinquencies and charge-offs of underlying mortgage loans collateralizing those securities. Approximately $3 million of impairment charges recognized in the second quarter of 2009 related to two securities backed by trust preferred securities issued by financial institutions. The other-than-temporary impairment losses recognized were net of $51 million and $82 million of unrealized losses classified in accumulated other comprehensive income for the same securities for the three and six months ended June 30, 2009, respectively. The other-than-temporary impairment losses represent management’s estimate of credit losses inherent in the securities considering projected cash flows using assumptions of delinquency rates, loss severities, and other estimates of future collateral performance. Other-than-temporary impairment losses on investment securities of $6 million were recognized by the Company for the three and six months ended June 30, 2008. The effect of the adoption of FSP 115-2 on debt securities previously reported as other-than-temporarily impaired was not material and, therefore, the Company did not record a transition adjustment as of January 1, 2009. Changes in credit losses during the three and six months ended June 30, 2009 associated with debt securities for which other-than-temporary impairment losses have been previously recognized in earnings follows:</w:t>
      </w:r>
    </w:p>
    <w:p>
      <w:pPr>
        <w:sectPr>
          <w:pgSz w:w="11900" w:h="16838" w:orient="portrait"/>
          <w:cols w:equalWidth="0" w:num="1">
            <w:col w:w="11380"/>
          </w:cols>
          <w:pgMar w:left="240" w:top="41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Estimated credit losses as of March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Additions for credit losses not previously recognized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Reductions for increases in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Reductions for realized losses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Estimated credit losses as of June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Estimated credit losses as of January 1, 2009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Additions for credit losses not previously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Reductions for increases in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Reductions for realized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Estimated credit losses as of June 30, 2009</w:t>
      </w:r>
    </w:p>
    <w:p>
      <w:pPr>
        <w:spacing w:after="0" w:line="252" w:lineRule="exact"/>
        <w:rPr>
          <w:sz w:val="20"/>
          <w:szCs w:val="20"/>
          <w:color w:val="auto"/>
        </w:rPr>
      </w:pPr>
    </w:p>
    <w:p>
      <w:pPr>
        <w:jc w:val="right"/>
        <w:ind w:right="3840"/>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Debt securities</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thousands)</w:t>
      </w:r>
    </w:p>
    <w:p>
      <w:pPr>
        <w:spacing w:after="0" w:line="196" w:lineRule="exact"/>
        <w:rPr>
          <w:sz w:val="20"/>
          <w:szCs w:val="20"/>
          <w:color w:val="auto"/>
        </w:rPr>
      </w:pPr>
    </w:p>
    <w:p>
      <w:pPr>
        <w:ind w:left="260" w:hanging="259"/>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187,618</w:t>
      </w:r>
    </w:p>
    <w:p>
      <w:pPr>
        <w:spacing w:after="0" w:line="23"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24,769</w:t>
      </w:r>
    </w:p>
    <w:p>
      <w:pPr>
        <w:spacing w:after="0" w:line="9"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7"/>
          <w:szCs w:val="17"/>
          <w:color w:val="auto"/>
        </w:rPr>
        <w:t>(399)</w:t>
      </w:r>
    </w:p>
    <w:p>
      <w:pPr>
        <w:spacing w:after="0" w:line="20"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7"/>
          <w:szCs w:val="17"/>
          <w:color w:val="auto"/>
        </w:rPr>
        <w:t>(6,070)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5403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13"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u w:val="single" w:color="auto"/>
          <w:color w:val="auto"/>
        </w:rPr>
        <w:t>$</w:t>
      </w:r>
      <w:r>
        <w:rPr>
          <w:sz w:val="20"/>
          <w:szCs w:val="20"/>
          <w:color w:val="auto"/>
        </w:rPr>
        <w:tab/>
      </w:r>
      <w:r>
        <w:rPr>
          <w:rFonts w:ascii="Arial" w:cs="Arial" w:eastAsia="Arial" w:hAnsi="Arial"/>
          <w:sz w:val="16"/>
          <w:szCs w:val="16"/>
          <w:u w:val="single" w:color="auto"/>
          <w:color w:val="auto"/>
        </w:rPr>
        <w:t>205,918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31750</wp:posOffset>
            </wp:positionV>
            <wp:extent cx="5403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259" w:lineRule="exact"/>
        <w:rPr>
          <w:sz w:val="20"/>
          <w:szCs w:val="20"/>
          <w:color w:val="auto"/>
        </w:rPr>
      </w:pPr>
    </w:p>
    <w:p>
      <w:pPr>
        <w:ind w:left="260" w:hanging="259"/>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155,967</w:t>
      </w:r>
    </w:p>
    <w:p>
      <w:pPr>
        <w:spacing w:after="0" w:line="23"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56,968</w:t>
      </w:r>
    </w:p>
    <w:p>
      <w:pPr>
        <w:spacing w:after="0" w:line="9"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7"/>
          <w:szCs w:val="17"/>
          <w:color w:val="auto"/>
        </w:rPr>
        <w:t>(947)</w:t>
      </w:r>
    </w:p>
    <w:p>
      <w:pPr>
        <w:spacing w:after="0" w:line="20"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7"/>
          <w:szCs w:val="17"/>
          <w:color w:val="auto"/>
        </w:rPr>
        <w:t>(6,070)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5403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13"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u w:val="single" w:color="auto"/>
          <w:color w:val="auto"/>
        </w:rPr>
        <w:t>$</w:t>
      </w:r>
      <w:r>
        <w:rPr>
          <w:sz w:val="20"/>
          <w:szCs w:val="20"/>
          <w:color w:val="auto"/>
        </w:rPr>
        <w:tab/>
      </w:r>
      <w:r>
        <w:rPr>
          <w:rFonts w:ascii="Arial" w:cs="Arial" w:eastAsia="Arial" w:hAnsi="Arial"/>
          <w:sz w:val="16"/>
          <w:szCs w:val="16"/>
          <w:u w:val="single" w:color="auto"/>
          <w:color w:val="auto"/>
        </w:rPr>
        <w:t>205,918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31750</wp:posOffset>
            </wp:positionV>
            <wp:extent cx="5403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ectPr>
          <w:pgSz w:w="11900" w:h="16838" w:orient="portrait"/>
          <w:cols w:equalWidth="0" w:num="2">
            <w:col w:w="9740" w:space="720"/>
            <w:col w:w="920"/>
          </w:cols>
          <w:pgMar w:left="240" w:top="419" w:right="27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 continued</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 June 30, 2009, the amortized cost and estimated fair value of debt securities by contractual maturity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tcPr>
          <w:p>
            <w:pPr>
              <w:spacing w:after="0"/>
              <w:rPr>
                <w:sz w:val="20"/>
                <w:szCs w:val="20"/>
                <w:color w:val="auto"/>
              </w:rPr>
            </w:pPr>
            <w:r>
              <w:rPr>
                <w:rFonts w:ascii="Arial" w:cs="Arial" w:eastAsia="Arial" w:hAnsi="Arial"/>
                <w:sz w:val="14"/>
                <w:szCs w:val="14"/>
                <w:color w:val="auto"/>
              </w:rPr>
              <w:t>Amortized</w:t>
            </w:r>
          </w:p>
        </w:tc>
        <w:tc>
          <w:tcPr>
            <w:tcW w:w="840" w:type="dxa"/>
            <w:vAlign w:val="bottom"/>
            <w:gridSpan w:val="2"/>
          </w:tcPr>
          <w:p>
            <w:pPr>
              <w:ind w:left="20"/>
              <w:spacing w:after="0"/>
              <w:rPr>
                <w:sz w:val="20"/>
                <w:szCs w:val="20"/>
                <w:color w:val="auto"/>
              </w:rPr>
            </w:pPr>
            <w:r>
              <w:rPr>
                <w:rFonts w:ascii="Arial" w:cs="Arial" w:eastAsia="Arial" w:hAnsi="Arial"/>
                <w:sz w:val="14"/>
                <w:szCs w:val="14"/>
                <w:color w:val="auto"/>
              </w:rPr>
              <w:t>Estimated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cost</w:t>
            </w:r>
          </w:p>
        </w:tc>
        <w:tc>
          <w:tcPr>
            <w:tcW w:w="66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w w:val="98"/>
              </w:rPr>
              <w:t>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4"/>
          </w:tcPr>
          <w:p>
            <w:pPr>
              <w:ind w:left="660"/>
              <w:spacing w:after="0" w:line="142" w:lineRule="exact"/>
              <w:rPr>
                <w:sz w:val="20"/>
                <w:szCs w:val="20"/>
                <w:color w:val="auto"/>
              </w:rPr>
            </w:pPr>
            <w:r>
              <w:rPr>
                <w:rFonts w:ascii="Arial" w:cs="Arial" w:eastAsia="Arial" w:hAnsi="Arial"/>
                <w:sz w:val="14"/>
                <w:szCs w:val="14"/>
                <w:color w:val="auto"/>
                <w:w w:val="92"/>
              </w:rPr>
              <w:t>(in thousands)</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available for sale: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172,131</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173,365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five years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67,468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35,466</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36,361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Due after ten years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412,887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327,096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687,952</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606,332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 available for sale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6,604,038</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6,132,241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7,291,990</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6,738,573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 to maturity: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45,673</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46,038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five years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7,499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97,999</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96,943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Due after ten years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75,644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226,815</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 held to maturity</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383,962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189,168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610,777</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414,173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215"/>
        <w:spacing w:after="0" w:line="277" w:lineRule="auto"/>
        <w:rPr>
          <w:sz w:val="20"/>
          <w:szCs w:val="20"/>
          <w:color w:val="auto"/>
        </w:rPr>
      </w:pPr>
      <w:r>
        <w:rPr>
          <w:rFonts w:ascii="Arial" w:cs="Arial" w:eastAsia="Arial" w:hAnsi="Arial"/>
          <w:sz w:val="18"/>
          <w:szCs w:val="18"/>
          <w:color w:val="auto"/>
        </w:rPr>
        <w:t>A summary of investment securities that as of June 30, 2009 and December 31, 2008 had been in a continuous unrealized loss position for less than twelve months and those that had been in a continuous unrealized loss position for twelve months or longer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00" w:type="dxa"/>
            <w:vAlign w:val="bottom"/>
            <w:gridSpan w:val="5"/>
          </w:tcPr>
          <w:p>
            <w:pPr>
              <w:ind w:left="420"/>
              <w:spacing w:after="0"/>
              <w:rPr>
                <w:sz w:val="20"/>
                <w:szCs w:val="20"/>
                <w:color w:val="auto"/>
              </w:rPr>
            </w:pPr>
            <w:r>
              <w:rPr>
                <w:rFonts w:ascii="Arial" w:cs="Arial" w:eastAsia="Arial" w:hAnsi="Arial"/>
                <w:sz w:val="14"/>
                <w:szCs w:val="14"/>
                <w:color w:val="auto"/>
              </w:rPr>
              <w:t>Less than 12 months</w:t>
            </w:r>
          </w:p>
        </w:tc>
        <w:tc>
          <w:tcPr>
            <w:tcW w:w="2240" w:type="dxa"/>
            <w:vAlign w:val="bottom"/>
            <w:gridSpan w:val="4"/>
          </w:tcPr>
          <w:p>
            <w:pPr>
              <w:jc w:val="right"/>
              <w:ind w:right="680"/>
              <w:spacing w:after="0"/>
              <w:rPr>
                <w:sz w:val="20"/>
                <w:szCs w:val="20"/>
                <w:color w:val="auto"/>
              </w:rPr>
            </w:pPr>
            <w:r>
              <w:rPr>
                <w:rFonts w:ascii="Arial" w:cs="Arial" w:eastAsia="Arial" w:hAnsi="Arial"/>
                <w:sz w:val="14"/>
                <w:szCs w:val="14"/>
                <w:color w:val="auto"/>
              </w:rPr>
              <w:t>12 months or more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Unrealized</w:t>
            </w:r>
          </w:p>
        </w:tc>
        <w:tc>
          <w:tcPr>
            <w:tcW w:w="6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8"/>
              </w:rPr>
              <w:t>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w w:val="94"/>
              </w:rPr>
              <w:t>Fair value</w:t>
            </w:r>
          </w:p>
        </w:tc>
        <w:tc>
          <w:tcPr>
            <w:tcW w:w="640" w:type="dxa"/>
            <w:vAlign w:val="bottom"/>
          </w:tcPr>
          <w:p>
            <w:pPr>
              <w:spacing w:after="0"/>
              <w:rPr>
                <w:sz w:val="14"/>
                <w:szCs w:val="14"/>
                <w:color w:val="auto"/>
              </w:rPr>
            </w:pPr>
          </w:p>
        </w:tc>
        <w:tc>
          <w:tcPr>
            <w:tcW w:w="7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losses</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94"/>
              </w:rPr>
              <w:t>Fair value</w:t>
            </w:r>
          </w:p>
        </w:tc>
        <w:tc>
          <w:tcPr>
            <w:tcW w:w="660" w:type="dxa"/>
            <w:vAlign w:val="bottom"/>
          </w:tcPr>
          <w:p>
            <w:pPr>
              <w:spacing w:after="0"/>
              <w:rPr>
                <w:sz w:val="14"/>
                <w:szCs w:val="14"/>
                <w:color w:val="auto"/>
              </w:rPr>
            </w:pPr>
          </w:p>
        </w:tc>
        <w:tc>
          <w:tcPr>
            <w:tcW w:w="7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losses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20" w:type="dxa"/>
            <w:vAlign w:val="bottom"/>
            <w:gridSpan w:val="3"/>
          </w:tcPr>
          <w:p>
            <w:pPr>
              <w:ind w:left="680"/>
              <w:spacing w:after="0" w:line="142" w:lineRule="exact"/>
              <w:rPr>
                <w:sz w:val="20"/>
                <w:szCs w:val="20"/>
                <w:color w:val="auto"/>
              </w:rPr>
            </w:pPr>
            <w:r>
              <w:rPr>
                <w:rFonts w:ascii="Arial" w:cs="Arial" w:eastAsia="Arial" w:hAnsi="Arial"/>
                <w:sz w:val="14"/>
                <w:szCs w:val="14"/>
                <w:color w:val="auto"/>
                <w:w w:val="92"/>
              </w:rPr>
              <w:t>(in thousands)</w:t>
            </w: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June 30, 2009</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U.S. Treasury and federal agencies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7,866</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157,972</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(3,110)</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5,942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Government issued or guaranteed</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534,525</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(2,711)</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49,608</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Privately issued residential</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361,683</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(198,656)</w:t>
            </w:r>
          </w:p>
        </w:tc>
        <w:tc>
          <w:tcPr>
            <w:tcW w:w="1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w w:val="87"/>
              </w:rPr>
              <w:t>2,007,735</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(568,090)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Privately issued commercial</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23,018</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12,641</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(1,992)</w:t>
            </w:r>
          </w:p>
        </w:tc>
        <w:tc>
          <w:tcPr>
            <w:tcW w:w="1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6,286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30,337</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(3,568)</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126,184</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Equity securities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24,795</w:t>
            </w:r>
          </w:p>
        </w:tc>
        <w:tc>
          <w:tcPr>
            <w:tcW w:w="64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(18,955)</w:t>
            </w:r>
          </w:p>
        </w:tc>
        <w:tc>
          <w:tcPr>
            <w:tcW w:w="1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11</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1,129,819</w:t>
            </w:r>
          </w:p>
        </w:tc>
        <w:tc>
          <w:tcPr>
            <w:tcW w:w="6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(229,050)</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2,218,784</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(676,883)</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December 31, 2008</w:t>
            </w: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40" w:type="dxa"/>
            <w:vAlign w:val="bottom"/>
            <w:gridSpan w:val="2"/>
            <w:vMerge w:val="continue"/>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6,660</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26,456</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2,182</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Government issued or guaranteed</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392,780</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(4,962)</w:t>
            </w:r>
          </w:p>
        </w:tc>
        <w:tc>
          <w:tcPr>
            <w:tcW w:w="1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175,943</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Privately issued residential</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2,173,593</w:t>
            </w:r>
          </w:p>
        </w:tc>
        <w:tc>
          <w:tcPr>
            <w:tcW w:w="6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(629,321)</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460,355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Privately issued commercial</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41,046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(2,221)</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1,520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debt securities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102,882</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(15,563)</w:t>
            </w:r>
          </w:p>
        </w:tc>
        <w:tc>
          <w:tcPr>
            <w:tcW w:w="1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60,902</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37,905</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(22,720)</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7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2,740,276</w:t>
            </w:r>
          </w:p>
        </w:tc>
        <w:tc>
          <w:tcPr>
            <w:tcW w:w="6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(675,485)</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741,957</w:t>
            </w:r>
          </w:p>
        </w:tc>
        <w:tc>
          <w:tcPr>
            <w:tcW w:w="6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(326,263)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740" w:type="dxa"/>
            <w:vAlign w:val="bottom"/>
            <w:vMerge w:val="restart"/>
          </w:tcPr>
          <w:p>
            <w:pPr>
              <w:jc w:val="right"/>
              <w:ind w:right="190"/>
              <w:spacing w:after="0"/>
              <w:rPr>
                <w:sz w:val="20"/>
                <w:szCs w:val="20"/>
                <w:color w:val="auto"/>
              </w:rPr>
            </w:pPr>
            <w:r>
              <w:rPr>
                <w:rFonts w:ascii="Arial" w:cs="Arial" w:eastAsia="Arial" w:hAnsi="Arial"/>
                <w:sz w:val="18"/>
                <w:szCs w:val="18"/>
                <w:color w:val="auto"/>
              </w:rPr>
              <w:t>- 13 -</w:t>
            </w: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 continued</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owned 1,060 individual investment securities with aggregate gross unrealized losses of $906 million at June 30, 2009.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$767 million of the unrealized losses pertain to privately issued residential mortgage-backed securities with a cost basis of $3.1 billion. The Company also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had $95 million of unrealized losses on trust preferred securities issued by financial institutions and securities backed by trust preferred securities issued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financial institutions and other entities having a cost basis of $264 million. Based on a review of each of the securities in the investment securities portfolio 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June 30, 2009, with the exception of the aforementioned securities for which other-than-temporary impairment losses were recognized, the Company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concluded that it expected to recover the amortized cost basis of its investment. As of June 30, 2009, the Company does not intend to sell nor is it anticipated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that it would be required to sell any of its impaired investment securities. At June 30, 2009, the Company has not identified events or changes 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circumstances which may have a significant adverse effect on the fair value of the $582 million of cost method investment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Borrowings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had $1.2 billion of fixed and floating rate junior subordinated deferrable interest debentures (“Junior Subordinated Debentures”) outstanding at June 30, 2009 which are held by various trusts that were issued in connection with the issuance by those trusts of preferred capital securities (“Capital Securities”) and common securities (“Common Securities”). The proceeds from the issuances of the Capital Securities and the Common Securities were used by the trusts to purchase the Junior Subordinated Debentures. The Common Securities of each of those trusts are wholly owned by M&amp;T and are the only class of each trust’s securities possessing general voting powers. The Capital Securities represent preferred undivided interests in the assets of the corresponding trust. Under the Federal Reserve Board’s current risk-based capital guidelines, the Capital Securities are includable in M&amp;T’s Tier 1 capital. As a result of the acquisition of Provident, M&amp;T assumed $133 million of Junior Subordinated Debentures that mature at various dates from 2028 to 2033.</w:t>
      </w:r>
    </w:p>
    <w:p>
      <w:pPr>
        <w:spacing w:after="0" w:line="59" w:lineRule="exact"/>
        <w:rPr>
          <w:sz w:val="20"/>
          <w:szCs w:val="20"/>
          <w:color w:val="auto"/>
        </w:rPr>
      </w:pPr>
    </w:p>
    <w:p>
      <w:pPr>
        <w:ind w:right="40" w:firstLine="225"/>
        <w:spacing w:after="0" w:line="288" w:lineRule="auto"/>
        <w:rPr>
          <w:sz w:val="20"/>
          <w:szCs w:val="20"/>
          <w:color w:val="auto"/>
        </w:rPr>
      </w:pPr>
      <w:r>
        <w:rPr>
          <w:rFonts w:ascii="Arial" w:cs="Arial" w:eastAsia="Arial" w:hAnsi="Arial"/>
          <w:sz w:val="16"/>
          <w:szCs w:val="16"/>
          <w:color w:val="auto"/>
        </w:rPr>
        <w:t>Holders of the Capital Securities receive preferential cumulative cash distributions unless M&amp;T exercises its right to extend the payment of interest on the Junior Subordinated Debentures as allowed by the terms of each such debenture, in which case payment of distributions on the respective Capital Securities will be deferred for comparable periods. During an extended interest period, M&amp;T may not pay dividends or distributions on, or repurchase, redeem or acquire any shares of its capital stock. In the event of an extended interest period exceeding twenty quarterly periods for $350 million of Junior Subordinated Debentures due January 31, 2068, M&amp;T must fund the payment of accrued and unpaid interest through an alternative payment mechanism, which requires M&amp;T to issue common stock, non-cumulative perpetual preferred stock or warrants to purchase common stock until M&amp;T has raised an amount of eligible proceeds at least equal to the aggregate amount of accrued and unpaid deferred interest on the Junior Subordinated Debentures due January 31, 2068. In general,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Borrowings, continued</w:t>
      </w:r>
    </w:p>
    <w:p>
      <w:pPr>
        <w:spacing w:after="0" w:line="121" w:lineRule="exact"/>
        <w:rPr>
          <w:sz w:val="20"/>
          <w:szCs w:val="20"/>
          <w:color w:val="auto"/>
        </w:rPr>
      </w:pPr>
    </w:p>
    <w:p>
      <w:pPr>
        <w:ind w:firstLine="222"/>
        <w:spacing w:after="0" w:line="287" w:lineRule="auto"/>
        <w:rPr>
          <w:sz w:val="20"/>
          <w:szCs w:val="20"/>
          <w:color w:val="auto"/>
        </w:rPr>
      </w:pPr>
      <w:r>
        <w:rPr>
          <w:rFonts w:ascii="Arial" w:cs="Arial" w:eastAsia="Arial" w:hAnsi="Arial"/>
          <w:sz w:val="16"/>
          <w:szCs w:val="16"/>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(ranging from 2027 to 2068) of the Junior Subordinated Debentures or the earlier redemption of the Junior Subordinated Debentures in whole upon the occurrence of one or more events set forth in the indentures relating to the Capital Securities, and in whole or in part at any time after an optional redemption prior to contractual maturity contemporaneously with the optional redemption of the related Junior Subordinated Debentures in whole or in part, subject to possible regulatory approval. In connection with the issuance of 8.50% Enhanced Trust Preferred Securities associated with $350 million of Junior Subordinated Debentures maturing in 2068, M&amp;T entered into a replacement capital covenant that provides that neither M&amp;T nor any of its subsidiaries will repay, redeem or purchase any of the Junior Subordinated Debentures due January 31, 2068 or the 8.50% Enhanced Trust Preferred Securities prior to January 31, 2048, with certain limited exceptions, except to the extent that, during the 180 days prior to the date of that repayment, redemption or purchase, M&amp;T and its subsidiaries have received proceeds from the sale of qualifying securities that (i) have equity-like characteristics that are the same as, or more equity-like than, the applicable characteristics of the 8.50% Enhanced Trust Preferred Securities or the Junior Subordinated Debentures due January 31, 2068, as applicable, at the time of repayment, redemption or purchase, and (ii) M&amp;T has obtained the prior approval of the Federal Reserve Board, if required.</w:t>
      </w:r>
    </w:p>
    <w:p>
      <w:pPr>
        <w:spacing w:after="0" w:line="6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On June 30, 2009, M&amp;T retired $12 million of Junior Subordinated Debentures for which Provident had been the owner of the related Capital Securities.</w:t>
      </w:r>
    </w:p>
    <w:p>
      <w:pPr>
        <w:spacing w:after="0" w:line="140" w:lineRule="exact"/>
        <w:rPr>
          <w:sz w:val="20"/>
          <w:szCs w:val="20"/>
          <w:color w:val="auto"/>
        </w:rPr>
      </w:pPr>
    </w:p>
    <w:p>
      <w:pPr>
        <w:jc w:val="both"/>
        <w:ind w:right="20" w:firstLine="225"/>
        <w:spacing w:after="0" w:line="312" w:lineRule="auto"/>
        <w:rPr>
          <w:sz w:val="20"/>
          <w:szCs w:val="20"/>
          <w:color w:val="auto"/>
        </w:rPr>
      </w:pPr>
      <w:r>
        <w:rPr>
          <w:rFonts w:ascii="Arial" w:cs="Arial" w:eastAsia="Arial" w:hAnsi="Arial"/>
          <w:sz w:val="16"/>
          <w:szCs w:val="16"/>
          <w:color w:val="auto"/>
        </w:rPr>
        <w:t>Including the unamortized portions of purchase accounting adjustments to reflect estimated fair value at the acquisition dates of the Common Securities of various trusts and reflecting the noted cancellation of Junior Subordinated Debentures on June 30, 2009, the Junior Subordinated Debentures associated with Capital Securities had financial statement carrying values of $1.2 billion and $1.1 billion as of June 30, 2009 and December 31, 2008, respectively.</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Stockholders’ equity</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M&amp;T is authorized to issue 1,000,000 shares of preferred stock with a $1.00 par value per share. Preferred shares outstanding rank senior to common shares both as to dividends and liquidation preference, but have no general voting rights.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Issued and outstanding preferred stock of M&amp;T is presented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85"/>
              </w:rPr>
              <w:t>Shares</w:t>
            </w:r>
          </w:p>
        </w:tc>
        <w:tc>
          <w:tcPr>
            <w:tcW w:w="4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4"/>
              </w:rPr>
              <w:t>Carrying</w:t>
            </w:r>
          </w:p>
        </w:tc>
        <w:tc>
          <w:tcPr>
            <w:tcW w:w="4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8"/>
              </w:rPr>
              <w:t>Carrying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88"/>
              </w:rPr>
              <w:t>issued and</w:t>
            </w:r>
          </w:p>
        </w:tc>
        <w:tc>
          <w:tcPr>
            <w:tcW w:w="48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89"/>
              </w:rPr>
              <w:t>value</w:t>
            </w:r>
          </w:p>
        </w:tc>
        <w:tc>
          <w:tcPr>
            <w:tcW w:w="48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w w:val="95"/>
              </w:rPr>
              <w:t>value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outstanding</w:t>
            </w:r>
          </w:p>
        </w:tc>
        <w:tc>
          <w:tcPr>
            <w:tcW w:w="48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June 30, 2009</w:t>
            </w:r>
          </w:p>
        </w:tc>
        <w:tc>
          <w:tcPr>
            <w:tcW w:w="480" w:type="dxa"/>
            <w:vAlign w:val="bottom"/>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December 31, 2008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300" w:type="dxa"/>
            <w:vAlign w:val="bottom"/>
            <w:gridSpan w:val="3"/>
          </w:tcPr>
          <w:p>
            <w:pPr>
              <w:jc w:val="right"/>
              <w:ind w:right="961"/>
              <w:spacing w:after="0" w:line="142" w:lineRule="exact"/>
              <w:rPr>
                <w:sz w:val="20"/>
                <w:szCs w:val="20"/>
                <w:color w:val="auto"/>
              </w:rPr>
            </w:pPr>
            <w:r>
              <w:rPr>
                <w:rFonts w:ascii="Arial" w:cs="Arial" w:eastAsia="Arial" w:hAnsi="Arial"/>
                <w:sz w:val="14"/>
                <w:szCs w:val="14"/>
                <w:color w:val="auto"/>
              </w:rPr>
              <w:t>(dollars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Series A (a)</w:t>
            </w: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60" w:type="dxa"/>
            <w:vAlign w:val="bottom"/>
          </w:tcPr>
          <w:p>
            <w:pPr>
              <w:spacing w:after="0" w:line="201" w:lineRule="exact"/>
              <w:rPr>
                <w:sz w:val="20"/>
                <w:szCs w:val="20"/>
                <w:color w:val="auto"/>
              </w:rPr>
            </w:pPr>
            <w:r>
              <w:rPr>
                <w:rFonts w:ascii="Arial" w:cs="Arial" w:eastAsia="Arial" w:hAnsi="Arial"/>
                <w:sz w:val="18"/>
                <w:szCs w:val="18"/>
                <w:color w:val="auto"/>
              </w:rPr>
              <w:t>Fixed Rate Cumulative Perpetual Preferred Stock, Series A, $1,000 liquidation</w:t>
            </w: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60" w:type="dxa"/>
            <w:vAlign w:val="bottom"/>
          </w:tcPr>
          <w:p>
            <w:pPr>
              <w:ind w:left="200"/>
              <w:spacing w:after="0"/>
              <w:rPr>
                <w:sz w:val="20"/>
                <w:szCs w:val="20"/>
                <w:color w:val="auto"/>
              </w:rPr>
            </w:pPr>
            <w:r>
              <w:rPr>
                <w:rFonts w:ascii="Arial" w:cs="Arial" w:eastAsia="Arial" w:hAnsi="Arial"/>
                <w:sz w:val="18"/>
                <w:szCs w:val="18"/>
                <w:color w:val="auto"/>
              </w:rPr>
              <w:t>preference per share, 600,000 shares authorized</w:t>
            </w:r>
          </w:p>
        </w:tc>
        <w:tc>
          <w:tcPr>
            <w:tcW w:w="1160" w:type="dxa"/>
            <w:vAlign w:val="bottom"/>
          </w:tcPr>
          <w:p>
            <w:pPr>
              <w:jc w:val="right"/>
              <w:ind w:right="199"/>
              <w:spacing w:after="0"/>
              <w:rPr>
                <w:sz w:val="20"/>
                <w:szCs w:val="20"/>
                <w:color w:val="auto"/>
              </w:rPr>
            </w:pPr>
            <w:r>
              <w:rPr>
                <w:rFonts w:ascii="Arial" w:cs="Arial" w:eastAsia="Arial" w:hAnsi="Arial"/>
                <w:sz w:val="18"/>
                <w:szCs w:val="18"/>
                <w:color w:val="auto"/>
              </w:rPr>
              <w:t>600,000</w:t>
            </w:r>
          </w:p>
        </w:tc>
        <w:tc>
          <w:tcPr>
            <w:tcW w:w="1740" w:type="dxa"/>
            <w:vAlign w:val="bottom"/>
            <w:gridSpan w:val="2"/>
          </w:tcPr>
          <w:p>
            <w:pPr>
              <w:jc w:val="right"/>
              <w:ind w:right="268"/>
              <w:spacing w:after="0"/>
              <w:rPr>
                <w:sz w:val="20"/>
                <w:szCs w:val="20"/>
                <w:color w:val="auto"/>
              </w:rPr>
            </w:pPr>
            <w:r>
              <w:rPr>
                <w:rFonts w:ascii="Arial" w:cs="Arial" w:eastAsia="Arial" w:hAnsi="Arial"/>
                <w:sz w:val="18"/>
                <w:szCs w:val="18"/>
                <w:color w:val="auto"/>
              </w:rPr>
              <w:t>$569,693</w:t>
            </w:r>
          </w:p>
        </w:tc>
        <w:tc>
          <w:tcPr>
            <w:tcW w:w="2040" w:type="dxa"/>
            <w:vAlign w:val="bottom"/>
            <w:gridSpan w:val="2"/>
          </w:tcPr>
          <w:p>
            <w:pPr>
              <w:jc w:val="right"/>
              <w:ind w:right="401"/>
              <w:spacing w:after="0"/>
              <w:rPr>
                <w:sz w:val="20"/>
                <w:szCs w:val="20"/>
                <w:color w:val="auto"/>
              </w:rPr>
            </w:pPr>
            <w:r>
              <w:rPr>
                <w:rFonts w:ascii="Arial" w:cs="Arial" w:eastAsia="Arial" w:hAnsi="Arial"/>
                <w:sz w:val="18"/>
                <w:szCs w:val="18"/>
                <w:color w:val="auto"/>
              </w:rPr>
              <w:t>567,463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Series B (b)</w:t>
            </w: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60" w:type="dxa"/>
            <w:vAlign w:val="bottom"/>
          </w:tcPr>
          <w:p>
            <w:pPr>
              <w:spacing w:after="0" w:line="201" w:lineRule="exact"/>
              <w:rPr>
                <w:sz w:val="20"/>
                <w:szCs w:val="20"/>
                <w:color w:val="auto"/>
              </w:rPr>
            </w:pPr>
            <w:r>
              <w:rPr>
                <w:rFonts w:ascii="Arial" w:cs="Arial" w:eastAsia="Arial" w:hAnsi="Arial"/>
                <w:sz w:val="18"/>
                <w:szCs w:val="18"/>
                <w:color w:val="auto"/>
              </w:rPr>
              <w:t>Series B Mandatory Convertible Non-cumulative Preferred Stock, $1,000</w:t>
            </w: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60" w:type="dxa"/>
            <w:vAlign w:val="bottom"/>
          </w:tcPr>
          <w:p>
            <w:pPr>
              <w:ind w:left="200"/>
              <w:spacing w:after="0"/>
              <w:rPr>
                <w:sz w:val="20"/>
                <w:szCs w:val="20"/>
                <w:color w:val="auto"/>
              </w:rPr>
            </w:pPr>
            <w:r>
              <w:rPr>
                <w:rFonts w:ascii="Arial" w:cs="Arial" w:eastAsia="Arial" w:hAnsi="Arial"/>
                <w:sz w:val="18"/>
                <w:szCs w:val="18"/>
                <w:color w:val="auto"/>
              </w:rPr>
              <w:t>liquidation preference per share, 26,500 shares authorized</w:t>
            </w:r>
          </w:p>
        </w:tc>
        <w:tc>
          <w:tcPr>
            <w:tcW w:w="1160" w:type="dxa"/>
            <w:vAlign w:val="bottom"/>
          </w:tcPr>
          <w:p>
            <w:pPr>
              <w:jc w:val="right"/>
              <w:ind w:right="199"/>
              <w:spacing w:after="0"/>
              <w:rPr>
                <w:sz w:val="20"/>
                <w:szCs w:val="20"/>
                <w:color w:val="auto"/>
              </w:rPr>
            </w:pPr>
            <w:r>
              <w:rPr>
                <w:rFonts w:ascii="Arial" w:cs="Arial" w:eastAsia="Arial" w:hAnsi="Arial"/>
                <w:sz w:val="18"/>
                <w:szCs w:val="18"/>
                <w:color w:val="auto"/>
              </w:rPr>
              <w:t>26,500</w:t>
            </w:r>
          </w:p>
        </w:tc>
        <w:tc>
          <w:tcPr>
            <w:tcW w:w="1740" w:type="dxa"/>
            <w:vAlign w:val="bottom"/>
            <w:gridSpan w:val="2"/>
          </w:tcPr>
          <w:p>
            <w:pPr>
              <w:jc w:val="right"/>
              <w:ind w:right="268"/>
              <w:spacing w:after="0"/>
              <w:rPr>
                <w:sz w:val="20"/>
                <w:szCs w:val="20"/>
                <w:color w:val="auto"/>
              </w:rPr>
            </w:pPr>
            <w:r>
              <w:rPr>
                <w:rFonts w:ascii="Arial" w:cs="Arial" w:eastAsia="Arial" w:hAnsi="Arial"/>
                <w:sz w:val="18"/>
                <w:szCs w:val="18"/>
                <w:color w:val="auto"/>
              </w:rPr>
              <w:t>26,500</w:t>
            </w:r>
          </w:p>
        </w:tc>
        <w:tc>
          <w:tcPr>
            <w:tcW w:w="480" w:type="dxa"/>
            <w:vAlign w:val="bottom"/>
          </w:tcPr>
          <w:p>
            <w:pPr>
              <w:spacing w:after="0"/>
              <w:rPr>
                <w:sz w:val="20"/>
                <w:szCs w:val="20"/>
                <w:color w:val="auto"/>
              </w:rPr>
            </w:pPr>
          </w:p>
        </w:tc>
        <w:tc>
          <w:tcPr>
            <w:tcW w:w="1560" w:type="dxa"/>
            <w:vAlign w:val="bottom"/>
          </w:tcPr>
          <w:p>
            <w:pPr>
              <w:jc w:val="right"/>
              <w:ind w:right="40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Series C (a)(c)</w:t>
            </w: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60" w:type="dxa"/>
            <w:vAlign w:val="bottom"/>
          </w:tcPr>
          <w:p>
            <w:pPr>
              <w:spacing w:after="0" w:line="201" w:lineRule="exact"/>
              <w:rPr>
                <w:sz w:val="20"/>
                <w:szCs w:val="20"/>
                <w:color w:val="auto"/>
              </w:rPr>
            </w:pPr>
            <w:r>
              <w:rPr>
                <w:rFonts w:ascii="Arial" w:cs="Arial" w:eastAsia="Arial" w:hAnsi="Arial"/>
                <w:sz w:val="18"/>
                <w:szCs w:val="18"/>
                <w:color w:val="auto"/>
              </w:rPr>
              <w:t>Fixed Rate Cumulative Perpetual Preferred Stock, Series C, $1,000 liquidation</w:t>
            </w: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60" w:type="dxa"/>
            <w:vAlign w:val="bottom"/>
          </w:tcPr>
          <w:p>
            <w:pPr>
              <w:ind w:left="200"/>
              <w:spacing w:after="0"/>
              <w:rPr>
                <w:sz w:val="20"/>
                <w:szCs w:val="20"/>
                <w:color w:val="auto"/>
              </w:rPr>
            </w:pPr>
            <w:r>
              <w:rPr>
                <w:rFonts w:ascii="Arial" w:cs="Arial" w:eastAsia="Arial" w:hAnsi="Arial"/>
                <w:sz w:val="18"/>
                <w:szCs w:val="18"/>
                <w:color w:val="auto"/>
              </w:rPr>
              <w:t>preference per share, 151,500 shares authorized</w:t>
            </w:r>
          </w:p>
        </w:tc>
        <w:tc>
          <w:tcPr>
            <w:tcW w:w="1160" w:type="dxa"/>
            <w:vAlign w:val="bottom"/>
          </w:tcPr>
          <w:p>
            <w:pPr>
              <w:jc w:val="right"/>
              <w:ind w:right="199"/>
              <w:spacing w:after="0"/>
              <w:rPr>
                <w:sz w:val="20"/>
                <w:szCs w:val="20"/>
                <w:color w:val="auto"/>
              </w:rPr>
            </w:pPr>
            <w:r>
              <w:rPr>
                <w:rFonts w:ascii="Arial" w:cs="Arial" w:eastAsia="Arial" w:hAnsi="Arial"/>
                <w:sz w:val="18"/>
                <w:szCs w:val="18"/>
                <w:color w:val="auto"/>
              </w:rPr>
              <w:t>151,500</w:t>
            </w:r>
          </w:p>
        </w:tc>
        <w:tc>
          <w:tcPr>
            <w:tcW w:w="1740" w:type="dxa"/>
            <w:vAlign w:val="bottom"/>
            <w:gridSpan w:val="2"/>
          </w:tcPr>
          <w:p>
            <w:pPr>
              <w:jc w:val="right"/>
              <w:ind w:right="268"/>
              <w:spacing w:after="0"/>
              <w:rPr>
                <w:sz w:val="20"/>
                <w:szCs w:val="20"/>
                <w:color w:val="auto"/>
              </w:rPr>
            </w:pPr>
            <w:r>
              <w:rPr>
                <w:rFonts w:ascii="Arial" w:cs="Arial" w:eastAsia="Arial" w:hAnsi="Arial"/>
                <w:sz w:val="18"/>
                <w:szCs w:val="18"/>
                <w:color w:val="auto"/>
              </w:rPr>
              <w:t>129,279</w:t>
            </w:r>
          </w:p>
        </w:tc>
        <w:tc>
          <w:tcPr>
            <w:tcW w:w="480" w:type="dxa"/>
            <w:vAlign w:val="bottom"/>
          </w:tcPr>
          <w:p>
            <w:pPr>
              <w:spacing w:after="0"/>
              <w:rPr>
                <w:sz w:val="20"/>
                <w:szCs w:val="20"/>
                <w:color w:val="auto"/>
              </w:rPr>
            </w:pPr>
          </w:p>
        </w:tc>
        <w:tc>
          <w:tcPr>
            <w:tcW w:w="1560" w:type="dxa"/>
            <w:vAlign w:val="bottom"/>
          </w:tcPr>
          <w:p>
            <w:pPr>
              <w:jc w:val="right"/>
              <w:ind w:right="40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22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Shares were issued as part of the Troubled Asset Relief Program — Capital Purchase Program of the U.S. Department of Treasury (“U.S. Treasury”). Cash proceeds were allocated between the preferred stock and a ten-year warrant to purchase M&amp;T common stock (Series A — 1,218,522 shares, Series C — 407,542 shares). Dividends, if declared, will accrue and be paid quarterly at a rate of 5% per year for the first five years following the original 2008 issuance dates and thereafter at a rate of 9% per year.</w:t>
      </w:r>
    </w:p>
    <w:p>
      <w:pPr>
        <w:spacing w:after="0" w:line="38" w:lineRule="exact"/>
        <w:rPr>
          <w:rFonts w:ascii="Arial" w:cs="Arial" w:eastAsia="Arial" w:hAnsi="Arial"/>
          <w:sz w:val="18"/>
          <w:szCs w:val="18"/>
          <w:color w:val="auto"/>
        </w:rPr>
      </w:pPr>
    </w:p>
    <w:p>
      <w:pPr>
        <w:ind w:left="460" w:right="40" w:hanging="452"/>
        <w:spacing w:after="0" w:line="331"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Shares were assumed in the Provident acquisition and a new Series B Preferred Stock was designated. In the aggregate, the shares of Series B Preferred Stock will automatically convert into 433,148 shares of M&amp;T common stock on April 1, 2011, but shareholders may elect to convert their preferred shares at any time prior to that date. Series B Preferred Shares pay dividends, if declared, at a rate of 10% per year, payable quarterly in arrears.</w:t>
      </w:r>
    </w:p>
    <w:p>
      <w:pPr>
        <w:spacing w:after="0" w:line="2" w:lineRule="exact"/>
        <w:rPr>
          <w:rFonts w:ascii="Arial" w:cs="Arial" w:eastAsia="Arial" w:hAnsi="Arial"/>
          <w:sz w:val="15"/>
          <w:szCs w:val="15"/>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Shares were assumed in the Provident acquisition and a new Series C Preferred Stock was designated.</w:t>
      </w:r>
    </w:p>
    <w:p>
      <w:pPr>
        <w:spacing w:after="0" w:line="184" w:lineRule="exact"/>
        <w:rPr>
          <w:rFonts w:ascii="Arial" w:cs="Arial" w:eastAsia="Arial" w:hAnsi="Arial"/>
          <w:sz w:val="18"/>
          <w:szCs w:val="18"/>
          <w:color w:val="auto"/>
        </w:rPr>
      </w:pPr>
    </w:p>
    <w:p>
      <w:pPr>
        <w:ind w:left="5620" w:hanging="101"/>
        <w:spacing w:after="0"/>
        <w:tabs>
          <w:tab w:leader="none" w:pos="5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Pension plans and other postretirement benefits</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Company provides defined benefit pension and other postretirement benefits (including health care and life insurance benefits) to qualified retired employees. Net periodic defined benefit cost for defined benefit plans consisted of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Other</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Pension</w:t>
            </w: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jc w:val="center"/>
              <w:ind w:left="334"/>
              <w:spacing w:after="0" w:line="149" w:lineRule="exact"/>
              <w:rPr>
                <w:sz w:val="20"/>
                <w:szCs w:val="20"/>
                <w:color w:val="auto"/>
              </w:rPr>
            </w:pPr>
            <w:r>
              <w:rPr>
                <w:rFonts w:ascii="Arial" w:cs="Arial" w:eastAsia="Arial" w:hAnsi="Arial"/>
                <w:sz w:val="14"/>
                <w:szCs w:val="14"/>
                <w:color w:val="auto"/>
                <w:w w:val="93"/>
              </w:rPr>
              <w:t>postretirement</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benefits</w:t>
            </w:r>
          </w:p>
        </w:tc>
        <w:tc>
          <w:tcPr>
            <w:tcW w:w="68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color w:val="auto"/>
                <w:w w:val="89"/>
              </w:rPr>
              <w:t>benefits</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6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40" w:type="dxa"/>
            <w:vAlign w:val="bottom"/>
            <w:gridSpan w:val="6"/>
          </w:tcPr>
          <w:p>
            <w:pPr>
              <w:jc w:val="center"/>
              <w:ind w:right="880"/>
              <w:spacing w:after="0" w:line="123" w:lineRule="exact"/>
              <w:rPr>
                <w:sz w:val="20"/>
                <w:szCs w:val="20"/>
                <w:color w:val="auto"/>
              </w:rPr>
            </w:pPr>
            <w:r>
              <w:rPr>
                <w:rFonts w:ascii="Arial" w:cs="Arial" w:eastAsia="Arial" w:hAnsi="Arial"/>
                <w:sz w:val="14"/>
                <w:szCs w:val="14"/>
                <w:color w:val="auto"/>
                <w:w w:val="89"/>
              </w:rPr>
              <w:t>Three months ended June 30</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2009</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2008</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2009</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gridSpan w:val="3"/>
          </w:tcPr>
          <w:p>
            <w:pPr>
              <w:jc w:val="center"/>
              <w:ind w:left="436"/>
              <w:spacing w:after="0" w:line="142" w:lineRule="exact"/>
              <w:rPr>
                <w:sz w:val="20"/>
                <w:szCs w:val="20"/>
                <w:color w:val="auto"/>
              </w:rPr>
            </w:pPr>
            <w:r>
              <w:rPr>
                <w:rFonts w:ascii="Arial" w:cs="Arial" w:eastAsia="Arial" w:hAnsi="Arial"/>
                <w:sz w:val="14"/>
                <w:szCs w:val="14"/>
                <w:color w:val="auto"/>
                <w:w w:val="92"/>
              </w:rPr>
              <w:t>(in thousands)</w:t>
            </w: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4,738</w:t>
            </w: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4,362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11,264</w:t>
            </w:r>
          </w:p>
        </w:tc>
        <w:tc>
          <w:tcPr>
            <w:tcW w:w="68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10,508</w:t>
            </w:r>
          </w:p>
        </w:tc>
        <w:tc>
          <w:tcPr>
            <w:tcW w:w="120" w:type="dxa"/>
            <w:vAlign w:val="bottom"/>
          </w:tcPr>
          <w:p>
            <w:pPr>
              <w:spacing w:after="0"/>
              <w:rPr>
                <w:sz w:val="18"/>
                <w:szCs w:val="18"/>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747</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941</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68"/>
              <w:spacing w:after="0"/>
              <w:rPr>
                <w:sz w:val="20"/>
                <w:szCs w:val="20"/>
                <w:color w:val="auto"/>
              </w:rPr>
            </w:pPr>
            <w:r>
              <w:rPr>
                <w:rFonts w:ascii="Arial" w:cs="Arial" w:eastAsia="Arial" w:hAnsi="Arial"/>
                <w:sz w:val="18"/>
                <w:szCs w:val="18"/>
                <w:color w:val="auto"/>
                <w:w w:val="95"/>
              </w:rPr>
              <w:t>(11,576)</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(11,933)</w:t>
            </w: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right"/>
              <w:ind w:right="568"/>
              <w:spacing w:after="0"/>
              <w:rPr>
                <w:sz w:val="20"/>
                <w:szCs w:val="20"/>
                <w:color w:val="auto"/>
              </w:rPr>
            </w:pPr>
            <w:r>
              <w:rPr>
                <w:rFonts w:ascii="Arial" w:cs="Arial" w:eastAsia="Arial" w:hAnsi="Arial"/>
                <w:sz w:val="18"/>
                <w:szCs w:val="18"/>
                <w:color w:val="auto"/>
              </w:rPr>
              <w:t>(1,629)</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(1,639)</w:t>
            </w:r>
          </w:p>
        </w:tc>
        <w:tc>
          <w:tcPr>
            <w:tcW w:w="120" w:type="dxa"/>
            <w:vAlign w:val="bottom"/>
          </w:tcPr>
          <w:p>
            <w:pPr>
              <w:spacing w:after="0"/>
              <w:rPr>
                <w:sz w:val="18"/>
                <w:szCs w:val="18"/>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2,499</w:t>
            </w: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751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5,296</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2,049</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1,131</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0"/>
        </w:trPr>
        <w:tc>
          <w:tcPr>
            <w:tcW w:w="6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Other</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Pension</w:t>
            </w: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jc w:val="center"/>
              <w:ind w:left="334"/>
              <w:spacing w:after="0" w:line="149" w:lineRule="exact"/>
              <w:rPr>
                <w:sz w:val="20"/>
                <w:szCs w:val="20"/>
                <w:color w:val="auto"/>
              </w:rPr>
            </w:pPr>
            <w:r>
              <w:rPr>
                <w:rFonts w:ascii="Arial" w:cs="Arial" w:eastAsia="Arial" w:hAnsi="Arial"/>
                <w:sz w:val="14"/>
                <w:szCs w:val="14"/>
                <w:color w:val="auto"/>
                <w:w w:val="93"/>
              </w:rPr>
              <w:t>postretirement</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benefits</w:t>
            </w:r>
          </w:p>
        </w:tc>
        <w:tc>
          <w:tcPr>
            <w:tcW w:w="68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color w:val="auto"/>
                <w:w w:val="89"/>
              </w:rPr>
              <w:t>benefits</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6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40" w:type="dxa"/>
            <w:vAlign w:val="bottom"/>
            <w:gridSpan w:val="6"/>
          </w:tcPr>
          <w:p>
            <w:pPr>
              <w:jc w:val="center"/>
              <w:ind w:right="880"/>
              <w:spacing w:after="0" w:line="123" w:lineRule="exact"/>
              <w:rPr>
                <w:sz w:val="20"/>
                <w:szCs w:val="20"/>
                <w:color w:val="auto"/>
              </w:rPr>
            </w:pPr>
            <w:r>
              <w:rPr>
                <w:rFonts w:ascii="Arial" w:cs="Arial" w:eastAsia="Arial" w:hAnsi="Arial"/>
                <w:sz w:val="14"/>
                <w:szCs w:val="14"/>
                <w:color w:val="auto"/>
                <w:w w:val="91"/>
              </w:rPr>
              <w:t>Six months ended June 30</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2009</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2008</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2009</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gridSpan w:val="3"/>
          </w:tcPr>
          <w:p>
            <w:pPr>
              <w:jc w:val="center"/>
              <w:ind w:left="436"/>
              <w:spacing w:after="0" w:line="142" w:lineRule="exact"/>
              <w:rPr>
                <w:sz w:val="20"/>
                <w:szCs w:val="20"/>
                <w:color w:val="auto"/>
              </w:rPr>
            </w:pPr>
            <w:r>
              <w:rPr>
                <w:rFonts w:ascii="Arial" w:cs="Arial" w:eastAsia="Arial" w:hAnsi="Arial"/>
                <w:sz w:val="14"/>
                <w:szCs w:val="14"/>
                <w:color w:val="auto"/>
                <w:w w:val="92"/>
              </w:rPr>
              <w:t>(in thousands)</w:t>
            </w: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9,613</w:t>
            </w: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9,705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177</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right"/>
              <w:ind w:right="628"/>
              <w:spacing w:after="0"/>
              <w:rPr>
                <w:sz w:val="20"/>
                <w:szCs w:val="20"/>
                <w:color w:val="auto"/>
              </w:rPr>
            </w:pPr>
            <w:r>
              <w:rPr>
                <w:rFonts w:ascii="Arial" w:cs="Arial" w:eastAsia="Arial" w:hAnsi="Arial"/>
                <w:sz w:val="18"/>
                <w:szCs w:val="18"/>
                <w:color w:val="auto"/>
              </w:rPr>
              <w:t>22,279</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21,272</w:t>
            </w:r>
          </w:p>
        </w:tc>
        <w:tc>
          <w:tcPr>
            <w:tcW w:w="120" w:type="dxa"/>
            <w:vAlign w:val="bottom"/>
          </w:tcPr>
          <w:p>
            <w:pPr>
              <w:spacing w:after="0"/>
              <w:rPr>
                <w:sz w:val="18"/>
                <w:szCs w:val="18"/>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1,647</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2,017</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68"/>
              <w:spacing w:after="0"/>
              <w:rPr>
                <w:sz w:val="20"/>
                <w:szCs w:val="20"/>
                <w:color w:val="auto"/>
              </w:rPr>
            </w:pPr>
            <w:r>
              <w:rPr>
                <w:rFonts w:ascii="Arial" w:cs="Arial" w:eastAsia="Arial" w:hAnsi="Arial"/>
                <w:sz w:val="18"/>
                <w:szCs w:val="18"/>
                <w:color w:val="auto"/>
                <w:w w:val="95"/>
              </w:rPr>
              <w:t>(23,051)</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(23,047)</w:t>
            </w: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right"/>
              <w:ind w:right="568"/>
              <w:spacing w:after="0"/>
              <w:rPr>
                <w:sz w:val="20"/>
                <w:szCs w:val="20"/>
                <w:color w:val="auto"/>
              </w:rPr>
            </w:pPr>
            <w:r>
              <w:rPr>
                <w:rFonts w:ascii="Arial" w:cs="Arial" w:eastAsia="Arial" w:hAnsi="Arial"/>
                <w:sz w:val="18"/>
                <w:szCs w:val="18"/>
                <w:color w:val="auto"/>
              </w:rPr>
              <w:t>(3,279)</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(3,279)</w:t>
            </w:r>
          </w:p>
        </w:tc>
        <w:tc>
          <w:tcPr>
            <w:tcW w:w="120" w:type="dxa"/>
            <w:vAlign w:val="bottom"/>
          </w:tcPr>
          <w:p>
            <w:pPr>
              <w:spacing w:after="0"/>
              <w:rPr>
                <w:sz w:val="18"/>
                <w:szCs w:val="18"/>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4,849</w:t>
            </w: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1,971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10,411</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6,622</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1,935</w:t>
            </w: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2,455</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color w:val="auto"/>
        </w:rPr>
        <w:t>Expense incurred in connection with the Company’s defined contribution pension and retirement savings plans totaled $8,330,000 and $7,990,000 for the three months ended June 30, 2009 and 2008, respectively, and $19,105,000 and $18,317,000 for the six months ended June 30, 2009 and 2008, respectively. The Company is not required to make any minimum contributions to the qualified defined benefit pension plan in 2009, however, during the second quarter of 2009 the Company elected to contribute to that plan 900,000 shares of common stock of M&amp;T having a fair value of $44 million.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common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of basic earnings per share follow: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5"/>
          </w:tcPr>
          <w:p>
            <w:pPr>
              <w:jc w:val="center"/>
              <w:ind w:right="780"/>
              <w:spacing w:after="0"/>
              <w:rPr>
                <w:sz w:val="20"/>
                <w:szCs w:val="20"/>
                <w:color w:val="auto"/>
              </w:rPr>
            </w:pPr>
            <w:r>
              <w:rPr>
                <w:rFonts w:ascii="Arial" w:cs="Arial" w:eastAsia="Arial" w:hAnsi="Arial"/>
                <w:sz w:val="14"/>
                <w:szCs w:val="14"/>
                <w:color w:val="auto"/>
                <w:w w:val="91"/>
              </w:rPr>
              <w:t>Three months ended</w:t>
            </w:r>
          </w:p>
        </w:tc>
        <w:tc>
          <w:tcPr>
            <w:tcW w:w="2180" w:type="dxa"/>
            <w:vAlign w:val="bottom"/>
            <w:gridSpan w:val="5"/>
          </w:tcPr>
          <w:p>
            <w:pPr>
              <w:jc w:val="center"/>
              <w:ind w:right="100"/>
              <w:spacing w:after="0"/>
              <w:rPr>
                <w:sz w:val="20"/>
                <w:szCs w:val="20"/>
                <w:color w:val="auto"/>
              </w:rPr>
            </w:pPr>
            <w:r>
              <w:rPr>
                <w:rFonts w:ascii="Arial" w:cs="Arial" w:eastAsia="Arial" w:hAnsi="Arial"/>
                <w:sz w:val="14"/>
                <w:szCs w:val="14"/>
                <w:color w:val="auto"/>
                <w:w w:val="92"/>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gridSpan w:val="3"/>
          </w:tcPr>
          <w:p>
            <w:pPr>
              <w:jc w:val="center"/>
              <w:ind w:right="1440"/>
              <w:spacing w:after="0" w:line="149" w:lineRule="exact"/>
              <w:rPr>
                <w:sz w:val="20"/>
                <w:szCs w:val="20"/>
                <w:color w:val="auto"/>
              </w:rPr>
            </w:pPr>
            <w:r>
              <w:rPr>
                <w:rFonts w:ascii="Arial" w:cs="Arial" w:eastAsia="Arial" w:hAnsi="Arial"/>
                <w:sz w:val="14"/>
                <w:szCs w:val="14"/>
                <w:color w:val="auto"/>
                <w:w w:val="88"/>
              </w:rPr>
              <w:t>June 30</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3"/>
          </w:tcPr>
          <w:p>
            <w:pPr>
              <w:jc w:val="center"/>
              <w:ind w:right="880"/>
              <w:spacing w:after="0" w:line="149" w:lineRule="exact"/>
              <w:rPr>
                <w:sz w:val="20"/>
                <w:szCs w:val="20"/>
                <w:color w:val="auto"/>
              </w:rPr>
            </w:pPr>
            <w:r>
              <w:rPr>
                <w:rFonts w:ascii="Arial" w:cs="Arial" w:eastAsia="Arial" w:hAnsi="Arial"/>
                <w:sz w:val="14"/>
                <w:szCs w:val="14"/>
                <w:color w:val="auto"/>
                <w:w w:val="88"/>
              </w:rPr>
              <w:t>June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2009</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rPr>
              <w:t>2008</w:t>
            </w:r>
          </w:p>
        </w:tc>
        <w:tc>
          <w:tcPr>
            <w:tcW w:w="660" w:type="dxa"/>
            <w:vAlign w:val="bottom"/>
          </w:tcPr>
          <w:p>
            <w:pPr>
              <w:spacing w:after="0"/>
              <w:rPr>
                <w:sz w:val="14"/>
                <w:szCs w:val="14"/>
                <w:color w:val="auto"/>
              </w:rPr>
            </w:pPr>
          </w:p>
        </w:tc>
        <w:tc>
          <w:tcPr>
            <w:tcW w:w="7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2009</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60" w:type="dxa"/>
            <w:vAlign w:val="bottom"/>
            <w:gridSpan w:val="4"/>
          </w:tcPr>
          <w:p>
            <w:pPr>
              <w:jc w:val="right"/>
              <w:ind w:right="200"/>
              <w:spacing w:after="0" w:line="142" w:lineRule="exact"/>
              <w:rPr>
                <w:sz w:val="20"/>
                <w:szCs w:val="20"/>
                <w:color w:val="auto"/>
              </w:rPr>
            </w:pPr>
            <w:r>
              <w:rPr>
                <w:rFonts w:ascii="Arial" w:cs="Arial" w:eastAsia="Arial" w:hAnsi="Arial"/>
                <w:sz w:val="14"/>
                <w:szCs w:val="14"/>
                <w:color w:val="auto"/>
                <w:w w:val="96"/>
              </w:rPr>
              <w:t>(in thousands, except per share)</w:t>
            </w: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Income available to common stockholders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51,188</w:t>
            </w:r>
          </w:p>
        </w:tc>
        <w:tc>
          <w:tcPr>
            <w:tcW w:w="1960" w:type="dxa"/>
            <w:vAlign w:val="bottom"/>
            <w:gridSpan w:val="3"/>
          </w:tcPr>
          <w:p>
            <w:pPr>
              <w:jc w:val="right"/>
              <w:ind w:right="660"/>
              <w:spacing w:after="0"/>
              <w:rPr>
                <w:sz w:val="20"/>
                <w:szCs w:val="20"/>
                <w:color w:val="auto"/>
              </w:rPr>
            </w:pPr>
            <w:r>
              <w:rPr>
                <w:rFonts w:ascii="Arial" w:cs="Arial" w:eastAsia="Arial" w:hAnsi="Arial"/>
                <w:sz w:val="18"/>
                <w:szCs w:val="18"/>
                <w:color w:val="auto"/>
              </w:rPr>
              <w:t>160,265</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115,409</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362,461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Preferred stock dividends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(8,468)</w:t>
            </w:r>
          </w:p>
        </w:tc>
        <w:tc>
          <w:tcPr>
            <w:tcW w:w="5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(15,968)</w:t>
            </w:r>
          </w:p>
        </w:tc>
        <w:tc>
          <w:tcPr>
            <w:tcW w:w="5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600"/>
              <w:spacing w:after="0"/>
              <w:rPr>
                <w:sz w:val="20"/>
                <w:szCs w:val="20"/>
                <w:color w:val="auto"/>
              </w:rPr>
            </w:pPr>
            <w:r>
              <w:rPr>
                <w:rFonts w:ascii="Arial" w:cs="Arial" w:eastAsia="Arial" w:hAnsi="Arial"/>
                <w:sz w:val="18"/>
                <w:szCs w:val="18"/>
                <w:color w:val="auto"/>
              </w:rPr>
              <w:t>Amortization of preferred stock discount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(1,756)</w:t>
            </w:r>
          </w:p>
        </w:tc>
        <w:tc>
          <w:tcPr>
            <w:tcW w:w="58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(3,155)</w:t>
            </w:r>
          </w:p>
        </w:tc>
        <w:tc>
          <w:tcPr>
            <w:tcW w:w="5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Income attributable to unvested stock-based compensation awards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(448)</w:t>
            </w:r>
          </w:p>
        </w:tc>
        <w:tc>
          <w:tcPr>
            <w:tcW w:w="5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(1,181)</w:t>
            </w:r>
          </w:p>
        </w:tc>
        <w:tc>
          <w:tcPr>
            <w:tcW w:w="5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9"/>
        </w:trPr>
        <w:tc>
          <w:tcPr>
            <w:tcW w:w="6200" w:type="dxa"/>
            <w:vAlign w:val="bottom"/>
            <w:gridSpan w:val="2"/>
          </w:tcPr>
          <w:p>
            <w:pPr>
              <w:spacing w:after="0"/>
              <w:rPr>
                <w:sz w:val="20"/>
                <w:szCs w:val="20"/>
                <w:color w:val="auto"/>
              </w:rPr>
            </w:pPr>
            <w:r>
              <w:rPr>
                <w:rFonts w:ascii="Arial" w:cs="Arial" w:eastAsia="Arial" w:hAnsi="Arial"/>
                <w:sz w:val="18"/>
                <w:szCs w:val="18"/>
                <w:color w:val="auto"/>
              </w:rPr>
              <w:t>Net income available to common stockholders</w:t>
            </w:r>
          </w:p>
        </w:tc>
        <w:tc>
          <w:tcPr>
            <w:tcW w:w="30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40,516</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160,265</w:t>
            </w:r>
          </w:p>
        </w:tc>
        <w:tc>
          <w:tcPr>
            <w:tcW w:w="660" w:type="dxa"/>
            <w:vAlign w:val="bottom"/>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95,105</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362,461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w w:val="95"/>
              </w:rPr>
              <w:t>Common shares outstanding (including common stock issuable) and unvested</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tcPr>
          <w:p>
            <w:pPr>
              <w:ind w:left="400"/>
              <w:spacing w:after="0"/>
              <w:rPr>
                <w:sz w:val="20"/>
                <w:szCs w:val="20"/>
                <w:color w:val="auto"/>
              </w:rPr>
            </w:pPr>
            <w:r>
              <w:rPr>
                <w:rFonts w:ascii="Arial" w:cs="Arial" w:eastAsia="Arial" w:hAnsi="Arial"/>
                <w:sz w:val="18"/>
                <w:szCs w:val="18"/>
                <w:color w:val="auto"/>
              </w:rPr>
              <w:t>stock-based compensation awards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114,485</w:t>
            </w:r>
          </w:p>
        </w:tc>
        <w:tc>
          <w:tcPr>
            <w:tcW w:w="1960" w:type="dxa"/>
            <w:vAlign w:val="bottom"/>
            <w:gridSpan w:val="3"/>
          </w:tcPr>
          <w:p>
            <w:pPr>
              <w:jc w:val="right"/>
              <w:ind w:right="660"/>
              <w:spacing w:after="0"/>
              <w:rPr>
                <w:sz w:val="20"/>
                <w:szCs w:val="20"/>
                <w:color w:val="auto"/>
              </w:rPr>
            </w:pPr>
            <w:r>
              <w:rPr>
                <w:rFonts w:ascii="Arial" w:cs="Arial" w:eastAsia="Arial" w:hAnsi="Arial"/>
                <w:sz w:val="18"/>
                <w:szCs w:val="18"/>
                <w:color w:val="auto"/>
              </w:rPr>
              <w:t>110,191</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112,900</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110,104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Unvested stock-based compensation awards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(1,267)</w:t>
            </w:r>
          </w:p>
        </w:tc>
        <w:tc>
          <w:tcPr>
            <w:tcW w:w="5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(1,064)</w:t>
            </w:r>
          </w:p>
        </w:tc>
        <w:tc>
          <w:tcPr>
            <w:tcW w:w="5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Weighted-average shares outstanding</w:t>
            </w: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113,218</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110,191</w:t>
            </w:r>
          </w:p>
        </w:tc>
        <w:tc>
          <w:tcPr>
            <w:tcW w:w="660" w:type="dxa"/>
            <w:vAlign w:val="bottom"/>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111,836</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110,104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1.45</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The computations of diluted earnings per share follow:</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5"/>
          </w:tcPr>
          <w:p>
            <w:pPr>
              <w:jc w:val="center"/>
              <w:ind w:right="780"/>
              <w:spacing w:after="0"/>
              <w:rPr>
                <w:sz w:val="20"/>
                <w:szCs w:val="20"/>
                <w:color w:val="auto"/>
              </w:rPr>
            </w:pPr>
            <w:r>
              <w:rPr>
                <w:rFonts w:ascii="Arial" w:cs="Arial" w:eastAsia="Arial" w:hAnsi="Arial"/>
                <w:sz w:val="14"/>
                <w:szCs w:val="14"/>
                <w:color w:val="auto"/>
                <w:w w:val="91"/>
              </w:rPr>
              <w:t>Three months ended</w:t>
            </w:r>
          </w:p>
        </w:tc>
        <w:tc>
          <w:tcPr>
            <w:tcW w:w="2180" w:type="dxa"/>
            <w:vAlign w:val="bottom"/>
            <w:gridSpan w:val="5"/>
          </w:tcPr>
          <w:p>
            <w:pPr>
              <w:jc w:val="center"/>
              <w:ind w:right="100"/>
              <w:spacing w:after="0"/>
              <w:rPr>
                <w:sz w:val="20"/>
                <w:szCs w:val="20"/>
                <w:color w:val="auto"/>
              </w:rPr>
            </w:pPr>
            <w:r>
              <w:rPr>
                <w:rFonts w:ascii="Arial" w:cs="Arial" w:eastAsia="Arial" w:hAnsi="Arial"/>
                <w:sz w:val="14"/>
                <w:szCs w:val="14"/>
                <w:color w:val="auto"/>
                <w:w w:val="92"/>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gridSpan w:val="3"/>
          </w:tcPr>
          <w:p>
            <w:pPr>
              <w:jc w:val="center"/>
              <w:ind w:right="1440"/>
              <w:spacing w:after="0" w:line="149" w:lineRule="exact"/>
              <w:rPr>
                <w:sz w:val="20"/>
                <w:szCs w:val="20"/>
                <w:color w:val="auto"/>
              </w:rPr>
            </w:pPr>
            <w:r>
              <w:rPr>
                <w:rFonts w:ascii="Arial" w:cs="Arial" w:eastAsia="Arial" w:hAnsi="Arial"/>
                <w:sz w:val="14"/>
                <w:szCs w:val="14"/>
                <w:color w:val="auto"/>
                <w:w w:val="88"/>
              </w:rPr>
              <w:t>June 30</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3"/>
          </w:tcPr>
          <w:p>
            <w:pPr>
              <w:jc w:val="center"/>
              <w:ind w:right="880"/>
              <w:spacing w:after="0" w:line="149" w:lineRule="exact"/>
              <w:rPr>
                <w:sz w:val="20"/>
                <w:szCs w:val="20"/>
                <w:color w:val="auto"/>
              </w:rPr>
            </w:pPr>
            <w:r>
              <w:rPr>
                <w:rFonts w:ascii="Arial" w:cs="Arial" w:eastAsia="Arial" w:hAnsi="Arial"/>
                <w:sz w:val="14"/>
                <w:szCs w:val="14"/>
                <w:color w:val="auto"/>
                <w:w w:val="88"/>
              </w:rPr>
              <w:t>June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2009</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rPr>
              <w:t>2008</w:t>
            </w:r>
          </w:p>
        </w:tc>
        <w:tc>
          <w:tcPr>
            <w:tcW w:w="660" w:type="dxa"/>
            <w:vAlign w:val="bottom"/>
          </w:tcPr>
          <w:p>
            <w:pPr>
              <w:spacing w:after="0"/>
              <w:rPr>
                <w:sz w:val="14"/>
                <w:szCs w:val="14"/>
                <w:color w:val="auto"/>
              </w:rPr>
            </w:pPr>
          </w:p>
        </w:tc>
        <w:tc>
          <w:tcPr>
            <w:tcW w:w="7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2009</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60" w:type="dxa"/>
            <w:vAlign w:val="bottom"/>
            <w:gridSpan w:val="4"/>
          </w:tcPr>
          <w:p>
            <w:pPr>
              <w:jc w:val="right"/>
              <w:ind w:right="200"/>
              <w:spacing w:after="0" w:line="142" w:lineRule="exact"/>
              <w:rPr>
                <w:sz w:val="20"/>
                <w:szCs w:val="20"/>
                <w:color w:val="auto"/>
              </w:rPr>
            </w:pPr>
            <w:r>
              <w:rPr>
                <w:rFonts w:ascii="Arial" w:cs="Arial" w:eastAsia="Arial" w:hAnsi="Arial"/>
                <w:sz w:val="14"/>
                <w:szCs w:val="14"/>
                <w:color w:val="auto"/>
                <w:w w:val="96"/>
              </w:rPr>
              <w:t>(in thousands, except per share)</w:t>
            </w: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stockholders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40,516</w:t>
            </w:r>
          </w:p>
        </w:tc>
        <w:tc>
          <w:tcPr>
            <w:tcW w:w="19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160,265</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95,105</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362,461</w:t>
            </w:r>
          </w:p>
        </w:tc>
        <w:tc>
          <w:tcPr>
            <w:tcW w:w="0" w:type="dxa"/>
            <w:vAlign w:val="bottom"/>
          </w:tcPr>
          <w:p>
            <w:pPr>
              <w:spacing w:after="0"/>
              <w:rPr>
                <w:sz w:val="1"/>
                <w:szCs w:val="1"/>
                <w:color w:val="auto"/>
              </w:rPr>
            </w:pPr>
          </w:p>
        </w:tc>
      </w:tr>
      <w:tr>
        <w:trPr>
          <w:trHeight w:val="432"/>
        </w:trPr>
        <w:tc>
          <w:tcPr>
            <w:tcW w:w="6200" w:type="dxa"/>
            <w:vAlign w:val="bottom"/>
            <w:gridSpan w:val="2"/>
          </w:tcPr>
          <w:p>
            <w:pPr>
              <w:spacing w:after="0"/>
              <w:rPr>
                <w:sz w:val="20"/>
                <w:szCs w:val="20"/>
                <w:color w:val="auto"/>
              </w:rPr>
            </w:pPr>
            <w:r>
              <w:rPr>
                <w:rFonts w:ascii="Arial" w:cs="Arial" w:eastAsia="Arial" w:hAnsi="Arial"/>
                <w:sz w:val="18"/>
                <w:szCs w:val="18"/>
                <w:color w:val="auto"/>
              </w:rPr>
              <w:t>Adjusted weighted-average shares outstanding:</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1960" w:type="dxa"/>
            <w:vAlign w:val="bottom"/>
            <w:gridSpan w:val="3"/>
          </w:tcPr>
          <w:p>
            <w:pPr>
              <w:spacing w:after="0"/>
              <w:rPr>
                <w:sz w:val="18"/>
                <w:szCs w:val="18"/>
                <w:color w:val="auto"/>
              </w:rPr>
            </w:pPr>
          </w:p>
        </w:tc>
        <w:tc>
          <w:tcPr>
            <w:tcW w:w="780" w:type="dxa"/>
            <w:vAlign w:val="bottom"/>
            <w:gridSpan w:val="2"/>
          </w:tcPr>
          <w:p>
            <w:pPr>
              <w:spacing w:after="0"/>
              <w:rPr>
                <w:sz w:val="18"/>
                <w:szCs w:val="18"/>
                <w:color w:val="auto"/>
              </w:rPr>
            </w:pPr>
          </w:p>
        </w:tc>
        <w:tc>
          <w:tcPr>
            <w:tcW w:w="140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and unvested stock-based compensation awards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114,485</w:t>
            </w:r>
          </w:p>
        </w:tc>
        <w:tc>
          <w:tcPr>
            <w:tcW w:w="19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110,191</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112,900</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110,104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Less: Unvested stock-based compensation awards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(1,267)</w:t>
            </w:r>
          </w:p>
        </w:tc>
        <w:tc>
          <w:tcPr>
            <w:tcW w:w="58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(1,064)</w:t>
            </w:r>
          </w:p>
        </w:tc>
        <w:tc>
          <w:tcPr>
            <w:tcW w:w="5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Plus: Incremental shares from assumed conversion of stock-based</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compensation awards and convertible preferred stock</w:t>
            </w:r>
          </w:p>
        </w:tc>
        <w:tc>
          <w:tcPr>
            <w:tcW w:w="3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660" w:type="dxa"/>
            <w:vAlign w:val="bottom"/>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Adjusted weighted-average shares outstanding</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113,521</w:t>
            </w:r>
          </w:p>
        </w:tc>
        <w:tc>
          <w:tcPr>
            <w:tcW w:w="1960" w:type="dxa"/>
            <w:vAlign w:val="bottom"/>
            <w:gridSpan w:val="3"/>
          </w:tcPr>
          <w:p>
            <w:pPr>
              <w:jc w:val="right"/>
              <w:ind w:right="660"/>
              <w:spacing w:after="0"/>
              <w:rPr>
                <w:sz w:val="20"/>
                <w:szCs w:val="20"/>
                <w:color w:val="auto"/>
              </w:rPr>
            </w:pPr>
            <w:r>
              <w:rPr>
                <w:rFonts w:ascii="Arial" w:cs="Arial" w:eastAsia="Arial" w:hAnsi="Arial"/>
                <w:sz w:val="18"/>
                <w:szCs w:val="18"/>
                <w:color w:val="auto"/>
              </w:rPr>
              <w:t>111,227</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111,988</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111,097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gridSpan w:val="3"/>
          </w:tcPr>
          <w:p>
            <w:pPr>
              <w:spacing w:after="0"/>
              <w:rPr>
                <w:sz w:val="18"/>
                <w:szCs w:val="18"/>
                <w:color w:val="auto"/>
              </w:rPr>
            </w:pPr>
          </w:p>
        </w:tc>
        <w:tc>
          <w:tcPr>
            <w:tcW w:w="780" w:type="dxa"/>
            <w:vAlign w:val="bottom"/>
            <w:gridSpan w:val="2"/>
          </w:tcPr>
          <w:p>
            <w:pPr>
              <w:spacing w:after="0"/>
              <w:rPr>
                <w:sz w:val="18"/>
                <w:szCs w:val="18"/>
                <w:color w:val="auto"/>
              </w:rPr>
            </w:pPr>
          </w:p>
        </w:tc>
        <w:tc>
          <w:tcPr>
            <w:tcW w:w="140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1.44</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405"/>
        </w:trPr>
        <w:tc>
          <w:tcPr>
            <w:tcW w:w="6200" w:type="dxa"/>
            <w:vAlign w:val="bottom"/>
            <w:gridSpan w:val="2"/>
          </w:tcPr>
          <w:p>
            <w:pPr>
              <w:jc w:val="right"/>
              <w:ind w:right="210"/>
              <w:spacing w:after="0"/>
              <w:rPr>
                <w:sz w:val="20"/>
                <w:szCs w:val="20"/>
                <w:color w:val="auto"/>
              </w:rPr>
            </w:pPr>
            <w:r>
              <w:rPr>
                <w:rFonts w:ascii="Arial" w:cs="Arial" w:eastAsia="Arial" w:hAnsi="Arial"/>
                <w:sz w:val="18"/>
                <w:szCs w:val="18"/>
                <w:color w:val="auto"/>
              </w:rPr>
              <w:t>- 18 -</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1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common share, continued</w:t>
      </w:r>
    </w:p>
    <w:p>
      <w:pPr>
        <w:spacing w:after="0" w:line="121"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color w:val="auto"/>
        </w:rPr>
        <w:t>In June 2008, the Financial Accounting Standards Board (“FASB”) specified that, for financial statements issued for fiscal years beginning after December 15, 2008 and interim periods within those years, unvested share-based payment awards that contain nonforfeitable rights to dividends or dividend equivalents (whether paid or unpaid) are participating securities and shall be included in the computation of earnings per common share pursuant to the two-class method. In 2009, the Company issued stock-based compensation awards in the form of restricted stock and restricted stock units, which, according to the FASB, are considered participating securities. Beginning in 2009, the Company’s earnings per common share are calculated using the two-class method. The effects of the application of the two-class method to previously reported earnings per common share amounts were immaterial.</w:t>
      </w:r>
    </w:p>
    <w:p>
      <w:pPr>
        <w:spacing w:after="0" w:line="57"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Stock-based compensation awards and warrants to purchase common stock of M&amp;T representing approximately 15.0 million and 9.1 million common shares during the three-month periods ended June 30, 2009 and 2008, respectively, and 15.0 million and 8.9 million common shares during the six-month periods ended June 30, 2009 and 2008, respectively, were not included in the computations of diluted earnings per common share because the effect on those periods would have been antidilutive.</w:t>
      </w:r>
    </w:p>
    <w:p>
      <w:pPr>
        <w:spacing w:after="0" w:line="16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Comprehensive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displays the components of other comprehensive income (loss):</w:t>
      </w:r>
    </w:p>
    <w:p>
      <w:pPr>
        <w:spacing w:after="0" w:line="221" w:lineRule="exact"/>
        <w:rPr>
          <w:sz w:val="20"/>
          <w:szCs w:val="20"/>
          <w:color w:val="auto"/>
        </w:rPr>
      </w:pPr>
    </w:p>
    <w:p>
      <w:pPr>
        <w:ind w:left="8600"/>
        <w:spacing w:after="0"/>
        <w:rPr>
          <w:sz w:val="20"/>
          <w:szCs w:val="20"/>
          <w:color w:val="auto"/>
        </w:rPr>
      </w:pPr>
      <w:r>
        <w:rPr>
          <w:rFonts w:ascii="Arial" w:cs="Arial" w:eastAsia="Arial" w:hAnsi="Arial"/>
          <w:sz w:val="14"/>
          <w:szCs w:val="14"/>
          <w:color w:val="auto"/>
        </w:rPr>
        <w:t>Six months ended June 30, 2009</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7720" w:type="dxa"/>
            <w:vAlign w:val="bottom"/>
          </w:tcPr>
          <w:p>
            <w:pPr>
              <w:spacing w:after="0"/>
              <w:rPr>
                <w:sz w:val="10"/>
                <w:szCs w:val="10"/>
                <w:color w:val="auto"/>
              </w:rPr>
            </w:pPr>
          </w:p>
        </w:tc>
        <w:tc>
          <w:tcPr>
            <w:tcW w:w="1100" w:type="dxa"/>
            <w:vAlign w:val="bottom"/>
            <w:tcBorders>
              <w:top w:val="single" w:sz="8" w:color="auto"/>
            </w:tcBorders>
            <w:gridSpan w:val="2"/>
          </w:tcPr>
          <w:p>
            <w:pPr>
              <w:jc w:val="right"/>
              <w:ind w:right="400"/>
              <w:spacing w:after="0" w:line="123" w:lineRule="exact"/>
              <w:rPr>
                <w:sz w:val="20"/>
                <w:szCs w:val="20"/>
                <w:color w:val="auto"/>
              </w:rPr>
            </w:pPr>
            <w:r>
              <w:rPr>
                <w:rFonts w:ascii="Arial" w:cs="Arial" w:eastAsia="Arial" w:hAnsi="Arial"/>
                <w:sz w:val="14"/>
                <w:szCs w:val="14"/>
                <w:color w:val="auto"/>
              </w:rPr>
              <w:t>Before-tax</w:t>
            </w:r>
          </w:p>
        </w:tc>
        <w:tc>
          <w:tcPr>
            <w:tcW w:w="34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right"/>
              <w:ind w:right="820"/>
              <w:spacing w:after="0" w:line="123" w:lineRule="exact"/>
              <w:rPr>
                <w:sz w:val="20"/>
                <w:szCs w:val="20"/>
                <w:color w:val="auto"/>
              </w:rPr>
            </w:pPr>
            <w:r>
              <w:rPr>
                <w:rFonts w:ascii="Arial" w:cs="Arial" w:eastAsia="Arial" w:hAnsi="Arial"/>
                <w:sz w:val="14"/>
                <w:szCs w:val="14"/>
                <w:color w:val="auto"/>
              </w:rPr>
              <w:t>Income</w:t>
            </w: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7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amount</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color w:val="auto"/>
              </w:rPr>
              <w:t>taxes</w:t>
            </w:r>
          </w:p>
        </w:tc>
        <w:tc>
          <w:tcPr>
            <w:tcW w:w="660" w:type="dxa"/>
            <w:vAlign w:val="bottom"/>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Net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(in thousands)</w:t>
            </w: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gains(losses) on investment securities:</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740" w:type="dxa"/>
            <w:vAlign w:val="bottom"/>
            <w:gridSpan w:val="2"/>
          </w:tcPr>
          <w:p>
            <w:pPr>
              <w:spacing w:after="0"/>
              <w:rPr>
                <w:sz w:val="20"/>
                <w:szCs w:val="20"/>
                <w:color w:val="auto"/>
              </w:rPr>
            </w:pPr>
            <w:r>
              <w:rPr>
                <w:rFonts w:ascii="Arial" w:cs="Arial" w:eastAsia="Arial" w:hAnsi="Arial"/>
                <w:sz w:val="18"/>
                <w:szCs w:val="18"/>
                <w:color w:val="auto"/>
              </w:rPr>
              <w:t>Available for sale (“AFS”) investment securities with OTTI:</w:t>
            </w: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 with OTTI charges during the period</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 (138,505)</w:t>
            </w:r>
          </w:p>
        </w:tc>
        <w:tc>
          <w:tcPr>
            <w:tcW w:w="17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54,250</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Less: OTTI charges recognized in net income</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(56,968)</w:t>
            </w:r>
          </w:p>
        </w:tc>
        <w:tc>
          <w:tcPr>
            <w:tcW w:w="1760" w:type="dxa"/>
            <w:vAlign w:val="bottom"/>
            <w:gridSpan w:val="3"/>
          </w:tcPr>
          <w:p>
            <w:pPr>
              <w:jc w:val="right"/>
              <w:ind w:right="660"/>
              <w:spacing w:after="0"/>
              <w:rPr>
                <w:sz w:val="20"/>
                <w:szCs w:val="20"/>
                <w:color w:val="auto"/>
              </w:rPr>
            </w:pPr>
            <w:r>
              <w:rPr>
                <w:rFonts w:ascii="Arial" w:cs="Arial" w:eastAsia="Arial" w:hAnsi="Arial"/>
                <w:sz w:val="18"/>
                <w:szCs w:val="18"/>
                <w:color w:val="auto"/>
              </w:rPr>
              <w:t>22,292</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(34,676)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unrealized losses on investment securities with OTTI</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(81,537)</w:t>
            </w:r>
          </w:p>
        </w:tc>
        <w:tc>
          <w:tcPr>
            <w:tcW w:w="17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31,958</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(49,579)</w:t>
            </w:r>
          </w:p>
        </w:tc>
        <w:tc>
          <w:tcPr>
            <w:tcW w:w="0" w:type="dxa"/>
            <w:vAlign w:val="bottom"/>
          </w:tcPr>
          <w:p>
            <w:pPr>
              <w:spacing w:after="0"/>
              <w:rPr>
                <w:sz w:val="1"/>
                <w:szCs w:val="1"/>
                <w:color w:val="auto"/>
              </w:rPr>
            </w:pPr>
          </w:p>
        </w:tc>
      </w:tr>
      <w:tr>
        <w:trPr>
          <w:trHeight w:val="439"/>
        </w:trPr>
        <w:tc>
          <w:tcPr>
            <w:tcW w:w="7740" w:type="dxa"/>
            <w:vAlign w:val="bottom"/>
            <w:gridSpan w:val="2"/>
          </w:tcPr>
          <w:p>
            <w:pPr>
              <w:spacing w:after="0"/>
              <w:rPr>
                <w:sz w:val="20"/>
                <w:szCs w:val="20"/>
                <w:color w:val="auto"/>
              </w:rPr>
            </w:pPr>
            <w:r>
              <w:rPr>
                <w:rFonts w:ascii="Arial" w:cs="Arial" w:eastAsia="Arial" w:hAnsi="Arial"/>
                <w:sz w:val="18"/>
                <w:szCs w:val="18"/>
                <w:color w:val="auto"/>
              </w:rPr>
              <w:t>AFS investment securities - all other:</w:t>
            </w:r>
          </w:p>
        </w:tc>
        <w:tc>
          <w:tcPr>
            <w:tcW w:w="7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holding gains during period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180,862</w:t>
            </w:r>
          </w:p>
        </w:tc>
        <w:tc>
          <w:tcPr>
            <w:tcW w:w="3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(70,508)</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Less: reclassification adjustment for losses realized in net income</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(79)</w:t>
            </w:r>
          </w:p>
        </w:tc>
        <w:tc>
          <w:tcPr>
            <w:tcW w:w="1760" w:type="dxa"/>
            <w:vAlign w:val="bottom"/>
            <w:gridSpan w:val="3"/>
          </w:tcPr>
          <w:p>
            <w:pPr>
              <w:jc w:val="right"/>
              <w:ind w:right="660"/>
              <w:spacing w:after="0"/>
              <w:rPr>
                <w:sz w:val="20"/>
                <w:szCs w:val="20"/>
                <w:color w:val="auto"/>
              </w:rPr>
            </w:pPr>
            <w:r>
              <w:rPr>
                <w:rFonts w:ascii="Arial" w:cs="Arial" w:eastAsia="Arial" w:hAnsi="Arial"/>
                <w:sz w:val="18"/>
                <w:szCs w:val="18"/>
                <w:color w:val="auto"/>
              </w:rPr>
              <w:t>32</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securities with OTTI charges during the period</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(138,505)</w:t>
            </w:r>
          </w:p>
        </w:tc>
        <w:tc>
          <w:tcPr>
            <w:tcW w:w="17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54,250</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(84,255)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319,446</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(124,790)</w:t>
            </w:r>
          </w:p>
        </w:tc>
        <w:tc>
          <w:tcPr>
            <w:tcW w:w="66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194,656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unrealized holding losses to income during period on investment securities</w:t>
            </w: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previously transferred from AFS to held to maturity</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5,933</w:t>
            </w:r>
          </w:p>
        </w:tc>
        <w:tc>
          <w:tcPr>
            <w:tcW w:w="3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(1,612)</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4,321</w:t>
            </w:r>
          </w:p>
        </w:tc>
        <w:tc>
          <w:tcPr>
            <w:tcW w:w="0" w:type="dxa"/>
            <w:vAlign w:val="bottom"/>
          </w:tcPr>
          <w:p>
            <w:pPr>
              <w:spacing w:after="0"/>
              <w:rPr>
                <w:sz w:val="1"/>
                <w:szCs w:val="1"/>
                <w:color w:val="auto"/>
              </w:rPr>
            </w:pPr>
          </w:p>
        </w:tc>
      </w:tr>
      <w:tr>
        <w:trPr>
          <w:trHeight w:val="20"/>
        </w:trPr>
        <w:tc>
          <w:tcPr>
            <w:tcW w:w="774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740" w:type="dxa"/>
            <w:vAlign w:val="bottom"/>
            <w:gridSpan w:val="2"/>
          </w:tcPr>
          <w:p>
            <w:pPr>
              <w:spacing w:after="0"/>
              <w:rPr>
                <w:sz w:val="20"/>
                <w:szCs w:val="20"/>
                <w:color w:val="auto"/>
              </w:rPr>
            </w:pPr>
            <w:r>
              <w:rPr>
                <w:rFonts w:ascii="Arial" w:cs="Arial" w:eastAsia="Arial" w:hAnsi="Arial"/>
                <w:sz w:val="18"/>
                <w:szCs w:val="18"/>
                <w:color w:val="auto"/>
              </w:rPr>
              <w:t>Net unrealized gains on investment securities</w:t>
            </w:r>
          </w:p>
        </w:tc>
        <w:tc>
          <w:tcPr>
            <w:tcW w:w="760" w:type="dxa"/>
            <w:vAlign w:val="bottom"/>
          </w:tcPr>
          <w:p>
            <w:pPr>
              <w:jc w:val="right"/>
              <w:spacing w:after="0"/>
              <w:rPr>
                <w:sz w:val="20"/>
                <w:szCs w:val="20"/>
                <w:color w:val="auto"/>
              </w:rPr>
            </w:pPr>
            <w:r>
              <w:rPr>
                <w:rFonts w:ascii="Arial" w:cs="Arial" w:eastAsia="Arial" w:hAnsi="Arial"/>
                <w:sz w:val="18"/>
                <w:szCs w:val="18"/>
                <w:color w:val="auto"/>
              </w:rPr>
              <w:t>243,842</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(94,444)</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149,398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flow hedges:</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Reclassification of losses on terminated cash flow hedges to income</w:t>
            </w:r>
          </w:p>
        </w:tc>
        <w:tc>
          <w:tcPr>
            <w:tcW w:w="760" w:type="dxa"/>
            <w:vAlign w:val="bottom"/>
          </w:tcPr>
          <w:p>
            <w:pPr>
              <w:jc w:val="right"/>
              <w:spacing w:after="0"/>
              <w:rPr>
                <w:sz w:val="20"/>
                <w:szCs w:val="20"/>
                <w:color w:val="auto"/>
              </w:rPr>
            </w:pPr>
            <w:r>
              <w:rPr>
                <w:rFonts w:ascii="Arial" w:cs="Arial" w:eastAsia="Arial" w:hAnsi="Arial"/>
                <w:sz w:val="18"/>
                <w:szCs w:val="18"/>
                <w:color w:val="auto"/>
              </w:rPr>
              <w:t>9,830</w:t>
            </w:r>
          </w:p>
        </w:tc>
        <w:tc>
          <w:tcPr>
            <w:tcW w:w="340" w:type="dxa"/>
            <w:vAlign w:val="bottom"/>
          </w:tcPr>
          <w:p>
            <w:pPr>
              <w:spacing w:after="0"/>
              <w:rPr>
                <w:sz w:val="20"/>
                <w:szCs w:val="20"/>
                <w:color w:val="auto"/>
              </w:rPr>
            </w:pPr>
          </w:p>
        </w:tc>
        <w:tc>
          <w:tcPr>
            <w:tcW w:w="1760" w:type="dxa"/>
            <w:vAlign w:val="bottom"/>
            <w:gridSpan w:val="3"/>
          </w:tcPr>
          <w:p>
            <w:pPr>
              <w:jc w:val="right"/>
              <w:ind w:right="600"/>
              <w:spacing w:after="0"/>
              <w:rPr>
                <w:sz w:val="20"/>
                <w:szCs w:val="20"/>
                <w:color w:val="auto"/>
              </w:rPr>
            </w:pPr>
            <w:r>
              <w:rPr>
                <w:rFonts w:ascii="Arial" w:cs="Arial" w:eastAsia="Arial" w:hAnsi="Arial"/>
                <w:sz w:val="18"/>
                <w:szCs w:val="18"/>
                <w:color w:val="auto"/>
              </w:rPr>
              <w:t>(3,838)</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5,992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Defined benefit plans liability adjustment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3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(946)</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$ 255,353</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(99,228)</w:t>
            </w:r>
          </w:p>
        </w:tc>
        <w:tc>
          <w:tcPr>
            <w:tcW w:w="6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jc w:val="right"/>
              <w:ind w:right="1750"/>
              <w:spacing w:after="0"/>
              <w:rPr>
                <w:sz w:val="20"/>
                <w:szCs w:val="20"/>
                <w:color w:val="auto"/>
              </w:rPr>
            </w:pPr>
            <w:r>
              <w:rPr>
                <w:rFonts w:ascii="Arial" w:cs="Arial" w:eastAsia="Arial" w:hAnsi="Arial"/>
                <w:sz w:val="18"/>
                <w:szCs w:val="18"/>
                <w:color w:val="auto"/>
              </w:rPr>
              <w:t>- 20 -</w:t>
            </w: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74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7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Comprehensive income,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color w:val="auto"/>
                <w:w w:val="90"/>
              </w:rPr>
              <w:t>Six months ended June 30, 2008</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gridSpan w:val="2"/>
          </w:tcPr>
          <w:p>
            <w:pPr>
              <w:jc w:val="center"/>
              <w:ind w:right="100"/>
              <w:spacing w:after="0" w:line="123" w:lineRule="exact"/>
              <w:rPr>
                <w:sz w:val="20"/>
                <w:szCs w:val="20"/>
                <w:color w:val="auto"/>
              </w:rPr>
            </w:pPr>
            <w:r>
              <w:rPr>
                <w:rFonts w:ascii="Arial" w:cs="Arial" w:eastAsia="Arial" w:hAnsi="Arial"/>
                <w:sz w:val="14"/>
                <w:szCs w:val="14"/>
                <w:color w:val="auto"/>
                <w:w w:val="95"/>
              </w:rPr>
              <w:t>Before-tax</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2"/>
          </w:tcPr>
          <w:p>
            <w:pPr>
              <w:jc w:val="center"/>
              <w:ind w:right="680"/>
              <w:spacing w:after="0" w:line="123" w:lineRule="exact"/>
              <w:rPr>
                <w:sz w:val="20"/>
                <w:szCs w:val="20"/>
                <w:color w:val="auto"/>
              </w:rPr>
            </w:pPr>
            <w:r>
              <w:rPr>
                <w:rFonts w:ascii="Arial" w:cs="Arial" w:eastAsia="Arial" w:hAnsi="Arial"/>
                <w:sz w:val="14"/>
                <w:szCs w:val="14"/>
                <w:color w:val="auto"/>
                <w:w w:val="91"/>
              </w:rPr>
              <w:t>Income</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amount</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taxes</w:t>
            </w:r>
          </w:p>
        </w:tc>
        <w:tc>
          <w:tcPr>
            <w:tcW w:w="680" w:type="dxa"/>
            <w:vAlign w:val="bottom"/>
          </w:tcPr>
          <w:p>
            <w:pPr>
              <w:spacing w:after="0"/>
              <w:rPr>
                <w:sz w:val="14"/>
                <w:szCs w:val="14"/>
                <w:color w:val="auto"/>
              </w:rPr>
            </w:pP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Net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tcPr>
          <w:p>
            <w:pPr>
              <w:jc w:val="center"/>
              <w:ind w:left="453"/>
              <w:spacing w:after="0" w:line="142" w:lineRule="exact"/>
              <w:rPr>
                <w:sz w:val="20"/>
                <w:szCs w:val="20"/>
                <w:color w:val="auto"/>
              </w:rPr>
            </w:pPr>
            <w:r>
              <w:rPr>
                <w:rFonts w:ascii="Arial" w:cs="Arial" w:eastAsia="Arial" w:hAnsi="Arial"/>
                <w:sz w:val="14"/>
                <w:szCs w:val="14"/>
                <w:color w:val="auto"/>
                <w:w w:val="85"/>
              </w:rPr>
              <w:t>(in thousands)</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on AFS investment securities: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Unrealized holding losses during period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82"/>
              </w:rPr>
              <w:t>$ (302,903)</w:t>
            </w:r>
          </w:p>
        </w:tc>
        <w:tc>
          <w:tcPr>
            <w:tcW w:w="1980" w:type="dxa"/>
            <w:vAlign w:val="bottom"/>
            <w:gridSpan w:val="4"/>
          </w:tcPr>
          <w:p>
            <w:pPr>
              <w:jc w:val="right"/>
              <w:ind w:right="680"/>
              <w:spacing w:after="0"/>
              <w:rPr>
                <w:sz w:val="20"/>
                <w:szCs w:val="20"/>
                <w:color w:val="auto"/>
              </w:rPr>
            </w:pPr>
            <w:r>
              <w:rPr>
                <w:rFonts w:ascii="Arial" w:cs="Arial" w:eastAsia="Arial" w:hAnsi="Arial"/>
                <w:sz w:val="18"/>
                <w:szCs w:val="18"/>
                <w:color w:val="auto"/>
              </w:rPr>
              <w:t>107,664</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(195,239)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Less: reclassification adjustment for gains realized in net income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28,026</w:t>
            </w:r>
          </w:p>
        </w:tc>
        <w:tc>
          <w:tcPr>
            <w:tcW w:w="198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(10,956)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(330,929)</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118,620</w:t>
            </w:r>
          </w:p>
        </w:tc>
        <w:tc>
          <w:tcPr>
            <w:tcW w:w="6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(212,309)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Cash flow hedges: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Unrealized losses on terminated cash flow hedges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(20,225)</w:t>
            </w:r>
          </w:p>
        </w:tc>
        <w:tc>
          <w:tcPr>
            <w:tcW w:w="1980" w:type="dxa"/>
            <w:vAlign w:val="bottom"/>
            <w:gridSpan w:val="4"/>
          </w:tcPr>
          <w:p>
            <w:pPr>
              <w:jc w:val="right"/>
              <w:ind w:right="680"/>
              <w:spacing w:after="0"/>
              <w:rPr>
                <w:sz w:val="20"/>
                <w:szCs w:val="20"/>
                <w:color w:val="auto"/>
              </w:rPr>
            </w:pPr>
            <w:r>
              <w:rPr>
                <w:rFonts w:ascii="Arial" w:cs="Arial" w:eastAsia="Arial" w:hAnsi="Arial"/>
                <w:sz w:val="18"/>
                <w:szCs w:val="18"/>
                <w:color w:val="auto"/>
              </w:rPr>
              <w:t>7,887</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89"/>
              </w:rPr>
              <w:t>Reclassification of losses on terminated cash flow hedges to income</w:t>
            </w: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11,892</w:t>
            </w:r>
          </w:p>
        </w:tc>
        <w:tc>
          <w:tcPr>
            <w:tcW w:w="140" w:type="dxa"/>
            <w:vAlign w:val="bottom"/>
            <w:tcBorders>
              <w:left w:val="single" w:sz="8" w:color="CCEEFF"/>
            </w:tcBorders>
            <w:shd w:val="clear" w:color="auto" w:fill="CCEEFF"/>
          </w:tcPr>
          <w:p>
            <w:pPr>
              <w:spacing w:after="0"/>
              <w:rPr>
                <w:sz w:val="18"/>
                <w:szCs w:val="18"/>
                <w:color w:val="auto"/>
              </w:rPr>
            </w:pPr>
          </w:p>
        </w:tc>
        <w:tc>
          <w:tcPr>
            <w:tcW w:w="198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(4,641)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(8,333)</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3,246</w:t>
            </w:r>
          </w:p>
        </w:tc>
        <w:tc>
          <w:tcPr>
            <w:tcW w:w="6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Defined benefit plans liability adjustment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(1,149)</w:t>
            </w:r>
          </w:p>
        </w:tc>
        <w:tc>
          <w:tcPr>
            <w:tcW w:w="198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450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82"/>
              </w:rPr>
              <w:t>$ (340,411)</w:t>
            </w:r>
          </w:p>
        </w:tc>
        <w:tc>
          <w:tcPr>
            <w:tcW w:w="1980" w:type="dxa"/>
            <w:vAlign w:val="bottom"/>
            <w:gridSpan w:val="4"/>
          </w:tcPr>
          <w:p>
            <w:pPr>
              <w:jc w:val="right"/>
              <w:ind w:right="680"/>
              <w:spacing w:after="0"/>
              <w:rPr>
                <w:sz w:val="20"/>
                <w:szCs w:val="20"/>
                <w:color w:val="auto"/>
              </w:rPr>
            </w:pPr>
            <w:r>
              <w:rPr>
                <w:rFonts w:ascii="Arial" w:cs="Arial" w:eastAsia="Arial" w:hAnsi="Arial"/>
                <w:sz w:val="18"/>
                <w:szCs w:val="18"/>
                <w:color w:val="auto"/>
              </w:rPr>
              <w:t>122,316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(218,095)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gridSpan w:val="9"/>
            <w:vMerge w:val="restart"/>
          </w:tcPr>
          <w:p>
            <w:pPr>
              <w:ind w:left="200"/>
              <w:spacing w:after="0"/>
              <w:rPr>
                <w:sz w:val="20"/>
                <w:szCs w:val="20"/>
                <w:color w:val="auto"/>
              </w:rPr>
            </w:pPr>
            <w:r>
              <w:rPr>
                <w:rFonts w:ascii="Arial" w:cs="Arial" w:eastAsia="Arial" w:hAnsi="Arial"/>
                <w:sz w:val="18"/>
                <w:szCs w:val="18"/>
                <w:color w:val="auto"/>
                <w:w w:val="91"/>
              </w:rPr>
              <w:t>Accumulated other comprehensive income (loss), net consisted of unrealized gains (losses) as follows:</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7760" w:type="dxa"/>
            <w:vAlign w:val="bottom"/>
            <w:gridSpan w:val="9"/>
            <w:vMerge w:val="continue"/>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6"/>
            <w:vMerge w:val="restart"/>
          </w:tcPr>
          <w:p>
            <w:pPr>
              <w:jc w:val="right"/>
              <w:ind w:right="1100"/>
              <w:spacing w:after="0"/>
              <w:rPr>
                <w:sz w:val="20"/>
                <w:szCs w:val="20"/>
                <w:color w:val="auto"/>
              </w:rPr>
            </w:pPr>
            <w:r>
              <w:rPr>
                <w:rFonts w:ascii="Arial" w:cs="Arial" w:eastAsia="Arial" w:hAnsi="Arial"/>
                <w:sz w:val="14"/>
                <w:szCs w:val="14"/>
                <w:color w:val="auto"/>
              </w:rPr>
              <w:t>Investment securities</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Cash</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gridSpan w:val="2"/>
          </w:tcPr>
          <w:p>
            <w:pPr>
              <w:jc w:val="center"/>
              <w:ind w:right="720"/>
              <w:spacing w:after="0"/>
              <w:rPr>
                <w:sz w:val="20"/>
                <w:szCs w:val="20"/>
                <w:color w:val="auto"/>
              </w:rPr>
            </w:pPr>
            <w:r>
              <w:rPr>
                <w:rFonts w:ascii="Arial" w:cs="Arial" w:eastAsia="Arial" w:hAnsi="Arial"/>
                <w:sz w:val="14"/>
                <w:szCs w:val="14"/>
                <w:color w:val="auto"/>
                <w:w w:val="95"/>
              </w:rPr>
              <w:t>Defined</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60" w:type="dxa"/>
            <w:vAlign w:val="bottom"/>
            <w:gridSpan w:val="6"/>
            <w:vMerge w:val="continue"/>
          </w:tcPr>
          <w:p>
            <w:pPr>
              <w:spacing w:after="0"/>
              <w:rPr>
                <w:sz w:val="13"/>
                <w:szCs w:val="13"/>
                <w:color w:val="auto"/>
              </w:rPr>
            </w:pPr>
          </w:p>
        </w:tc>
        <w:tc>
          <w:tcPr>
            <w:tcW w:w="800" w:type="dxa"/>
            <w:vAlign w:val="bottom"/>
            <w:gridSpan w:val="2"/>
          </w:tcPr>
          <w:p>
            <w:pPr>
              <w:jc w:val="center"/>
              <w:ind w:right="140"/>
              <w:spacing w:after="0" w:line="154" w:lineRule="exact"/>
              <w:rPr>
                <w:sz w:val="20"/>
                <w:szCs w:val="20"/>
                <w:color w:val="auto"/>
              </w:rPr>
            </w:pPr>
            <w:r>
              <w:rPr>
                <w:rFonts w:ascii="Arial" w:cs="Arial" w:eastAsia="Arial" w:hAnsi="Arial"/>
                <w:sz w:val="14"/>
                <w:szCs w:val="14"/>
                <w:color w:val="auto"/>
              </w:rPr>
              <w:t>flow</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gridSpan w:val="2"/>
          </w:tcPr>
          <w:p>
            <w:pPr>
              <w:jc w:val="center"/>
              <w:ind w:right="740"/>
              <w:spacing w:after="0" w:line="154" w:lineRule="exact"/>
              <w:rPr>
                <w:sz w:val="20"/>
                <w:szCs w:val="20"/>
                <w:color w:val="auto"/>
              </w:rPr>
            </w:pPr>
            <w:r>
              <w:rPr>
                <w:rFonts w:ascii="Arial" w:cs="Arial" w:eastAsia="Arial" w:hAnsi="Arial"/>
                <w:sz w:val="14"/>
                <w:szCs w:val="14"/>
                <w:color w:val="auto"/>
                <w:w w:val="95"/>
              </w:rPr>
              <w:t>benefit</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color w:val="auto"/>
              </w:rPr>
              <w:t>With OTTI</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color w:val="auto"/>
              </w:rPr>
              <w:t>All other</w:t>
            </w:r>
          </w:p>
        </w:tc>
        <w:tc>
          <w:tcPr>
            <w:tcW w:w="660" w:type="dxa"/>
            <w:vAlign w:val="bottom"/>
          </w:tcPr>
          <w:p>
            <w:pPr>
              <w:spacing w:after="0"/>
              <w:rPr>
                <w:sz w:val="12"/>
                <w:szCs w:val="12"/>
                <w:color w:val="auto"/>
              </w:rPr>
            </w:pPr>
          </w:p>
        </w:tc>
        <w:tc>
          <w:tcPr>
            <w:tcW w:w="800" w:type="dxa"/>
            <w:vAlign w:val="bottom"/>
            <w:gridSpan w:val="2"/>
          </w:tcPr>
          <w:p>
            <w:pPr>
              <w:jc w:val="center"/>
              <w:ind w:right="120"/>
              <w:spacing w:after="0" w:line="142" w:lineRule="exact"/>
              <w:rPr>
                <w:sz w:val="20"/>
                <w:szCs w:val="20"/>
                <w:color w:val="auto"/>
              </w:rPr>
            </w:pPr>
            <w:r>
              <w:rPr>
                <w:rFonts w:ascii="Arial" w:cs="Arial" w:eastAsia="Arial" w:hAnsi="Arial"/>
                <w:sz w:val="14"/>
                <w:szCs w:val="14"/>
                <w:color w:val="auto"/>
                <w:w w:val="87"/>
              </w:rPr>
              <w:t>hedges</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2"/>
          </w:tcPr>
          <w:p>
            <w:pPr>
              <w:jc w:val="center"/>
              <w:ind w:right="720"/>
              <w:spacing w:after="0" w:line="142" w:lineRule="exact"/>
              <w:rPr>
                <w:sz w:val="20"/>
                <w:szCs w:val="20"/>
                <w:color w:val="auto"/>
              </w:rPr>
            </w:pPr>
            <w:r>
              <w:rPr>
                <w:rFonts w:ascii="Arial" w:cs="Arial" w:eastAsia="Arial" w:hAnsi="Arial"/>
                <w:sz w:val="14"/>
                <w:szCs w:val="14"/>
                <w:color w:val="auto"/>
                <w:w w:val="89"/>
              </w:rPr>
              <w:t>plans</w:t>
            </w:r>
          </w:p>
        </w:tc>
        <w:tc>
          <w:tcPr>
            <w:tcW w:w="860" w:type="dxa"/>
            <w:vAlign w:val="bottom"/>
            <w:gridSpan w:val="2"/>
          </w:tcPr>
          <w:p>
            <w:pPr>
              <w:jc w:val="right"/>
              <w:ind w:right="34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74"/>
              </w:rPr>
              <w:t>(in thousands)</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2009</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0"/>
              </w:rPr>
              <w:t>(556,668)</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(5,883)</w:t>
            </w:r>
          </w:p>
        </w:tc>
        <w:tc>
          <w:tcPr>
            <w:tcW w:w="198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(174,330)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(736,881)</w:t>
            </w:r>
          </w:p>
        </w:tc>
        <w:tc>
          <w:tcPr>
            <w:tcW w:w="0" w:type="dxa"/>
            <w:vAlign w:val="bottom"/>
          </w:tcPr>
          <w:p>
            <w:pPr>
              <w:spacing w:after="0"/>
              <w:rPr>
                <w:sz w:val="1"/>
                <w:szCs w:val="1"/>
                <w:color w:val="auto"/>
              </w:rPr>
            </w:pPr>
          </w:p>
        </w:tc>
      </w:tr>
      <w:tr>
        <w:trPr>
          <w:trHeight w:val="432"/>
        </w:trPr>
        <w:tc>
          <w:tcPr>
            <w:tcW w:w="4940" w:type="dxa"/>
            <w:vAlign w:val="bottom"/>
            <w:gridSpan w:val="2"/>
          </w:tcPr>
          <w:p>
            <w:pPr>
              <w:spacing w:after="0"/>
              <w:rPr>
                <w:sz w:val="20"/>
                <w:szCs w:val="20"/>
                <w:color w:val="auto"/>
              </w:rPr>
            </w:pPr>
            <w:r>
              <w:rPr>
                <w:rFonts w:ascii="Arial" w:cs="Arial" w:eastAsia="Arial" w:hAnsi="Arial"/>
                <w:sz w:val="18"/>
                <w:szCs w:val="18"/>
                <w:color w:val="auto"/>
              </w:rPr>
              <w:t>Net gain (loss) during period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(49,579)</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w w:val="98"/>
              </w:rPr>
              <w:t>198,977</w:t>
            </w:r>
          </w:p>
        </w:tc>
        <w:tc>
          <w:tcPr>
            <w:tcW w:w="660" w:type="dxa"/>
            <w:vAlign w:val="bottom"/>
          </w:tcPr>
          <w:p>
            <w:pPr>
              <w:jc w:val="right"/>
              <w:spacing w:after="0"/>
              <w:rPr>
                <w:sz w:val="20"/>
                <w:szCs w:val="20"/>
                <w:color w:val="auto"/>
              </w:rPr>
            </w:pPr>
            <w:r>
              <w:rPr>
                <w:rFonts w:ascii="Arial" w:cs="Arial" w:eastAsia="Arial" w:hAnsi="Arial"/>
                <w:sz w:val="18"/>
                <w:szCs w:val="18"/>
                <w:color w:val="auto"/>
              </w:rPr>
              <w:t>5,992</w:t>
            </w:r>
          </w:p>
        </w:tc>
        <w:tc>
          <w:tcPr>
            <w:tcW w:w="140" w:type="dxa"/>
            <w:vAlign w:val="bottom"/>
          </w:tcPr>
          <w:p>
            <w:pPr>
              <w:spacing w:after="0"/>
              <w:rPr>
                <w:sz w:val="24"/>
                <w:szCs w:val="24"/>
                <w:color w:val="auto"/>
              </w:rPr>
            </w:pPr>
          </w:p>
        </w:tc>
        <w:tc>
          <w:tcPr>
            <w:tcW w:w="1980" w:type="dxa"/>
            <w:vAlign w:val="bottom"/>
            <w:gridSpan w:val="4"/>
          </w:tcPr>
          <w:p>
            <w:pPr>
              <w:jc w:val="right"/>
              <w:ind w:right="680"/>
              <w:spacing w:after="0"/>
              <w:rPr>
                <w:sz w:val="20"/>
                <w:szCs w:val="20"/>
                <w:color w:val="auto"/>
              </w:rPr>
            </w:pPr>
            <w:r>
              <w:rPr>
                <w:rFonts w:ascii="Arial" w:cs="Arial" w:eastAsia="Arial" w:hAnsi="Arial"/>
                <w:sz w:val="18"/>
                <w:szCs w:val="18"/>
                <w:color w:val="auto"/>
              </w:rPr>
              <w:t>735</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156,125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Balance — June 30, 2009</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(49,579)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0"/>
              </w:rPr>
              <w:t>(357,691)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40" w:type="dxa"/>
            <w:vAlign w:val="bottom"/>
            <w:tcBorders>
              <w:left w:val="single" w:sz="8" w:color="CCEEFF"/>
            </w:tcBorders>
            <w:shd w:val="clear" w:color="auto" w:fill="CCEEFF"/>
          </w:tcPr>
          <w:p>
            <w:pPr>
              <w:spacing w:after="0"/>
              <w:rPr>
                <w:sz w:val="18"/>
                <w:szCs w:val="18"/>
                <w:color w:val="auto"/>
              </w:rPr>
            </w:pPr>
          </w:p>
        </w:tc>
        <w:tc>
          <w:tcPr>
            <w:tcW w:w="198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(173,595)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(580,756)</w:t>
            </w:r>
          </w:p>
        </w:tc>
        <w:tc>
          <w:tcPr>
            <w:tcW w:w="0" w:type="dxa"/>
            <w:vAlign w:val="bottom"/>
          </w:tcPr>
          <w:p>
            <w:pPr>
              <w:spacing w:after="0"/>
              <w:rPr>
                <w:sz w:val="1"/>
                <w:szCs w:val="1"/>
                <w:color w:val="auto"/>
              </w:rPr>
            </w:pPr>
          </w:p>
        </w:tc>
      </w:tr>
      <w:tr>
        <w:trPr>
          <w:trHeight w:val="20"/>
        </w:trPr>
        <w:tc>
          <w:tcPr>
            <w:tcW w:w="4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40" w:type="dxa"/>
            <w:vAlign w:val="bottom"/>
            <w:gridSpan w:val="2"/>
          </w:tcPr>
          <w:p>
            <w:pPr>
              <w:spacing w:after="0"/>
              <w:rPr>
                <w:sz w:val="20"/>
                <w:szCs w:val="20"/>
                <w:color w:val="auto"/>
              </w:rPr>
            </w:pPr>
            <w:r>
              <w:rPr>
                <w:rFonts w:ascii="Arial" w:cs="Arial" w:eastAsia="Arial" w:hAnsi="Arial"/>
                <w:sz w:val="18"/>
                <w:szCs w:val="18"/>
                <w:color w:val="auto"/>
              </w:rPr>
              <w:t>Balance — January 1, 2008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(59,406)</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(8,931)</w:t>
            </w:r>
          </w:p>
        </w:tc>
        <w:tc>
          <w:tcPr>
            <w:tcW w:w="1980" w:type="dxa"/>
            <w:vAlign w:val="bottom"/>
            <w:gridSpan w:val="4"/>
          </w:tcPr>
          <w:p>
            <w:pPr>
              <w:jc w:val="right"/>
              <w:ind w:right="620"/>
              <w:spacing w:after="0"/>
              <w:rPr>
                <w:sz w:val="20"/>
                <w:szCs w:val="20"/>
                <w:color w:val="auto"/>
              </w:rPr>
            </w:pPr>
            <w:r>
              <w:rPr>
                <w:rFonts w:ascii="Arial" w:cs="Arial" w:eastAsia="Arial" w:hAnsi="Arial"/>
                <w:sz w:val="18"/>
                <w:szCs w:val="18"/>
                <w:color w:val="auto"/>
              </w:rPr>
              <w:t>(46,485)</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(114,822)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40" w:type="dxa"/>
            <w:vAlign w:val="bottom"/>
            <w:gridSpan w:val="3"/>
          </w:tcPr>
          <w:p>
            <w:pPr>
              <w:spacing w:after="0"/>
              <w:rPr>
                <w:sz w:val="18"/>
                <w:szCs w:val="18"/>
                <w:color w:val="auto"/>
              </w:rPr>
            </w:pPr>
          </w:p>
        </w:tc>
        <w:tc>
          <w:tcPr>
            <w:tcW w:w="8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gain (loss) during period</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0"/>
              </w:rPr>
              <w:t>(212,309)</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(5,087)</w:t>
            </w:r>
          </w:p>
        </w:tc>
        <w:tc>
          <w:tcPr>
            <w:tcW w:w="198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(699)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(218,095)</w:t>
            </w:r>
          </w:p>
        </w:tc>
        <w:tc>
          <w:tcPr>
            <w:tcW w:w="0" w:type="dxa"/>
            <w:vAlign w:val="bottom"/>
          </w:tcPr>
          <w:p>
            <w:pPr>
              <w:spacing w:after="0"/>
              <w:rPr>
                <w:sz w:val="1"/>
                <w:szCs w:val="1"/>
                <w:color w:val="auto"/>
              </w:rPr>
            </w:pPr>
          </w:p>
        </w:tc>
      </w:tr>
      <w:tr>
        <w:trPr>
          <w:trHeight w:val="20"/>
        </w:trPr>
        <w:tc>
          <w:tcPr>
            <w:tcW w:w="4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940" w:type="dxa"/>
            <w:vAlign w:val="bottom"/>
            <w:gridSpan w:val="2"/>
          </w:tcPr>
          <w:p>
            <w:pPr>
              <w:spacing w:after="0"/>
              <w:rPr>
                <w:sz w:val="20"/>
                <w:szCs w:val="20"/>
                <w:color w:val="auto"/>
              </w:rPr>
            </w:pPr>
            <w:r>
              <w:rPr>
                <w:rFonts w:ascii="Arial" w:cs="Arial" w:eastAsia="Arial" w:hAnsi="Arial"/>
                <w:sz w:val="18"/>
                <w:szCs w:val="18"/>
                <w:color w:val="auto"/>
              </w:rPr>
              <w:t>Balance — June 30, 2008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w w:val="90"/>
              </w:rPr>
              <w:t>(271,715)</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(14,018)</w:t>
            </w:r>
          </w:p>
        </w:tc>
        <w:tc>
          <w:tcPr>
            <w:tcW w:w="1980" w:type="dxa"/>
            <w:vAlign w:val="bottom"/>
            <w:gridSpan w:val="4"/>
          </w:tcPr>
          <w:p>
            <w:pPr>
              <w:jc w:val="right"/>
              <w:ind w:right="620"/>
              <w:spacing w:after="0"/>
              <w:rPr>
                <w:sz w:val="20"/>
                <w:szCs w:val="20"/>
                <w:color w:val="auto"/>
              </w:rPr>
            </w:pPr>
            <w:r>
              <w:rPr>
                <w:rFonts w:ascii="Arial" w:cs="Arial" w:eastAsia="Arial" w:hAnsi="Arial"/>
                <w:sz w:val="18"/>
                <w:szCs w:val="18"/>
                <w:color w:val="auto"/>
              </w:rPr>
              <w:t>(47,184)</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(332,917)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- 21 -</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 financial instruments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part of managing interest rate risk, the Company enters into interest rate swap agreements to modify the repricing characteristics of certain portions of the Company’s portfolios of earning assets and interest-bearing liabilities. The Company designates interest rate swap agreements utilized in the management of interest rate risk as either fair value hedges or cash flow hedges. Interest rate swap agreements are generally entered into with counterparties that meet established credit standards and most contain master netting and collateral provisions protecting the at-risk party. Based on adherence to the Company’s credit standards and the presence of the netting and collateral provisions, the Company believes that the credit risk inherent in these contracts is not significant as of June 30, 2009.</w:t>
      </w:r>
    </w:p>
    <w:p>
      <w:pPr>
        <w:spacing w:after="0" w:line="85"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The net effect of interest rate swap agreements was to increase net interest income by $10 million and $5 million for the three months ended June 30, 2009 and 2008, respectively, and $17 million and $6 million for the six months ended June 30, 2009 and 2008, respectively. Information about interest rate swap agreements entered into for interest rate risk management purposes summarized by type of financial instrument the swap agreements were intended to hedge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3"/>
              </w:rPr>
              <w:t>Weighted-</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jc w:val="center"/>
              <w:ind w:right="760"/>
              <w:spacing w:after="0"/>
              <w:rPr>
                <w:sz w:val="20"/>
                <w:szCs w:val="20"/>
                <w:color w:val="auto"/>
              </w:rPr>
            </w:pPr>
            <w:r>
              <w:rPr>
                <w:rFonts w:ascii="Arial" w:cs="Arial" w:eastAsia="Arial" w:hAnsi="Arial"/>
                <w:sz w:val="14"/>
                <w:szCs w:val="14"/>
                <w:color w:val="auto"/>
              </w:rPr>
              <w:t>Notional</w:t>
            </w:r>
          </w:p>
        </w:tc>
        <w:tc>
          <w:tcPr>
            <w:tcW w:w="1340" w:type="dxa"/>
            <w:vAlign w:val="bottom"/>
            <w:gridSpan w:val="2"/>
          </w:tcPr>
          <w:p>
            <w:pPr>
              <w:jc w:val="center"/>
              <w:ind w:right="660"/>
              <w:spacing w:after="0"/>
              <w:rPr>
                <w:sz w:val="20"/>
                <w:szCs w:val="20"/>
                <w:color w:val="auto"/>
              </w:rPr>
            </w:pPr>
            <w:r>
              <w:rPr>
                <w:rFonts w:ascii="Arial" w:cs="Arial" w:eastAsia="Arial" w:hAnsi="Arial"/>
                <w:sz w:val="14"/>
                <w:szCs w:val="14"/>
                <w:color w:val="auto"/>
                <w:w w:val="91"/>
              </w:rPr>
              <w:t>Average</w:t>
            </w:r>
          </w:p>
        </w:tc>
        <w:tc>
          <w:tcPr>
            <w:tcW w:w="6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average rate</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3"/>
          </w:tcPr>
          <w:p>
            <w:pPr>
              <w:jc w:val="center"/>
              <w:ind w:right="760"/>
              <w:spacing w:after="0" w:line="142" w:lineRule="exact"/>
              <w:rPr>
                <w:sz w:val="20"/>
                <w:szCs w:val="20"/>
                <w:color w:val="auto"/>
              </w:rPr>
            </w:pPr>
            <w:r>
              <w:rPr>
                <w:rFonts w:ascii="Arial" w:cs="Arial" w:eastAsia="Arial" w:hAnsi="Arial"/>
                <w:sz w:val="14"/>
                <w:szCs w:val="14"/>
                <w:color w:val="auto"/>
                <w:w w:val="94"/>
              </w:rPr>
              <w:t>amount</w:t>
            </w:r>
          </w:p>
        </w:tc>
        <w:tc>
          <w:tcPr>
            <w:tcW w:w="1340" w:type="dxa"/>
            <w:vAlign w:val="bottom"/>
            <w:gridSpan w:val="2"/>
          </w:tcPr>
          <w:p>
            <w:pPr>
              <w:jc w:val="center"/>
              <w:ind w:right="660"/>
              <w:spacing w:after="0" w:line="142" w:lineRule="exact"/>
              <w:rPr>
                <w:sz w:val="20"/>
                <w:szCs w:val="20"/>
                <w:color w:val="auto"/>
              </w:rPr>
            </w:pPr>
            <w:r>
              <w:rPr>
                <w:rFonts w:ascii="Arial" w:cs="Arial" w:eastAsia="Arial" w:hAnsi="Arial"/>
                <w:sz w:val="14"/>
                <w:szCs w:val="14"/>
                <w:color w:val="auto"/>
                <w:w w:val="96"/>
              </w:rPr>
              <w:t>maturity</w:t>
            </w:r>
          </w:p>
        </w:tc>
        <w:tc>
          <w:tcPr>
            <w:tcW w:w="1400" w:type="dxa"/>
            <w:vAlign w:val="bottom"/>
            <w:gridSpan w:val="2"/>
          </w:tcPr>
          <w:p>
            <w:pPr>
              <w:ind w:left="180"/>
              <w:spacing w:after="0" w:line="142" w:lineRule="exact"/>
              <w:rPr>
                <w:sz w:val="20"/>
                <w:szCs w:val="20"/>
                <w:color w:val="auto"/>
              </w:rPr>
            </w:pPr>
            <w:r>
              <w:rPr>
                <w:rFonts w:ascii="Arial" w:cs="Arial" w:eastAsia="Arial" w:hAnsi="Arial"/>
                <w:sz w:val="14"/>
                <w:szCs w:val="14"/>
                <w:color w:val="auto"/>
              </w:rPr>
              <w:t>Fixed</w:t>
            </w:r>
          </w:p>
        </w:tc>
        <w:tc>
          <w:tcPr>
            <w:tcW w:w="680" w:type="dxa"/>
            <w:vAlign w:val="bottom"/>
          </w:tcPr>
          <w:p>
            <w:pPr>
              <w:ind w:left="100"/>
              <w:spacing w:after="0" w:line="142" w:lineRule="exact"/>
              <w:rPr>
                <w:sz w:val="20"/>
                <w:szCs w:val="20"/>
                <w:color w:val="auto"/>
              </w:rPr>
            </w:pPr>
            <w:r>
              <w:rPr>
                <w:rFonts w:ascii="Arial" w:cs="Arial" w:eastAsia="Arial" w:hAnsi="Arial"/>
                <w:sz w:val="14"/>
                <w:szCs w:val="14"/>
                <w:color w:val="auto"/>
              </w:rPr>
              <w:t>Variable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8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0"/>
              </w:rPr>
              <w:t>(in thousands)</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(in years)</w:t>
            </w:r>
          </w:p>
        </w:tc>
        <w:tc>
          <w:tcPr>
            <w:tcW w:w="6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June 30, 2009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Fair value hedges: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Fixed rate time deposits (a)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25,000</w:t>
            </w:r>
          </w:p>
        </w:tc>
        <w:tc>
          <w:tcPr>
            <w:tcW w:w="6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w:t>
            </w:r>
          </w:p>
        </w:tc>
        <w:tc>
          <w:tcPr>
            <w:tcW w:w="1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5.30%</w:t>
            </w: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0.58%</w:t>
            </w:r>
          </w:p>
        </w:tc>
        <w:tc>
          <w:tcPr>
            <w:tcW w:w="0" w:type="dxa"/>
            <w:vAlign w:val="bottom"/>
          </w:tcPr>
          <w:p>
            <w:pPr>
              <w:spacing w:after="0"/>
              <w:rPr>
                <w:sz w:val="1"/>
                <w:szCs w:val="1"/>
                <w:color w:val="auto"/>
              </w:rPr>
            </w:pP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Fixed rate long-term borrowings (a)</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1,037,241</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660" w:type="dxa"/>
            <w:vAlign w:val="bottom"/>
          </w:tcPr>
          <w:p>
            <w:pPr>
              <w:spacing w:after="0"/>
              <w:rPr>
                <w:sz w:val="19"/>
                <w:szCs w:val="19"/>
                <w:color w:val="auto"/>
              </w:rPr>
            </w:pPr>
          </w:p>
        </w:tc>
        <w:tc>
          <w:tcPr>
            <w:tcW w:w="6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85"/>
              </w:rPr>
              <w:t>6.33</w:t>
            </w:r>
          </w:p>
        </w:tc>
        <w:tc>
          <w:tcPr>
            <w:tcW w:w="720" w:type="dxa"/>
            <w:vAlign w:val="bottom"/>
          </w:tcPr>
          <w:p>
            <w:pPr>
              <w:spacing w:after="0"/>
              <w:rPr>
                <w:sz w:val="19"/>
                <w:szCs w:val="19"/>
                <w:color w:val="auto"/>
              </w:rPr>
            </w:pPr>
          </w:p>
        </w:tc>
        <w:tc>
          <w:tcPr>
            <w:tcW w:w="6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85"/>
              </w:rPr>
              <w:t>2.59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1,062,241</w:t>
            </w:r>
          </w:p>
        </w:tc>
        <w:tc>
          <w:tcPr>
            <w:tcW w:w="6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6.9</w:t>
            </w:r>
          </w:p>
        </w:tc>
        <w:tc>
          <w:tcPr>
            <w:tcW w:w="1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6.30%</w:t>
            </w: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2.54%</w:t>
            </w: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Arial" w:cs="Arial" w:eastAsia="Arial" w:hAnsi="Arial"/>
                <w:sz w:val="18"/>
                <w:szCs w:val="18"/>
                <w:color w:val="auto"/>
              </w:rPr>
              <w:t>December 31, 2008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Fair value hedges: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Fixed rate time deposits (a)</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70,000</w:t>
            </w:r>
          </w:p>
        </w:tc>
        <w:tc>
          <w:tcPr>
            <w:tcW w:w="64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6.1</w:t>
            </w:r>
          </w:p>
        </w:tc>
        <w:tc>
          <w:tcPr>
            <w:tcW w:w="1400" w:type="dxa"/>
            <w:vAlign w:val="bottom"/>
            <w:gridSpan w:val="2"/>
          </w:tcPr>
          <w:p>
            <w:pPr>
              <w:ind w:left="360"/>
              <w:spacing w:after="0"/>
              <w:rPr>
                <w:sz w:val="20"/>
                <w:szCs w:val="20"/>
                <w:color w:val="auto"/>
              </w:rPr>
            </w:pPr>
            <w:r>
              <w:rPr>
                <w:rFonts w:ascii="Arial" w:cs="Arial" w:eastAsia="Arial" w:hAnsi="Arial"/>
                <w:sz w:val="18"/>
                <w:szCs w:val="18"/>
                <w:color w:val="auto"/>
              </w:rPr>
              <w:t>5.14%</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w w:val="90"/>
              </w:rPr>
              <w:t>2.04%</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Fixed rate long-term borrowings (a)</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1,037,241</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5"/>
              </w:rPr>
              <w:t>6.33</w:t>
            </w:r>
          </w:p>
        </w:tc>
        <w:tc>
          <w:tcPr>
            <w:tcW w:w="7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5"/>
              </w:rPr>
              <w:t>4.28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1,107,241</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w:t>
            </w:r>
          </w:p>
        </w:tc>
        <w:tc>
          <w:tcPr>
            <w:tcW w:w="660" w:type="dxa"/>
            <w:vAlign w:val="bottom"/>
          </w:tcPr>
          <w:p>
            <w:pPr>
              <w:spacing w:after="0"/>
              <w:rPr>
                <w:sz w:val="19"/>
                <w:szCs w:val="19"/>
                <w:color w:val="auto"/>
              </w:rPr>
            </w:pPr>
          </w:p>
        </w:tc>
        <w:tc>
          <w:tcPr>
            <w:tcW w:w="1400" w:type="dxa"/>
            <w:vAlign w:val="bottom"/>
            <w:gridSpan w:val="2"/>
          </w:tcPr>
          <w:p>
            <w:pPr>
              <w:ind w:left="360"/>
              <w:spacing w:after="0"/>
              <w:rPr>
                <w:sz w:val="20"/>
                <w:szCs w:val="20"/>
                <w:color w:val="auto"/>
              </w:rPr>
            </w:pPr>
            <w:r>
              <w:rPr>
                <w:rFonts w:ascii="Arial" w:cs="Arial" w:eastAsia="Arial" w:hAnsi="Arial"/>
                <w:sz w:val="18"/>
                <w:szCs w:val="18"/>
                <w:color w:val="auto"/>
              </w:rPr>
              <w:t>6.25%</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w w:val="90"/>
              </w:rPr>
              <w:t>4.14%</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Under the terms of these agreements, the Company receives settlement amounts at a fixed rate and pays at a variable rate.</w:t>
      </w:r>
    </w:p>
    <w:p>
      <w:pPr>
        <w:spacing w:after="0" w:line="117" w:lineRule="exact"/>
        <w:rPr>
          <w:sz w:val="20"/>
          <w:szCs w:val="20"/>
          <w:color w:val="auto"/>
        </w:rPr>
      </w:pPr>
    </w:p>
    <w:p>
      <w:pPr>
        <w:ind w:right="140" w:firstLine="222"/>
        <w:spacing w:after="0" w:line="286" w:lineRule="auto"/>
        <w:rPr>
          <w:sz w:val="20"/>
          <w:szCs w:val="20"/>
          <w:color w:val="auto"/>
        </w:rPr>
      </w:pPr>
      <w:r>
        <w:rPr>
          <w:rFonts w:ascii="Arial" w:cs="Arial" w:eastAsia="Arial" w:hAnsi="Arial"/>
          <w:sz w:val="17"/>
          <w:szCs w:val="17"/>
          <w:color w:val="auto"/>
        </w:rPr>
        <w:t>The Company utilizes commitments to sell residential and commercial real estate loans to hedge the exposure to changes in the fair value of real estate loans held for sale. Such commitments have generally been designated as fair value hedges. The Company also utilizes commitments to sell real estate loans to offset the exposure to changes in fair value of certain commitments to originate real estate loans for sale.</w:t>
      </w:r>
    </w:p>
    <w:p>
      <w:pPr>
        <w:spacing w:after="0" w:line="57"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For derivatives designated and qualifying as fair value hedges, the fair values of the derivatives and changes in the fair values of the hedged items are recorded in the Company’s consolidated balance sheet with the corresponding gain or loss recognized in current earnings. The difference between changes in the fair values of the interest rate swap agreements and the hedged items represents hedge ineffectiveness and is recorded in “other revenues from operations” in the consolidated statement of income. In a cash flow hedge, the effective portion of the derivative’s unrealized gain or loss is initially recorded as a component of other comprehensive income and subsequently reclassified into earnings when the forecasted transaction affects earnings. The ineffective portion of the unrealized gain or loss is reported in “other revenues from operations” immediately. The amount of hedge ineffectiveness recognized in the three- and six-month periods ended June 30, 2009 and 2008 was not material to the Company’s results of operations.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 financial instruments, continued</w:t>
      </w:r>
    </w:p>
    <w:p>
      <w:pPr>
        <w:spacing w:after="0" w:line="121"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Derivative financial instruments used for trading purposes included interest rate contracts, foreign exchange and other option contracts, foreign exchange forward and spot contracts, and financial futures. Interest rate contracts entered into for trading purposes had notional values of $14.9 billion and $14.6 billion at June 30, 2009 and December 31, 2008, respectively. The notional amounts of foreign currency and other option and futures contracts entered into for trading purposes aggregated $681 million and $713 million at June 30, 2009 and December 31, 2008, respectively.</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Information about the fair values of derivative instruments in the Company’s consolidated balance sheet and consolidated statement of income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5"/>
          </w:tcPr>
          <w:p>
            <w:pPr>
              <w:ind w:left="500"/>
              <w:spacing w:after="0"/>
              <w:rPr>
                <w:sz w:val="20"/>
                <w:szCs w:val="20"/>
                <w:color w:val="auto"/>
              </w:rPr>
            </w:pPr>
            <w:r>
              <w:rPr>
                <w:rFonts w:ascii="Arial" w:cs="Arial" w:eastAsia="Arial" w:hAnsi="Arial"/>
                <w:sz w:val="14"/>
                <w:szCs w:val="14"/>
                <w:color w:val="auto"/>
              </w:rPr>
              <w:t>Asset derivatives</w:t>
            </w:r>
          </w:p>
        </w:tc>
        <w:tc>
          <w:tcPr>
            <w:tcW w:w="100" w:type="dxa"/>
            <w:vAlign w:val="bottom"/>
          </w:tcPr>
          <w:p>
            <w:pPr>
              <w:spacing w:after="0"/>
              <w:rPr>
                <w:sz w:val="14"/>
                <w:szCs w:val="14"/>
                <w:color w:val="auto"/>
              </w:rPr>
            </w:pPr>
          </w:p>
        </w:tc>
        <w:tc>
          <w:tcPr>
            <w:tcW w:w="2180" w:type="dxa"/>
            <w:vAlign w:val="bottom"/>
            <w:gridSpan w:val="5"/>
          </w:tcPr>
          <w:p>
            <w:pPr>
              <w:ind w:left="400"/>
              <w:spacing w:after="0"/>
              <w:rPr>
                <w:sz w:val="20"/>
                <w:szCs w:val="20"/>
                <w:color w:val="auto"/>
              </w:rPr>
            </w:pPr>
            <w:r>
              <w:rPr>
                <w:rFonts w:ascii="Arial" w:cs="Arial" w:eastAsia="Arial" w:hAnsi="Arial"/>
                <w:sz w:val="14"/>
                <w:szCs w:val="14"/>
                <w:color w:val="auto"/>
              </w:rPr>
              <w:t>Liability derivatives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gridSpan w:val="2"/>
          </w:tcPr>
          <w:p>
            <w:pPr>
              <w:jc w:val="right"/>
              <w:ind w:right="724"/>
              <w:spacing w:after="0" w:line="142" w:lineRule="exact"/>
              <w:rPr>
                <w:sz w:val="20"/>
                <w:szCs w:val="20"/>
                <w:color w:val="auto"/>
              </w:rPr>
            </w:pPr>
            <w:r>
              <w:rPr>
                <w:rFonts w:ascii="Arial" w:cs="Arial" w:eastAsia="Arial" w:hAnsi="Arial"/>
                <w:sz w:val="14"/>
                <w:szCs w:val="14"/>
                <w:color w:val="auto"/>
                <w:w w:val="97"/>
              </w:rPr>
              <w:t>Fair value</w:t>
            </w:r>
          </w:p>
        </w:tc>
        <w:tc>
          <w:tcPr>
            <w:tcW w:w="6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gridSpan w:val="2"/>
          </w:tcPr>
          <w:p>
            <w:pPr>
              <w:jc w:val="right"/>
              <w:ind w:right="719"/>
              <w:spacing w:after="0" w:line="142" w:lineRule="exact"/>
              <w:rPr>
                <w:sz w:val="20"/>
                <w:szCs w:val="20"/>
                <w:color w:val="auto"/>
              </w:rPr>
            </w:pPr>
            <w:r>
              <w:rPr>
                <w:rFonts w:ascii="Arial" w:cs="Arial" w:eastAsia="Arial" w:hAnsi="Arial"/>
                <w:sz w:val="14"/>
                <w:szCs w:val="14"/>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3" w:lineRule="exact"/>
              <w:rPr>
                <w:sz w:val="20"/>
                <w:szCs w:val="20"/>
                <w:color w:val="auto"/>
              </w:rPr>
            </w:pPr>
            <w:r>
              <w:rPr>
                <w:rFonts w:ascii="Arial" w:cs="Arial" w:eastAsia="Arial" w:hAnsi="Arial"/>
                <w:sz w:val="14"/>
                <w:szCs w:val="14"/>
                <w:color w:val="auto"/>
                <w:w w:val="89"/>
              </w:rPr>
              <w:t>June 30,</w:t>
            </w:r>
          </w:p>
        </w:tc>
        <w:tc>
          <w:tcPr>
            <w:tcW w:w="600" w:type="dxa"/>
            <w:vAlign w:val="bottom"/>
          </w:tcPr>
          <w:p>
            <w:pPr>
              <w:spacing w:after="0"/>
              <w:rPr>
                <w:sz w:val="10"/>
                <w:szCs w:val="10"/>
                <w:color w:val="auto"/>
              </w:rPr>
            </w:pPr>
          </w:p>
        </w:tc>
        <w:tc>
          <w:tcPr>
            <w:tcW w:w="820" w:type="dxa"/>
            <w:vAlign w:val="bottom"/>
          </w:tcPr>
          <w:p>
            <w:pPr>
              <w:jc w:val="right"/>
              <w:spacing w:after="0" w:line="123" w:lineRule="exact"/>
              <w:rPr>
                <w:sz w:val="20"/>
                <w:szCs w:val="20"/>
                <w:color w:val="auto"/>
              </w:rPr>
            </w:pPr>
            <w:r>
              <w:rPr>
                <w:rFonts w:ascii="Arial" w:cs="Arial" w:eastAsia="Arial" w:hAnsi="Arial"/>
                <w:sz w:val="14"/>
                <w:szCs w:val="14"/>
                <w:color w:val="auto"/>
                <w:w w:val="90"/>
              </w:rPr>
              <w:t>December 31,</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160"/>
              <w:spacing w:after="0" w:line="123" w:lineRule="exact"/>
              <w:rPr>
                <w:sz w:val="20"/>
                <w:szCs w:val="20"/>
                <w:color w:val="auto"/>
              </w:rPr>
            </w:pPr>
            <w:r>
              <w:rPr>
                <w:rFonts w:ascii="Arial" w:cs="Arial" w:eastAsia="Arial" w:hAnsi="Arial"/>
                <w:sz w:val="14"/>
                <w:szCs w:val="14"/>
                <w:color w:val="auto"/>
                <w:w w:val="85"/>
              </w:rPr>
              <w:t>June 30,</w:t>
            </w:r>
          </w:p>
        </w:tc>
        <w:tc>
          <w:tcPr>
            <w:tcW w:w="620" w:type="dxa"/>
            <w:vAlign w:val="bottom"/>
          </w:tcPr>
          <w:p>
            <w:pPr>
              <w:spacing w:after="0"/>
              <w:rPr>
                <w:sz w:val="10"/>
                <w:szCs w:val="10"/>
                <w:color w:val="auto"/>
              </w:rPr>
            </w:pPr>
          </w:p>
        </w:tc>
        <w:tc>
          <w:tcPr>
            <w:tcW w:w="820" w:type="dxa"/>
            <w:vAlign w:val="bottom"/>
          </w:tcPr>
          <w:p>
            <w:pPr>
              <w:jc w:val="right"/>
              <w:spacing w:after="0" w:line="123" w:lineRule="exact"/>
              <w:rPr>
                <w:sz w:val="20"/>
                <w:szCs w:val="20"/>
                <w:color w:val="auto"/>
              </w:rPr>
            </w:pPr>
            <w:r>
              <w:rPr>
                <w:rFonts w:ascii="Arial" w:cs="Arial" w:eastAsia="Arial" w:hAnsi="Arial"/>
                <w:sz w:val="14"/>
                <w:szCs w:val="14"/>
                <w:color w:val="auto"/>
                <w:w w:val="90"/>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2009</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color w:val="auto"/>
              </w:rPr>
              <w:t>2008</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2009</w:t>
            </w: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8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(in thousands)</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and qualifying as hedging instruments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Fair value hedges: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agreements (a)</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63,618</w:t>
            </w:r>
          </w:p>
        </w:tc>
        <w:tc>
          <w:tcPr>
            <w:tcW w:w="20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146,111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Commitments to sell real estate loans (a)</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7,359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1,128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1,817</w:t>
            </w: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13,604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70,977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147,239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1,817</w:t>
            </w: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Derivatives not designated and qualifying as hedging instruments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w w:val="99"/>
              </w:rPr>
              <w:t>Mortgage-related commitments to originate real estate loans for sale (a)</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10,633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11,132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957</w:t>
            </w: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Commitments to sell real estate loans (a)</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9,060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5,875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4,468</w:t>
            </w: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8,876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Trading:</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Interest rate contracts (b)</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359,969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513,230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329,671</w:t>
            </w: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481,671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exchange and other option and futures contracts (b)</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24,128</w:t>
            </w:r>
          </w:p>
        </w:tc>
        <w:tc>
          <w:tcPr>
            <w:tcW w:w="20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38,885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23,958</w:t>
            </w: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39,408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403,790</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569,122</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359,054</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532,943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474,767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716,361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360,871</w:t>
            </w: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546,547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other assets and liability derivatives are reported in other liabilities.</w:t>
      </w:r>
    </w:p>
    <w:p>
      <w:pPr>
        <w:spacing w:after="0" w:line="76" w:lineRule="exact"/>
        <w:rPr>
          <w:rFonts w:ascii="Arial" w:cs="Arial" w:eastAsia="Arial" w:hAnsi="Arial"/>
          <w:sz w:val="18"/>
          <w:szCs w:val="18"/>
          <w:i w:val="1"/>
          <w:iCs w:val="1"/>
          <w:color w:val="auto"/>
        </w:rPr>
      </w:pPr>
    </w:p>
    <w:p>
      <w:pPr>
        <w:ind w:left="460" w:hanging="452"/>
        <w:spacing w:after="0"/>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trading account assets and liability derivatives are reported in other liabilities.</w:t>
      </w:r>
    </w:p>
    <w:p>
      <w:pPr>
        <w:spacing w:after="0" w:line="184" w:lineRule="exact"/>
        <w:rPr>
          <w:rFonts w:ascii="Arial" w:cs="Arial" w:eastAsia="Arial" w:hAnsi="Arial"/>
          <w:sz w:val="18"/>
          <w:szCs w:val="18"/>
          <w:i w:val="1"/>
          <w:iCs w:val="1"/>
          <w:color w:val="auto"/>
        </w:rPr>
      </w:pPr>
    </w:p>
    <w:p>
      <w:pPr>
        <w:ind w:left="5620" w:hanging="101"/>
        <w:spacing w:after="0"/>
        <w:tabs>
          <w:tab w:leader="none" w:pos="5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 financial instruments,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color w:val="auto"/>
                <w:w w:val="94"/>
              </w:rPr>
              <w:t>Amount of unrealized gain (loss) recognized</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60" w:type="dxa"/>
            <w:vAlign w:val="bottom"/>
            <w:gridSpan w:val="5"/>
          </w:tcPr>
          <w:p>
            <w:pPr>
              <w:jc w:val="center"/>
              <w:ind w:right="800"/>
              <w:spacing w:after="0" w:line="123" w:lineRule="exact"/>
              <w:rPr>
                <w:sz w:val="20"/>
                <w:szCs w:val="20"/>
                <w:color w:val="auto"/>
              </w:rPr>
            </w:pPr>
            <w:r>
              <w:rPr>
                <w:rFonts w:ascii="Arial" w:cs="Arial" w:eastAsia="Arial" w:hAnsi="Arial"/>
                <w:sz w:val="14"/>
                <w:szCs w:val="14"/>
                <w:color w:val="auto"/>
                <w:w w:val="91"/>
              </w:rPr>
              <w:t>Three months ended</w:t>
            </w:r>
          </w:p>
        </w:tc>
        <w:tc>
          <w:tcPr>
            <w:tcW w:w="2080" w:type="dxa"/>
            <w:vAlign w:val="bottom"/>
            <w:gridSpan w:val="4"/>
          </w:tcPr>
          <w:p>
            <w:pPr>
              <w:jc w:val="center"/>
              <w:spacing w:after="0" w:line="123" w:lineRule="exact"/>
              <w:rPr>
                <w:sz w:val="20"/>
                <w:szCs w:val="20"/>
                <w:color w:val="auto"/>
              </w:rPr>
            </w:pPr>
            <w:r>
              <w:rPr>
                <w:rFonts w:ascii="Arial" w:cs="Arial" w:eastAsia="Arial" w:hAnsi="Arial"/>
                <w:sz w:val="14"/>
                <w:szCs w:val="14"/>
                <w:color w:val="auto"/>
                <w:w w:val="91"/>
              </w:rPr>
              <w:t>Three months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5"/>
          </w:tcPr>
          <w:p>
            <w:pPr>
              <w:jc w:val="center"/>
              <w:ind w:right="780"/>
              <w:spacing w:after="0"/>
              <w:rPr>
                <w:sz w:val="20"/>
                <w:szCs w:val="20"/>
                <w:color w:val="auto"/>
              </w:rPr>
            </w:pPr>
            <w:r>
              <w:rPr>
                <w:rFonts w:ascii="Arial" w:cs="Arial" w:eastAsia="Arial" w:hAnsi="Arial"/>
                <w:sz w:val="14"/>
                <w:szCs w:val="14"/>
                <w:color w:val="auto"/>
                <w:w w:val="90"/>
              </w:rPr>
              <w:t>June 30, 2009</w:t>
            </w:r>
          </w:p>
        </w:tc>
        <w:tc>
          <w:tcPr>
            <w:tcW w:w="2180" w:type="dxa"/>
            <w:vAlign w:val="bottom"/>
            <w:gridSpan w:val="5"/>
          </w:tcPr>
          <w:p>
            <w:pPr>
              <w:jc w:val="center"/>
              <w:ind w:right="100"/>
              <w:spacing w:after="0"/>
              <w:rPr>
                <w:sz w:val="20"/>
                <w:szCs w:val="20"/>
                <w:color w:val="auto"/>
              </w:rPr>
            </w:pPr>
            <w:r>
              <w:rPr>
                <w:rFonts w:ascii="Arial" w:cs="Arial" w:eastAsia="Arial" w:hAnsi="Arial"/>
                <w:sz w:val="14"/>
                <w:szCs w:val="14"/>
                <w:color w:val="auto"/>
                <w:w w:val="90"/>
              </w:rPr>
              <w:t>June 30, 2008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6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Derivative</w:t>
            </w:r>
          </w:p>
        </w:tc>
        <w:tc>
          <w:tcPr>
            <w:tcW w:w="2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Hedged item</w:t>
            </w:r>
          </w:p>
        </w:tc>
        <w:tc>
          <w:tcPr>
            <w:tcW w:w="680" w:type="dxa"/>
            <w:vAlign w:val="bottom"/>
          </w:tcPr>
          <w:p>
            <w:pPr>
              <w:spacing w:after="0"/>
              <w:rPr>
                <w:sz w:val="12"/>
                <w:szCs w:val="12"/>
                <w:color w:val="auto"/>
              </w:rPr>
            </w:pPr>
          </w:p>
        </w:tc>
        <w:tc>
          <w:tcPr>
            <w:tcW w:w="66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w w:val="99"/>
              </w:rPr>
              <w:t>Derivative</w:t>
            </w:r>
          </w:p>
        </w:tc>
        <w:tc>
          <w:tcPr>
            <w:tcW w:w="4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Hedged item</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560" w:type="dxa"/>
            <w:vAlign w:val="bottom"/>
            <w:gridSpan w:val="4"/>
          </w:tcPr>
          <w:p>
            <w:pPr>
              <w:jc w:val="center"/>
              <w:ind w:right="420"/>
              <w:spacing w:after="0" w:line="142" w:lineRule="exact"/>
              <w:rPr>
                <w:sz w:val="20"/>
                <w:szCs w:val="20"/>
                <w:color w:val="auto"/>
              </w:rPr>
            </w:pPr>
            <w:r>
              <w:rPr>
                <w:rFonts w:ascii="Arial" w:cs="Arial" w:eastAsia="Arial" w:hAnsi="Arial"/>
                <w:sz w:val="14"/>
                <w:szCs w:val="14"/>
                <w:color w:val="auto"/>
                <w:w w:val="92"/>
              </w:rPr>
              <w:t>(in thousands)</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in fair value hedging relationships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480" w:type="dxa"/>
            <w:vAlign w:val="bottom"/>
            <w:gridSpan w:val="2"/>
          </w:tcPr>
          <w:p>
            <w:pPr>
              <w:spacing w:after="0"/>
              <w:rPr>
                <w:sz w:val="20"/>
                <w:szCs w:val="20"/>
                <w:color w:val="auto"/>
              </w:rPr>
            </w:pPr>
            <w:r>
              <w:rPr>
                <w:rFonts w:ascii="Arial" w:cs="Arial" w:eastAsia="Arial" w:hAnsi="Arial"/>
                <w:sz w:val="18"/>
                <w:szCs w:val="18"/>
                <w:color w:val="auto"/>
              </w:rPr>
              <w:t>Interest rate swap agreements: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Fixed rate time deposits (a)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(942)</w:t>
            </w:r>
          </w:p>
        </w:tc>
        <w:tc>
          <w:tcPr>
            <w:tcW w:w="18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938</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(1,896)</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Fixed rate long-term borrowings (a)</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(60,402)</w:t>
            </w:r>
          </w:p>
        </w:tc>
        <w:tc>
          <w:tcPr>
            <w:tcW w:w="1820" w:type="dxa"/>
            <w:vAlign w:val="bottom"/>
            <w:gridSpan w:val="3"/>
          </w:tcPr>
          <w:p>
            <w:pPr>
              <w:jc w:val="right"/>
              <w:ind w:right="680"/>
              <w:spacing w:after="0"/>
              <w:rPr>
                <w:sz w:val="20"/>
                <w:szCs w:val="20"/>
                <w:color w:val="auto"/>
              </w:rPr>
            </w:pPr>
            <w:r>
              <w:rPr>
                <w:rFonts w:ascii="Arial" w:cs="Arial" w:eastAsia="Arial" w:hAnsi="Arial"/>
                <w:sz w:val="18"/>
                <w:szCs w:val="18"/>
                <w:color w:val="auto"/>
              </w:rPr>
              <w:t>57,164</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(47,681)</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47,140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7"/>
              </w:rPr>
              <w:t>$ (61,344)</w:t>
            </w:r>
          </w:p>
        </w:tc>
        <w:tc>
          <w:tcPr>
            <w:tcW w:w="18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58,102</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(49,577)</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49,016</w:t>
            </w: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4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Trading: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Interest rate contracts (b)</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(1,186)</w:t>
            </w: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1,414</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and other option and futures contracts (b)</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696</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4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(1,130)</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2,110</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color w:val="auto"/>
                <w:w w:val="94"/>
              </w:rPr>
              <w:t>Amount of unrealized gain (loss) recognized</w:t>
            </w: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60" w:type="dxa"/>
            <w:vAlign w:val="bottom"/>
            <w:gridSpan w:val="5"/>
          </w:tcPr>
          <w:p>
            <w:pPr>
              <w:jc w:val="center"/>
              <w:ind w:right="780"/>
              <w:spacing w:after="0" w:line="123" w:lineRule="exact"/>
              <w:rPr>
                <w:sz w:val="20"/>
                <w:szCs w:val="20"/>
                <w:color w:val="auto"/>
              </w:rPr>
            </w:pPr>
            <w:r>
              <w:rPr>
                <w:rFonts w:ascii="Arial" w:cs="Arial" w:eastAsia="Arial" w:hAnsi="Arial"/>
                <w:sz w:val="14"/>
                <w:szCs w:val="14"/>
                <w:color w:val="auto"/>
                <w:w w:val="92"/>
              </w:rPr>
              <w:t>Six months ended</w:t>
            </w:r>
          </w:p>
        </w:tc>
        <w:tc>
          <w:tcPr>
            <w:tcW w:w="2080" w:type="dxa"/>
            <w:vAlign w:val="bottom"/>
            <w:gridSpan w:val="4"/>
          </w:tcPr>
          <w:p>
            <w:pPr>
              <w:jc w:val="center"/>
              <w:spacing w:after="0" w:line="123" w:lineRule="exact"/>
              <w:rPr>
                <w:sz w:val="20"/>
                <w:szCs w:val="20"/>
                <w:color w:val="auto"/>
              </w:rPr>
            </w:pPr>
            <w:r>
              <w:rPr>
                <w:rFonts w:ascii="Arial" w:cs="Arial" w:eastAsia="Arial" w:hAnsi="Arial"/>
                <w:sz w:val="14"/>
                <w:szCs w:val="14"/>
                <w:color w:val="auto"/>
                <w:w w:val="90"/>
              </w:rPr>
              <w:t>Six months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5"/>
          </w:tcPr>
          <w:p>
            <w:pPr>
              <w:jc w:val="center"/>
              <w:ind w:right="780"/>
              <w:spacing w:after="0"/>
              <w:rPr>
                <w:sz w:val="20"/>
                <w:szCs w:val="20"/>
                <w:color w:val="auto"/>
              </w:rPr>
            </w:pPr>
            <w:r>
              <w:rPr>
                <w:rFonts w:ascii="Arial" w:cs="Arial" w:eastAsia="Arial" w:hAnsi="Arial"/>
                <w:sz w:val="14"/>
                <w:szCs w:val="14"/>
                <w:color w:val="auto"/>
                <w:w w:val="90"/>
              </w:rPr>
              <w:t>June 30, 2009</w:t>
            </w:r>
          </w:p>
        </w:tc>
        <w:tc>
          <w:tcPr>
            <w:tcW w:w="2180" w:type="dxa"/>
            <w:vAlign w:val="bottom"/>
            <w:gridSpan w:val="5"/>
          </w:tcPr>
          <w:p>
            <w:pPr>
              <w:jc w:val="center"/>
              <w:ind w:right="100"/>
              <w:spacing w:after="0"/>
              <w:rPr>
                <w:sz w:val="20"/>
                <w:szCs w:val="20"/>
                <w:color w:val="auto"/>
              </w:rPr>
            </w:pPr>
            <w:r>
              <w:rPr>
                <w:rFonts w:ascii="Arial" w:cs="Arial" w:eastAsia="Arial" w:hAnsi="Arial"/>
                <w:sz w:val="14"/>
                <w:szCs w:val="14"/>
                <w:color w:val="auto"/>
                <w:w w:val="90"/>
              </w:rPr>
              <w:t>June 30, 2008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6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Derivative</w:t>
            </w:r>
          </w:p>
        </w:tc>
        <w:tc>
          <w:tcPr>
            <w:tcW w:w="2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Hedged item</w:t>
            </w:r>
          </w:p>
        </w:tc>
        <w:tc>
          <w:tcPr>
            <w:tcW w:w="680" w:type="dxa"/>
            <w:vAlign w:val="bottom"/>
          </w:tcPr>
          <w:p>
            <w:pPr>
              <w:spacing w:after="0"/>
              <w:rPr>
                <w:sz w:val="12"/>
                <w:szCs w:val="12"/>
                <w:color w:val="auto"/>
              </w:rPr>
            </w:pPr>
          </w:p>
        </w:tc>
        <w:tc>
          <w:tcPr>
            <w:tcW w:w="66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w w:val="99"/>
              </w:rPr>
              <w:t>Derivative</w:t>
            </w:r>
          </w:p>
        </w:tc>
        <w:tc>
          <w:tcPr>
            <w:tcW w:w="4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Hedged item</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560" w:type="dxa"/>
            <w:vAlign w:val="bottom"/>
            <w:gridSpan w:val="4"/>
          </w:tcPr>
          <w:p>
            <w:pPr>
              <w:jc w:val="center"/>
              <w:ind w:right="420"/>
              <w:spacing w:after="0" w:line="142" w:lineRule="exact"/>
              <w:rPr>
                <w:sz w:val="20"/>
                <w:szCs w:val="20"/>
                <w:color w:val="auto"/>
              </w:rPr>
            </w:pPr>
            <w:r>
              <w:rPr>
                <w:rFonts w:ascii="Arial" w:cs="Arial" w:eastAsia="Arial" w:hAnsi="Arial"/>
                <w:sz w:val="14"/>
                <w:szCs w:val="14"/>
                <w:color w:val="auto"/>
                <w:w w:val="92"/>
              </w:rPr>
              <w:t>(in thousands)</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in fair value hedging relationships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480" w:type="dxa"/>
            <w:vAlign w:val="bottom"/>
            <w:gridSpan w:val="2"/>
          </w:tcPr>
          <w:p>
            <w:pPr>
              <w:spacing w:after="0"/>
              <w:rPr>
                <w:sz w:val="20"/>
                <w:szCs w:val="20"/>
                <w:color w:val="auto"/>
              </w:rPr>
            </w:pPr>
            <w:r>
              <w:rPr>
                <w:rFonts w:ascii="Arial" w:cs="Arial" w:eastAsia="Arial" w:hAnsi="Arial"/>
                <w:sz w:val="18"/>
                <w:szCs w:val="18"/>
                <w:color w:val="auto"/>
              </w:rPr>
              <w:t>Interest rate swap agreements: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Fixed rate time deposits (a)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(1,394)</w:t>
            </w:r>
          </w:p>
        </w:tc>
        <w:tc>
          <w:tcPr>
            <w:tcW w:w="18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1,387</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(1,425)</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Fixed rate long-term borrowings (a)</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(81,717)</w:t>
            </w:r>
          </w:p>
        </w:tc>
        <w:tc>
          <w:tcPr>
            <w:tcW w:w="1820" w:type="dxa"/>
            <w:vAlign w:val="bottom"/>
            <w:gridSpan w:val="3"/>
          </w:tcPr>
          <w:p>
            <w:pPr>
              <w:jc w:val="right"/>
              <w:ind w:right="680"/>
              <w:spacing w:after="0"/>
              <w:rPr>
                <w:sz w:val="20"/>
                <w:szCs w:val="20"/>
                <w:color w:val="auto"/>
              </w:rPr>
            </w:pPr>
            <w:r>
              <w:rPr>
                <w:rFonts w:ascii="Arial" w:cs="Arial" w:eastAsia="Arial" w:hAnsi="Arial"/>
                <w:sz w:val="18"/>
                <w:szCs w:val="18"/>
                <w:color w:val="auto"/>
              </w:rPr>
              <w:t>76,825</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(23,670)</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23,055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7"/>
              </w:rPr>
              <w:t>$ (83,111)</w:t>
            </w:r>
          </w:p>
        </w:tc>
        <w:tc>
          <w:tcPr>
            <w:tcW w:w="18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78,212</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(25,095)</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24,464</w:t>
            </w: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4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Trading: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Interest rate contracts (b)</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(1,357)</w:t>
            </w: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3,869</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and other option and futures contracts (b)</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776</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4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(425)</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4,645</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(a)</w:t>
        <w:tab/>
        <w:t>Reported as other revenues from operations.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(b)</w:t>
        <w:tab/>
        <w:t>Reported as trading account and foreign exchange gains.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 financial instruments, continued</w:t>
      </w:r>
    </w:p>
    <w:p>
      <w:pPr>
        <w:spacing w:after="0" w:line="121"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In addition, the Company also has commitments to sell and commitments to originate residential and commercial real estate loans, which are considered derivatives. The Company designates certain of the commitments to sell real estate loans as fair value hedges of real estate loans held for sale. Changes in unrealized gains and losses are included in mortgage banking revenues and, in general, are realized in subsequent periods as the related loans are sold and commitments satisfied. For the three months ended June 30, 2009, net unrealized pre-tax gains of $26,546,000 related to commitments to sell real estate loans, net unrealized pre-tax losses of $12,361,000 related to commitments to originate real estate loans and net unrealized pre-tax losses of $13,367,000 related to hedged real estate loans held for sale were recognized in the consolidated statement of income. For the three months ended June 30, 2008, net unrealized pre-tax gains of $10,553,000 related to commitments to sell real estate loans, net unrealized pre-tax losses of $4,009,000 related to commitments to originate real estate loans and net unrealized pre-tax losses of $11,592,000 related to hedged real estate loans held for sale were recognized in the consolidated statement of income. For the six months ended June 30, 2009, net unrealized pre-tax gains of $25,611,000 related to commitments to sell real estate loans, net unrealized pre-tax gains of $1,410,000 related to commitments to originate real estate loans and net unrealized pre-tax losses of $11,610,000 related to hedged real estate loans held for sale were recognized in the consolidated statement of income. For the six months ended June 30, 2008, net unrealized pre-tax gains of $6,925,000 related to commitments to sell real estate loans, net unrealized pre-tax gains of $882,000 related to commitments to originate real estate loans and net unrealized pre-tax losses of $7,654,000 related to hedged real estate loans held for sale were recognized in the consolidated statement of income.</w:t>
      </w:r>
    </w:p>
    <w:p>
      <w:pPr>
        <w:spacing w:after="0" w:line="67" w:lineRule="exact"/>
        <w:rPr>
          <w:sz w:val="20"/>
          <w:szCs w:val="20"/>
          <w:color w:val="auto"/>
        </w:rPr>
      </w:pPr>
    </w:p>
    <w:p>
      <w:pPr>
        <w:ind w:right="640" w:firstLine="222"/>
        <w:spacing w:after="0" w:line="277" w:lineRule="auto"/>
        <w:rPr>
          <w:sz w:val="20"/>
          <w:szCs w:val="20"/>
          <w:color w:val="auto"/>
        </w:rPr>
      </w:pPr>
      <w:r>
        <w:rPr>
          <w:rFonts w:ascii="Arial" w:cs="Arial" w:eastAsia="Arial" w:hAnsi="Arial"/>
          <w:sz w:val="18"/>
          <w:szCs w:val="18"/>
          <w:color w:val="auto"/>
        </w:rPr>
        <w:t>The aggregate fair value of derivative financial instruments in a net liability position at June 30, 2009 for which the Company was required to post collateral was $257 million. The fair value of collateral posted for such instruments was $251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Pursuant to GAAP, fair value is defined as the price that would be received to sell an asset or paid to transfer a liability in an orderly transaction between market participants at the measurement date. A three-level hierarchy exists in GAAP for fair value measurements based upon the inputs to the valuation of an asset or liability.</w:t>
      </w:r>
    </w:p>
    <w:p>
      <w:pPr>
        <w:spacing w:after="0" w:line="73" w:lineRule="exact"/>
        <w:rPr>
          <w:sz w:val="20"/>
          <w:szCs w:val="20"/>
          <w:color w:val="auto"/>
        </w:rPr>
      </w:pPr>
    </w:p>
    <w:p>
      <w:pPr>
        <w:ind w:left="560" w:hanging="444"/>
        <w:spacing w:after="0"/>
        <w:tabs>
          <w:tab w:leader="none" w:pos="5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Level 1 — Valuation is based on quoted prices in active markets for identical assets and liabilities.</w:t>
      </w:r>
    </w:p>
    <w:p>
      <w:pPr>
        <w:spacing w:after="0" w:line="130" w:lineRule="exact"/>
        <w:rPr>
          <w:rFonts w:ascii="Arial" w:cs="Arial" w:eastAsia="Arial" w:hAnsi="Arial"/>
          <w:sz w:val="18"/>
          <w:szCs w:val="18"/>
          <w:b w:val="1"/>
          <w:bCs w:val="1"/>
          <w:color w:val="auto"/>
        </w:rPr>
      </w:pPr>
    </w:p>
    <w:p>
      <w:pPr>
        <w:ind w:left="560" w:right="760" w:hanging="444"/>
        <w:spacing w:after="0" w:line="342" w:lineRule="auto"/>
        <w:tabs>
          <w:tab w:leader="none" w:pos="56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29" w:lineRule="exact"/>
        <w:rPr>
          <w:rFonts w:ascii="Arial" w:cs="Arial" w:eastAsia="Arial" w:hAnsi="Arial"/>
          <w:sz w:val="16"/>
          <w:szCs w:val="16"/>
          <w:b w:val="1"/>
          <w:bCs w:val="1"/>
          <w:color w:val="auto"/>
        </w:rPr>
      </w:pPr>
    </w:p>
    <w:p>
      <w:pPr>
        <w:ind w:left="560" w:right="440" w:hanging="444"/>
        <w:spacing w:after="0" w:line="308" w:lineRule="auto"/>
        <w:tabs>
          <w:tab w:leader="none" w:pos="56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Level 3 — Valuation is derived from model-based and other techniques in which at least one significant input is unobservable and which may be based on the Company’s own estimates about the assumptions that market participants would use to value the asset or liability.</w:t>
      </w:r>
    </w:p>
    <w:p>
      <w:pPr>
        <w:spacing w:after="0" w:line="119" w:lineRule="exact"/>
        <w:rPr>
          <w:rFonts w:ascii="Arial" w:cs="Arial" w:eastAsia="Arial" w:hAnsi="Arial"/>
          <w:sz w:val="17"/>
          <w:szCs w:val="17"/>
          <w:b w:val="1"/>
          <w:bCs w:val="1"/>
          <w:color w:val="auto"/>
        </w:rPr>
      </w:pPr>
    </w:p>
    <w:p>
      <w:pPr>
        <w:ind w:left="5620" w:hanging="101"/>
        <w:spacing w:after="0"/>
        <w:tabs>
          <w:tab w:leader="none" w:pos="5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 continued</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When available, the Company attempts to use quoted market prices in active markets to determine fair value and classifies such items as Level 1 or Level</w:t>
      </w:r>
    </w:p>
    <w:p>
      <w:pPr>
        <w:spacing w:after="0" w:line="46" w:lineRule="exact"/>
        <w:rPr>
          <w:sz w:val="20"/>
          <w:szCs w:val="20"/>
          <w:color w:val="auto"/>
        </w:rPr>
      </w:pPr>
    </w:p>
    <w:p>
      <w:pPr>
        <w:ind w:right="80" w:firstLine="8"/>
        <w:spacing w:after="0" w:line="295" w:lineRule="auto"/>
        <w:tabs>
          <w:tab w:leader="none" w:pos="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quoted market prices in active markets are not available, fair value is often determined using model-based techniques incorporating various assumptions including interest rates, prepayment speeds and credit losses. Assets and liabilities valued using model-based techniques are classified as either Level 2 or Level 3, depending on the lowest level classification of an input that is considered significant to the overall valuation. The following is a description of the valuation methodologies used for the Company’s assets and liabilities that are measured on a recurring basis at estimated fair value.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account assets and liabilities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Trading account assets and liabilities consist primarily of interest rate swap agreements and foreign exchange contracts with customers who require such services with offsetting trading positions with third parties to minimize the Company’s risk with respect to such transactions. The Company generally determines the fair value of its derivative trading account assets and liabilities using externally developed pricing models based on market observable inputs and therefore classifies such valuations as Level 2. Prices for certain foreign exchange contracts are more observable and therefore have been classified as Level 1. Mutual funds held in connection with deferred compensation arrangements have also been classified as Level 1 valuations. Valuations of investments in municipal and other bonds can generally be obtained through reference to quoted prices in less active markets for the same or similar securities or through model-based techniques in which all significant inputs are observable and, therefore, such valuations have been classified as Level 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 available for sale</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majority of the Company’s available-for-sale investment securities have been valued by reference to prices for similar securities or through model-based techniques in which all significant inputs are observable and, therefore, such valuations have been classified as Level 2. Certain investments in mutual funds and equity securities are actively traded and therefore have been classified as Level 1 valuations.</w:t>
      </w:r>
    </w:p>
    <w:p>
      <w:pPr>
        <w:spacing w:after="0" w:line="73" w:lineRule="exact"/>
        <w:rPr>
          <w:sz w:val="20"/>
          <w:szCs w:val="20"/>
          <w:color w:val="auto"/>
        </w:rPr>
      </w:pPr>
    </w:p>
    <w:p>
      <w:pPr>
        <w:ind w:right="100" w:firstLine="225"/>
        <w:spacing w:after="0" w:line="291" w:lineRule="auto"/>
        <w:rPr>
          <w:sz w:val="20"/>
          <w:szCs w:val="20"/>
          <w:color w:val="auto"/>
        </w:rPr>
      </w:pPr>
      <w:r>
        <w:rPr>
          <w:rFonts w:ascii="Arial" w:cs="Arial" w:eastAsia="Arial" w:hAnsi="Arial"/>
          <w:sz w:val="16"/>
          <w:szCs w:val="16"/>
          <w:color w:val="auto"/>
        </w:rPr>
        <w:t>Due to the severe disruption in the credit markets during the second half of 2008 and continuing into 2009, trading activity in privately issued mortgage-backed securities was very limited. The markets for such securities were generally characterized by a sharp reduction of non-agency mortgage-backed securities issuances, a significant reduction in trading volumes and extremely wide bid-ask spreads, all driven by the lack of market participants. Although estimated prices were generally obtained for such securities, the Company was significantly restricted in the level of market observable assumptions used in the valuation of its privately issued mortgage-backed securities portfolio. Specifically, market assumptions regarding credit adjusted cash flows and liquidity influences on discount rates were difficult to observe at the individual bond level. Because of the inactivity in the markets and the lack of observable valuation inputs, the Company has classified the valuation of privately issued mortgage-backed securities as Level 3.</w:t>
      </w:r>
    </w:p>
    <w:p>
      <w:pPr>
        <w:spacing w:after="0" w:line="59"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In April 2009, the FASB issued FASB Staff Position No. 157-4, “Determining Fair Value When the Volume and Level of Activity for the Asset or Liability Have Significantly Decreased and Identifying Transactions That Are Not Orderly” (“FSP 157-4”). FSP 157-4 provided guidance for estimating fair value when the volume and level of trading activity for an asset or liability have significantly decreased. The Company has concluded that there has been a significant decline in the volume and level of activity in the market for privately issued mortgage-backed securities. As a result, the Company supplemented its determination of</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 continued</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fair value for many of its privately issued mortgage-backed securities by obtaining pricing indications from two independent sources at June 30, 2009. The Company further ascertained that many of the recently observable trades in the market for privately issued residential mortgage-backed securities could not be determined to be orderly. As a result, the Company also performed internal modeling to estimate the cash flows and fair value of 149 of its privately issued residential mortgage-backed securities with an amortized cost basis of $2.2 billion at June 30, 2009. The Company’s internal modeling techniques included discounting estimated bond-specific cash flows using assumptions about cash flows associated with loans underlying each of the bonds, including estimates about the timing and amount of credit losses and prepayments. In estimating those cash flows, the Company used conservative assumptions as to future delinquency, defaults and loss rates, including assumptions for further home price depreciation. Differences between internal model valuations and external pricing indications were generally considered to be reflective of the lack of liquidity in the market for privately issued mortgage-backed securities given the conservative nature of the cash flow modeling performed in the Company’s assessment of value. To determine the point within the range of potential values that was most representative of fair value under current market conditions for each of the 149 bonds, the Company computed values based on judgmentally applied weightings of the internal model valuations and the indications obtained from the average of the two independent pricing sources. Weightings applied to internal model valuations generally ranged from zero to 40% depending on bond structure and collateral type, with prices for bonds in non-senior tranches generally receiving lower weightings on the internal model results and senior bonds receiving a higher model weighting. Weighted-average reliance on internal model pricing for the bonds modeled was 36% with a 64% average weighting placed on the values provided by the independent sources. The Company concluded its estimate of fair value for the $2.2 billion of privately issued residential mortgage-backed securities to approximate $1.7 billion, which implies a weighted-average market yield based on reasonably likely cash flows of 12%. Other valuations of privately issued residential mortgage-backed securities with an amortized cost basis of $613 million and fair value of $543 million, primarily comprised of retained securities from two non-recourse securitization transactions executed by the Company in 2002 and 2003, and other privately issued commercial mortgage-backed securities with an amortized cost basis of $37 million and a fair value of $23 million were determined by reference to independent pricing sources without adjustment.</w:t>
      </w:r>
    </w:p>
    <w:p>
      <w:pPr>
        <w:spacing w:after="0" w:line="62"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Included in other debt securities are securities backed by trust preferred securities issued by financial institutions and other entities. Given the severe disruption in the credit markets and lack of observable trade information, the Company could not obtain pricing indications for many of these securities from its two primary independent pricing sources. The Company, therefore, performed internal modeling to estimate the cash flows and fair value of its portfolio of securities backed by trust preferred securities at June 30, 2009. The modeling techniques included discounting estimated cash flows using bond-specific assumptions about defaults, deferrals and prepayments of the trust preferred securities underlying each bond. The estimation of cash flows included conservative assumptions as to the future collateral defaults and the related loss severities. The resulting cash flows were then discounted by reference to market yields observed in the single-name trust preferred securities market. At June 30, 2009, both the total amortized cost and fair value of securities backed by trust preferred securities issued by financial institutions and other entities was $112 million. Privately issued mortgage-backed securities and securities backed by trust preferred securities issued by financial institutions and other entities constituted substantially all of the available for sale investment securities classified as Level 3 valuations as of June 30, 2009.</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loans held for sale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utilizes commitments to sell real estate loans to hedge the exposure to changes in fair value of real estate loans held for sale. The carrying value of hedged real estate loans held for sale includes changes in estimated fair value during the hedge period. Typically, the Company attempts to hedge real estate loans held for sale from the date of close through the sale date. The fair value of hedged real estate loans held for sale is generally calculated by reference to quoted prices in secondary markets for commitments to sell real estate loans with similar characteristics and, as such, have been classified as a Level 2 valuation.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to originate real estate loans for sale and commitments to sell real estate loans</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prices in secondary markets for commitments to sell real estate loans to certain government-sponsored entities and other parties. The fair valuations of commitments to sell real estate loans generally result in a Level 2 classification. The estimated fair value of commitments to originate real estate loans for sale are adjusted to reflect the Company’s anticipated commitment expirations. Estimated commitment expirations are considered a significant unobservable input, which results in a Level 3 classification. The Company includes the expected net future cash flows related to the associated servicing of the loan in the fair value measurement of a derivative loan commitment. The estimated value ascribed to the expected net future servicing cash flows is also considered a significant unobservable input contributing to the Level 3 classification of commitments to originate real estate loans for sale.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 agreements used for interest rate risk management</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utilizes interest rate swap agreements as part of the management of interest rate risk to modify the repricing characteristics of certain portions of its portfolios of earning assets and interest-bearing liabilities. The Company generally determines the fair value of its interest rate swap agreements using externally developed pricing models based on market observable inputs and therefore classifies such valuations as Level 2. The Company has considered counterparty credit risk in the valuation of its interest rate swap assets and has considered its own credit risk in the valuation of its interest rate swap liabilities.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 continued</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tables present assets and liabilities at June 30, 2009 and December 31, 2008 measured at estimated fair value on a recurring basis: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760"/>
              <w:spacing w:after="0"/>
              <w:rPr>
                <w:sz w:val="20"/>
                <w:szCs w:val="20"/>
                <w:color w:val="auto"/>
              </w:rPr>
            </w:pPr>
            <w:r>
              <w:rPr>
                <w:rFonts w:ascii="Arial" w:cs="Arial" w:eastAsia="Arial" w:hAnsi="Arial"/>
                <w:sz w:val="14"/>
                <w:szCs w:val="14"/>
                <w:color w:val="auto"/>
                <w:w w:val="94"/>
              </w:rPr>
              <w:t>Fair value</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0" w:type="dxa"/>
            <w:vAlign w:val="bottom"/>
            <w:gridSpan w:val="3"/>
          </w:tcPr>
          <w:p>
            <w:pPr>
              <w:spacing w:after="0" w:line="149" w:lineRule="exact"/>
              <w:rPr>
                <w:sz w:val="20"/>
                <w:szCs w:val="20"/>
                <w:color w:val="auto"/>
              </w:rPr>
            </w:pPr>
            <w:r>
              <w:rPr>
                <w:rFonts w:ascii="Arial" w:cs="Arial" w:eastAsia="Arial" w:hAnsi="Arial"/>
                <w:sz w:val="14"/>
                <w:szCs w:val="14"/>
                <w:color w:val="auto"/>
              </w:rPr>
              <w:t>measurements at</w:t>
            </w: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w w:val="89"/>
              </w:rPr>
              <w:t>June 30,</w:t>
            </w: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color w:val="auto"/>
                <w:w w:val="89"/>
              </w:rPr>
              <w:t>2009</w:t>
            </w:r>
          </w:p>
        </w:tc>
        <w:tc>
          <w:tcPr>
            <w:tcW w:w="620" w:type="dxa"/>
            <w:vAlign w:val="bottom"/>
          </w:tcPr>
          <w:p>
            <w:pPr>
              <w:spacing w:after="0"/>
              <w:rPr>
                <w:sz w:val="14"/>
                <w:szCs w:val="14"/>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Level 1</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Level 2</w:t>
            </w:r>
          </w:p>
        </w:tc>
        <w:tc>
          <w:tcPr>
            <w:tcW w:w="640" w:type="dxa"/>
            <w:vAlign w:val="bottom"/>
          </w:tcPr>
          <w:p>
            <w:pPr>
              <w:spacing w:after="0"/>
              <w:rPr>
                <w:sz w:val="14"/>
                <w:szCs w:val="14"/>
                <w:color w:val="auto"/>
              </w:rPr>
            </w:pPr>
          </w:p>
        </w:tc>
        <w:tc>
          <w:tcPr>
            <w:tcW w:w="8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Level 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40" w:type="dxa"/>
            <w:vAlign w:val="bottom"/>
            <w:gridSpan w:val="3"/>
          </w:tcPr>
          <w:p>
            <w:pPr>
              <w:ind w:left="620"/>
              <w:spacing w:after="0" w:line="142" w:lineRule="exact"/>
              <w:rPr>
                <w:sz w:val="20"/>
                <w:szCs w:val="20"/>
                <w:color w:val="auto"/>
              </w:rPr>
            </w:pPr>
            <w:r>
              <w:rPr>
                <w:rFonts w:ascii="Arial" w:cs="Arial" w:eastAsia="Arial" w:hAnsi="Arial"/>
                <w:sz w:val="14"/>
                <w:szCs w:val="14"/>
                <w:color w:val="auto"/>
                <w:w w:val="90"/>
              </w:rPr>
              <w:t>(in thousands)</w:t>
            </w: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assets</w:t>
            </w:r>
          </w:p>
        </w:tc>
        <w:tc>
          <w:tcPr>
            <w:tcW w:w="166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495,324</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41,869</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453,455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Treasury and federal agencies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214,833</w:t>
            </w: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214,833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Obligations of states and political subdivisions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65,739</w:t>
            </w: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53,536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Mortgage-backed securities: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00"/>
              <w:spacing w:after="0"/>
              <w:rPr>
                <w:sz w:val="20"/>
                <w:szCs w:val="20"/>
                <w:color w:val="auto"/>
              </w:rPr>
            </w:pPr>
            <w:r>
              <w:rPr>
                <w:rFonts w:ascii="Arial" w:cs="Arial" w:eastAsia="Arial" w:hAnsi="Arial"/>
                <w:sz w:val="18"/>
                <w:szCs w:val="18"/>
                <w:color w:val="auto"/>
              </w:rPr>
              <w:t>Government issued or guaranteed</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3,867,465</w:t>
            </w: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3,867,465</w:t>
            </w:r>
          </w:p>
        </w:tc>
        <w:tc>
          <w:tcPr>
            <w:tcW w:w="6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Privately issued residential</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2,241,758</w:t>
            </w: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2,241,758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00"/>
              <w:spacing w:after="0"/>
              <w:rPr>
                <w:sz w:val="20"/>
                <w:szCs w:val="20"/>
                <w:color w:val="auto"/>
              </w:rPr>
            </w:pPr>
            <w:r>
              <w:rPr>
                <w:rFonts w:ascii="Arial" w:cs="Arial" w:eastAsia="Arial" w:hAnsi="Arial"/>
                <w:sz w:val="18"/>
                <w:szCs w:val="18"/>
                <w:color w:val="auto"/>
              </w:rPr>
              <w:t>Privately issued commercial</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23,018</w:t>
            </w: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Collateralized debt obligations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112,372</w:t>
            </w: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Other debt securities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213,388</w:t>
            </w: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212,623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securities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224,431</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197,351</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24,751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6,963,004</w:t>
            </w:r>
          </w:p>
        </w:tc>
        <w:tc>
          <w:tcPr>
            <w:tcW w:w="6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197,351</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4,373,208</w:t>
            </w:r>
          </w:p>
        </w:tc>
        <w:tc>
          <w:tcPr>
            <w:tcW w:w="64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2,392,445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Real estate loans held for sale</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800,995</w:t>
            </w: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800,995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 assets(a)</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90,700</w:t>
            </w:r>
          </w:p>
        </w:tc>
        <w:tc>
          <w:tcPr>
            <w:tcW w:w="620" w:type="dxa"/>
            <w:vAlign w:val="bottom"/>
          </w:tcPr>
          <w:p>
            <w:pPr>
              <w:spacing w:after="0"/>
              <w:rPr>
                <w:sz w:val="18"/>
                <w:szCs w:val="18"/>
                <w:color w:val="auto"/>
              </w:rPr>
            </w:pP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80,067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10,633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166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8,350,023</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239,220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5,707,725</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2,403,078</w:t>
            </w:r>
          </w:p>
        </w:tc>
        <w:tc>
          <w:tcPr>
            <w:tcW w:w="0" w:type="dxa"/>
            <w:vAlign w:val="bottom"/>
          </w:tcPr>
          <w:p>
            <w:pPr>
              <w:spacing w:after="0"/>
              <w:rPr>
                <w:sz w:val="1"/>
                <w:szCs w:val="1"/>
                <w:color w:val="auto"/>
              </w:rPr>
            </w:pPr>
          </w:p>
        </w:tc>
      </w:tr>
      <w:tr>
        <w:trPr>
          <w:trHeight w:val="20"/>
        </w:trPr>
        <w:tc>
          <w:tcPr>
            <w:tcW w:w="45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540" w:type="dxa"/>
            <w:vAlign w:val="bottom"/>
            <w:gridSpan w:val="2"/>
          </w:tcPr>
          <w:p>
            <w:pPr>
              <w:spacing w:after="0"/>
              <w:rPr>
                <w:sz w:val="20"/>
                <w:szCs w:val="20"/>
                <w:color w:val="auto"/>
              </w:rPr>
            </w:pPr>
            <w:r>
              <w:rPr>
                <w:rFonts w:ascii="Arial" w:cs="Arial" w:eastAsia="Arial" w:hAnsi="Arial"/>
                <w:sz w:val="18"/>
                <w:szCs w:val="18"/>
                <w:color w:val="auto"/>
              </w:rPr>
              <w:t>Trading account liabilities</w:t>
            </w:r>
          </w:p>
        </w:tc>
        <w:tc>
          <w:tcPr>
            <w:tcW w:w="166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353,629</w:t>
            </w: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10,886</w:t>
            </w:r>
          </w:p>
        </w:tc>
        <w:tc>
          <w:tcPr>
            <w:tcW w:w="100" w:type="dxa"/>
            <w:vAlign w:val="bottom"/>
          </w:tcPr>
          <w:p>
            <w:pPr>
              <w:spacing w:after="0"/>
              <w:rPr>
                <w:sz w:val="24"/>
                <w:szCs w:val="24"/>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342,743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liabilities(a)</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7,242</w:t>
            </w: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6,285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1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360,871</w:t>
            </w:r>
          </w:p>
        </w:tc>
        <w:tc>
          <w:tcPr>
            <w:tcW w:w="6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10,886</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349,028</w:t>
            </w:r>
          </w:p>
        </w:tc>
        <w:tc>
          <w:tcPr>
            <w:tcW w:w="6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520" w:type="dxa"/>
            <w:vAlign w:val="bottom"/>
            <w:vMerge w:val="restart"/>
          </w:tcPr>
          <w:p>
            <w:pPr>
              <w:jc w:val="right"/>
              <w:ind w:right="70"/>
              <w:spacing w:after="0"/>
              <w:rPr>
                <w:sz w:val="20"/>
                <w:szCs w:val="20"/>
                <w:color w:val="auto"/>
              </w:rPr>
            </w:pPr>
            <w:r>
              <w:rPr>
                <w:rFonts w:ascii="Arial" w:cs="Arial" w:eastAsia="Arial" w:hAnsi="Arial"/>
                <w:sz w:val="18"/>
                <w:szCs w:val="18"/>
                <w:color w:val="auto"/>
              </w:rPr>
              <w:t>- 29 -</w:t>
            </w: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2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 continued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3"/>
          </w:tcPr>
          <w:p>
            <w:pPr>
              <w:jc w:val="center"/>
              <w:ind w:right="760"/>
              <w:spacing w:after="0"/>
              <w:rPr>
                <w:sz w:val="20"/>
                <w:szCs w:val="20"/>
                <w:color w:val="auto"/>
              </w:rPr>
            </w:pPr>
            <w:r>
              <w:rPr>
                <w:rFonts w:ascii="Arial" w:cs="Arial" w:eastAsia="Arial" w:hAnsi="Arial"/>
                <w:sz w:val="14"/>
                <w:szCs w:val="14"/>
                <w:color w:val="auto"/>
                <w:w w:val="94"/>
              </w:rPr>
              <w:t>Fair value</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060" w:type="dxa"/>
            <w:vAlign w:val="bottom"/>
          </w:tcPr>
          <w:p>
            <w:pPr>
              <w:spacing w:after="0"/>
              <w:rPr>
                <w:sz w:val="12"/>
                <w:szCs w:val="12"/>
                <w:color w:val="auto"/>
              </w:rPr>
            </w:pPr>
          </w:p>
        </w:tc>
        <w:tc>
          <w:tcPr>
            <w:tcW w:w="1600" w:type="dxa"/>
            <w:vAlign w:val="bottom"/>
            <w:gridSpan w:val="4"/>
          </w:tcPr>
          <w:p>
            <w:pPr>
              <w:spacing w:after="0" w:line="149" w:lineRule="exact"/>
              <w:rPr>
                <w:sz w:val="20"/>
                <w:szCs w:val="20"/>
                <w:color w:val="auto"/>
              </w:rPr>
            </w:pPr>
            <w:r>
              <w:rPr>
                <w:rFonts w:ascii="Arial" w:cs="Arial" w:eastAsia="Arial" w:hAnsi="Arial"/>
                <w:sz w:val="14"/>
                <w:szCs w:val="14"/>
                <w:color w:val="auto"/>
              </w:rPr>
              <w:t>measurements at</w:t>
            </w: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060" w:type="dxa"/>
            <w:vAlign w:val="bottom"/>
          </w:tcPr>
          <w:p>
            <w:pPr>
              <w:spacing w:after="0"/>
              <w:rPr>
                <w:sz w:val="12"/>
                <w:szCs w:val="12"/>
                <w:color w:val="auto"/>
              </w:rPr>
            </w:pPr>
          </w:p>
        </w:tc>
        <w:tc>
          <w:tcPr>
            <w:tcW w:w="1600" w:type="dxa"/>
            <w:vAlign w:val="bottom"/>
            <w:gridSpan w:val="4"/>
          </w:tcPr>
          <w:p>
            <w:pPr>
              <w:jc w:val="center"/>
              <w:ind w:right="640"/>
              <w:spacing w:after="0" w:line="149" w:lineRule="exact"/>
              <w:rPr>
                <w:sz w:val="20"/>
                <w:szCs w:val="20"/>
                <w:color w:val="auto"/>
              </w:rPr>
            </w:pPr>
            <w:r>
              <w:rPr>
                <w:rFonts w:ascii="Arial" w:cs="Arial" w:eastAsia="Arial" w:hAnsi="Arial"/>
                <w:sz w:val="14"/>
                <w:szCs w:val="14"/>
                <w:color w:val="auto"/>
                <w:w w:val="90"/>
              </w:rPr>
              <w:t>December 31,</w:t>
            </w: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6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color w:val="auto"/>
                <w:w w:val="89"/>
              </w:rPr>
              <w:t>2008</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Level 1</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Level 2</w:t>
            </w:r>
          </w:p>
        </w:tc>
        <w:tc>
          <w:tcPr>
            <w:tcW w:w="640" w:type="dxa"/>
            <w:vAlign w:val="bottom"/>
          </w:tcPr>
          <w:p>
            <w:pPr>
              <w:spacing w:after="0"/>
              <w:rPr>
                <w:sz w:val="14"/>
                <w:szCs w:val="14"/>
                <w:color w:val="auto"/>
              </w:rPr>
            </w:pPr>
          </w:p>
        </w:tc>
        <w:tc>
          <w:tcPr>
            <w:tcW w:w="8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Level 3</w:t>
            </w:r>
          </w:p>
        </w:tc>
        <w:tc>
          <w:tcPr>
            <w:tcW w:w="100" w:type="dxa"/>
            <w:vAlign w:val="bottom"/>
          </w:tcPr>
          <w:p>
            <w:pPr>
              <w:spacing w:after="0"/>
              <w:rPr>
                <w:sz w:val="14"/>
                <w:szCs w:val="14"/>
                <w:color w:val="auto"/>
              </w:rPr>
            </w:pPr>
          </w:p>
        </w:tc>
      </w:tr>
      <w:tr>
        <w:trPr>
          <w:trHeight w:val="142"/>
        </w:trPr>
        <w:tc>
          <w:tcPr>
            <w:tcW w:w="6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gridSpan w:val="3"/>
          </w:tcPr>
          <w:p>
            <w:pPr>
              <w:ind w:left="620"/>
              <w:spacing w:after="0" w:line="142" w:lineRule="exact"/>
              <w:rPr>
                <w:sz w:val="20"/>
                <w:szCs w:val="20"/>
                <w:color w:val="auto"/>
              </w:rPr>
            </w:pPr>
            <w:r>
              <w:rPr>
                <w:rFonts w:ascii="Arial" w:cs="Arial" w:eastAsia="Arial" w:hAnsi="Arial"/>
                <w:sz w:val="14"/>
                <w:szCs w:val="14"/>
                <w:color w:val="auto"/>
                <w:w w:val="90"/>
              </w:rPr>
              <w:t>(in thousands)</w:t>
            </w: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617,821</w:t>
            </w:r>
          </w:p>
        </w:tc>
        <w:tc>
          <w:tcPr>
            <w:tcW w:w="6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46,142</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571,679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Treasury and federal agencies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296,713</w:t>
            </w:r>
          </w:p>
        </w:tc>
        <w:tc>
          <w:tcPr>
            <w:tcW w:w="6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291,181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5,532</w:t>
            </w: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tcPr>
          <w:p>
            <w:pPr>
              <w:spacing w:after="0"/>
              <w:rPr>
                <w:sz w:val="18"/>
                <w:szCs w:val="18"/>
                <w:color w:val="auto"/>
              </w:rPr>
            </w:pPr>
          </w:p>
        </w:tc>
        <w:tc>
          <w:tcPr>
            <w:tcW w:w="1460" w:type="dxa"/>
            <w:vAlign w:val="bottom"/>
            <w:gridSpan w:val="3"/>
          </w:tcPr>
          <w:p>
            <w:pPr>
              <w:jc w:val="right"/>
              <w:ind w:right="620"/>
              <w:spacing w:after="0"/>
              <w:rPr>
                <w:sz w:val="20"/>
                <w:szCs w:val="20"/>
                <w:color w:val="auto"/>
              </w:rPr>
            </w:pPr>
            <w:r>
              <w:rPr>
                <w:rFonts w:ascii="Arial" w:cs="Arial" w:eastAsia="Arial" w:hAnsi="Arial"/>
                <w:sz w:val="18"/>
                <w:szCs w:val="18"/>
                <w:color w:val="auto"/>
              </w:rPr>
              <w:t>71,763</w:t>
            </w: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71,725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420"/>
              <w:spacing w:after="0"/>
              <w:rPr>
                <w:sz w:val="20"/>
                <w:szCs w:val="20"/>
                <w:color w:val="auto"/>
              </w:rPr>
            </w:pPr>
            <w:r>
              <w:rPr>
                <w:rFonts w:ascii="Arial" w:cs="Arial" w:eastAsia="Arial" w:hAnsi="Arial"/>
                <w:sz w:val="18"/>
                <w:szCs w:val="18"/>
                <w:color w:val="auto"/>
              </w:rPr>
              <w:t>Government issued or guaranteed</w:t>
            </w:r>
          </w:p>
        </w:tc>
        <w:tc>
          <w:tcPr>
            <w:tcW w:w="1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3,612,780</w:t>
            </w:r>
          </w:p>
        </w:tc>
        <w:tc>
          <w:tcPr>
            <w:tcW w:w="600" w:type="dxa"/>
            <w:vAlign w:val="bottom"/>
          </w:tcPr>
          <w:p>
            <w:pPr>
              <w:spacing w:after="0"/>
              <w:rPr>
                <w:sz w:val="18"/>
                <w:szCs w:val="18"/>
                <w:color w:val="auto"/>
              </w:rPr>
            </w:pP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3,528,236</w:t>
            </w:r>
          </w:p>
        </w:tc>
        <w:tc>
          <w:tcPr>
            <w:tcW w:w="6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84,544</w:t>
            </w:r>
          </w:p>
        </w:tc>
      </w:tr>
      <w:tr>
        <w:trPr>
          <w:trHeight w:val="216"/>
        </w:trPr>
        <w:tc>
          <w:tcPr>
            <w:tcW w:w="6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Privately issued residential</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2,326,554</w:t>
            </w:r>
          </w:p>
        </w:tc>
        <w:tc>
          <w:tcPr>
            <w:tcW w:w="6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2,326,554</w:t>
            </w:r>
          </w:p>
        </w:tc>
      </w:tr>
      <w:tr>
        <w:trPr>
          <w:trHeight w:val="216"/>
        </w:trPr>
        <w:tc>
          <w:tcPr>
            <w:tcW w:w="6060" w:type="dxa"/>
            <w:vAlign w:val="bottom"/>
          </w:tcPr>
          <w:p>
            <w:pPr>
              <w:ind w:left="420"/>
              <w:spacing w:after="0"/>
              <w:rPr>
                <w:sz w:val="20"/>
                <w:szCs w:val="20"/>
                <w:color w:val="auto"/>
              </w:rPr>
            </w:pPr>
            <w:r>
              <w:rPr>
                <w:rFonts w:ascii="Arial" w:cs="Arial" w:eastAsia="Arial" w:hAnsi="Arial"/>
                <w:sz w:val="18"/>
                <w:szCs w:val="18"/>
                <w:color w:val="auto"/>
              </w:rPr>
              <w:t>Privately issued commercial</w:t>
            </w:r>
          </w:p>
        </w:tc>
        <w:tc>
          <w:tcPr>
            <w:tcW w:w="140" w:type="dxa"/>
            <w:vAlign w:val="bottom"/>
          </w:tcPr>
          <w:p>
            <w:pPr>
              <w:spacing w:after="0"/>
              <w:rPr>
                <w:sz w:val="18"/>
                <w:szCs w:val="18"/>
                <w:color w:val="auto"/>
              </w:rPr>
            </w:pPr>
          </w:p>
        </w:tc>
        <w:tc>
          <w:tcPr>
            <w:tcW w:w="1460" w:type="dxa"/>
            <w:vAlign w:val="bottom"/>
            <w:gridSpan w:val="3"/>
          </w:tcPr>
          <w:p>
            <w:pPr>
              <w:jc w:val="right"/>
              <w:ind w:right="620"/>
              <w:spacing w:after="0"/>
              <w:rPr>
                <w:sz w:val="20"/>
                <w:szCs w:val="20"/>
                <w:color w:val="auto"/>
              </w:rPr>
            </w:pPr>
            <w:r>
              <w:rPr>
                <w:rFonts w:ascii="Arial" w:cs="Arial" w:eastAsia="Arial" w:hAnsi="Arial"/>
                <w:sz w:val="18"/>
                <w:szCs w:val="18"/>
                <w:color w:val="auto"/>
              </w:rPr>
              <w:t>41,046</w:t>
            </w: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41,046</w:t>
            </w: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Collateralized debt obligations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2,496</w:t>
            </w:r>
          </w:p>
        </w:tc>
        <w:tc>
          <w:tcPr>
            <w:tcW w:w="6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2,496</w:t>
            </w: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Other debt securities</w:t>
            </w:r>
          </w:p>
        </w:tc>
        <w:tc>
          <w:tcPr>
            <w:tcW w:w="1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168,102</w:t>
            </w:r>
          </w:p>
        </w:tc>
        <w:tc>
          <w:tcPr>
            <w:tcW w:w="600" w:type="dxa"/>
            <w:vAlign w:val="bottom"/>
          </w:tcPr>
          <w:p>
            <w:pPr>
              <w:spacing w:after="0"/>
              <w:rPr>
                <w:sz w:val="18"/>
                <w:szCs w:val="18"/>
                <w:color w:val="auto"/>
              </w:rPr>
            </w:pP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168,102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securities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330,739</w:t>
            </w:r>
          </w:p>
        </w:tc>
        <w:tc>
          <w:tcPr>
            <w:tcW w:w="6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297,231</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31,206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2,302</w:t>
            </w:r>
          </w:p>
        </w:tc>
      </w:tr>
      <w:tr>
        <w:trPr>
          <w:trHeight w:val="223"/>
        </w:trPr>
        <w:tc>
          <w:tcPr>
            <w:tcW w:w="60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6,850,193</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297,231</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4,090,450</w:t>
            </w:r>
          </w:p>
        </w:tc>
        <w:tc>
          <w:tcPr>
            <w:tcW w:w="64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2,462,512</w:t>
            </w:r>
          </w:p>
        </w:tc>
        <w:tc>
          <w:tcPr>
            <w:tcW w:w="100" w:type="dxa"/>
            <w:vAlign w:val="bottom"/>
          </w:tcPr>
          <w:p>
            <w:pPr>
              <w:spacing w:after="0"/>
              <w:rPr>
                <w:sz w:val="19"/>
                <w:szCs w:val="19"/>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Real estate loans held for sale</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507,971</w:t>
            </w:r>
          </w:p>
        </w:tc>
        <w:tc>
          <w:tcPr>
            <w:tcW w:w="6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507,971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Other assets(a)</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164,433</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153,179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11,254</w:t>
            </w:r>
          </w:p>
        </w:tc>
      </w:tr>
      <w:tr>
        <w:trPr>
          <w:trHeight w:val="27"/>
        </w:trPr>
        <w:tc>
          <w:tcPr>
            <w:tcW w:w="6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0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8,140,418</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343,373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5,323,279</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2,473,766</w:t>
            </w:r>
          </w:p>
        </w:tc>
      </w:tr>
      <w:tr>
        <w:trPr>
          <w:trHeight w:val="20"/>
        </w:trPr>
        <w:tc>
          <w:tcPr>
            <w:tcW w:w="6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6060" w:type="dxa"/>
            <w:vAlign w:val="bottom"/>
          </w:tcPr>
          <w:p>
            <w:pPr>
              <w:spacing w:after="0"/>
              <w:rPr>
                <w:sz w:val="20"/>
                <w:szCs w:val="20"/>
                <w:color w:val="auto"/>
              </w:rPr>
            </w:pPr>
            <w:r>
              <w:rPr>
                <w:rFonts w:ascii="Arial" w:cs="Arial" w:eastAsia="Arial" w:hAnsi="Arial"/>
                <w:sz w:val="18"/>
                <w:szCs w:val="18"/>
                <w:color w:val="auto"/>
              </w:rPr>
              <w:t>Trading account liabilities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521,079</w:t>
            </w:r>
          </w:p>
        </w:tc>
        <w:tc>
          <w:tcPr>
            <w:tcW w:w="600" w:type="dxa"/>
            <w:vAlign w:val="bottom"/>
          </w:tcPr>
          <w:p>
            <w:pPr>
              <w:spacing w:after="0"/>
              <w:rPr>
                <w:sz w:val="24"/>
                <w:szCs w:val="24"/>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14,193</w:t>
            </w:r>
          </w:p>
        </w:tc>
        <w:tc>
          <w:tcPr>
            <w:tcW w:w="100" w:type="dxa"/>
            <w:vAlign w:val="bottom"/>
          </w:tcPr>
          <w:p>
            <w:pPr>
              <w:spacing w:after="0"/>
              <w:rPr>
                <w:sz w:val="24"/>
                <w:szCs w:val="24"/>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506,886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liabilities(a)</w:t>
            </w:r>
          </w:p>
        </w:tc>
        <w:tc>
          <w:tcPr>
            <w:tcW w:w="1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25,468</w:t>
            </w: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22,480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2,988</w:t>
            </w:r>
          </w:p>
        </w:tc>
      </w:tr>
      <w:tr>
        <w:trPr>
          <w:trHeight w:val="223"/>
        </w:trPr>
        <w:tc>
          <w:tcPr>
            <w:tcW w:w="606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546,547</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14,193</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529,366</w:t>
            </w:r>
          </w:p>
        </w:tc>
        <w:tc>
          <w:tcPr>
            <w:tcW w:w="6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2,988</w:t>
            </w:r>
          </w:p>
        </w:tc>
        <w:tc>
          <w:tcPr>
            <w:tcW w:w="100" w:type="dxa"/>
            <w:vAlign w:val="bottom"/>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440" w:hanging="452"/>
        <w:spacing w:after="0" w:line="277" w:lineRule="auto"/>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Comprised predominantly of interest rate swap agreements used for interest rate risk management (Level 2), commitments to sell real estate loans (Level 2) and commitments to originate real estate loans to be held for sale (Level 3).</w:t>
      </w:r>
    </w:p>
    <w:p>
      <w:pPr>
        <w:spacing w:after="0" w:line="129" w:lineRule="exact"/>
        <w:rPr>
          <w:rFonts w:ascii="Arial" w:cs="Arial" w:eastAsia="Arial" w:hAnsi="Arial"/>
          <w:sz w:val="18"/>
          <w:szCs w:val="18"/>
          <w:i w:val="1"/>
          <w:iCs w:val="1"/>
          <w:color w:val="auto"/>
        </w:rPr>
      </w:pPr>
    </w:p>
    <w:p>
      <w:pPr>
        <w:ind w:left="5620" w:hanging="101"/>
        <w:spacing w:after="0"/>
        <w:tabs>
          <w:tab w:leader="none" w:pos="5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 continued</w:t>
      </w:r>
    </w:p>
    <w:p>
      <w:pPr>
        <w:spacing w:after="0" w:line="121"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three months ended June 30, 2009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color w:val="auto"/>
                <w:w w:val="90"/>
              </w:rPr>
              <w:t>Changes in</w:t>
            </w:r>
          </w:p>
        </w:tc>
      </w:tr>
      <w:tr>
        <w:trPr>
          <w:trHeight w:val="149"/>
        </w:trPr>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2"/>
              </w:rPr>
              <w:t>unrealized</w:t>
            </w:r>
          </w:p>
        </w:tc>
      </w:tr>
      <w:tr>
        <w:trPr>
          <w:trHeight w:val="149"/>
        </w:trPr>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90"/>
              </w:rPr>
              <w:t>gains (losses)</w:t>
            </w:r>
          </w:p>
        </w:tc>
      </w:tr>
      <w:tr>
        <w:trPr>
          <w:trHeight w:val="149"/>
        </w:trPr>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included in</w:t>
            </w:r>
          </w:p>
        </w:tc>
      </w:tr>
      <w:tr>
        <w:trPr>
          <w:trHeight w:val="149"/>
        </w:trPr>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60" w:type="dxa"/>
            <w:vAlign w:val="bottom"/>
            <w:gridSpan w:val="4"/>
          </w:tcPr>
          <w:p>
            <w:pPr>
              <w:jc w:val="right"/>
              <w:ind w:right="1020"/>
              <w:spacing w:after="0" w:line="149" w:lineRule="exact"/>
              <w:rPr>
                <w:sz w:val="20"/>
                <w:szCs w:val="20"/>
                <w:color w:val="auto"/>
              </w:rPr>
            </w:pPr>
            <w:r>
              <w:rPr>
                <w:rFonts w:ascii="Arial" w:cs="Arial" w:eastAsia="Arial" w:hAnsi="Arial"/>
                <w:sz w:val="14"/>
                <w:szCs w:val="14"/>
                <w:color w:val="auto"/>
              </w:rPr>
              <w:t>Total gains (losses)</w:t>
            </w: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9"/>
              </w:rPr>
              <w:t>earnings</w:t>
            </w:r>
          </w:p>
        </w:tc>
      </w:tr>
      <w:tr>
        <w:trPr>
          <w:trHeight w:val="167"/>
        </w:trPr>
        <w:tc>
          <w:tcPr>
            <w:tcW w:w="2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60" w:type="dxa"/>
            <w:vAlign w:val="bottom"/>
            <w:gridSpan w:val="4"/>
          </w:tcPr>
          <w:p>
            <w:pPr>
              <w:jc w:val="right"/>
              <w:ind w:right="1020"/>
              <w:spacing w:after="0"/>
              <w:rPr>
                <w:sz w:val="20"/>
                <w:szCs w:val="20"/>
                <w:color w:val="auto"/>
              </w:rPr>
            </w:pPr>
            <w:r>
              <w:rPr>
                <w:rFonts w:ascii="Arial" w:cs="Arial" w:eastAsia="Arial" w:hAnsi="Arial"/>
                <w:sz w:val="14"/>
                <w:szCs w:val="14"/>
                <w:color w:val="auto"/>
              </w:rPr>
              <w:t>realized/unrealized</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related to</w:t>
            </w:r>
          </w:p>
        </w:tc>
      </w:tr>
      <w:tr>
        <w:trPr>
          <w:trHeight w:val="123"/>
        </w:trPr>
        <w:tc>
          <w:tcPr>
            <w:tcW w:w="2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7"/>
              </w:rPr>
              <w:t>Included in</w:t>
            </w:r>
          </w:p>
        </w:tc>
        <w:tc>
          <w:tcPr>
            <w:tcW w:w="480" w:type="dxa"/>
            <w:vAlign w:val="bottom"/>
          </w:tcPr>
          <w:p>
            <w:pPr>
              <w:spacing w:after="0"/>
              <w:rPr>
                <w:sz w:val="10"/>
                <w:szCs w:val="10"/>
                <w:color w:val="auto"/>
              </w:rPr>
            </w:pPr>
          </w:p>
        </w:tc>
        <w:tc>
          <w:tcPr>
            <w:tcW w:w="1240" w:type="dxa"/>
            <w:vAlign w:val="bottom"/>
            <w:gridSpan w:val="2"/>
          </w:tcPr>
          <w:p>
            <w:pPr>
              <w:jc w:val="center"/>
              <w:ind w:right="460"/>
              <w:spacing w:after="0" w:line="123" w:lineRule="exact"/>
              <w:rPr>
                <w:sz w:val="20"/>
                <w:szCs w:val="20"/>
                <w:color w:val="auto"/>
              </w:rPr>
            </w:pPr>
            <w:r>
              <w:rPr>
                <w:rFonts w:ascii="Arial" w:cs="Arial" w:eastAsia="Arial" w:hAnsi="Arial"/>
                <w:sz w:val="14"/>
                <w:szCs w:val="14"/>
                <w:color w:val="auto"/>
                <w:w w:val="88"/>
              </w:rPr>
              <w:t>Purchases,</w:t>
            </w:r>
          </w:p>
        </w:tc>
        <w:tc>
          <w:tcPr>
            <w:tcW w:w="1160" w:type="dxa"/>
            <w:vAlign w:val="bottom"/>
            <w:gridSpan w:val="2"/>
          </w:tcPr>
          <w:p>
            <w:pPr>
              <w:jc w:val="center"/>
              <w:ind w:right="480"/>
              <w:spacing w:after="0" w:line="123" w:lineRule="exact"/>
              <w:rPr>
                <w:sz w:val="20"/>
                <w:szCs w:val="20"/>
                <w:color w:val="auto"/>
              </w:rPr>
            </w:pPr>
            <w:r>
              <w:rPr>
                <w:rFonts w:ascii="Arial" w:cs="Arial" w:eastAsia="Arial" w:hAnsi="Arial"/>
                <w:sz w:val="14"/>
                <w:szCs w:val="14"/>
                <w:color w:val="auto"/>
                <w:w w:val="91"/>
              </w:rPr>
              <w:t>Transfer</w:t>
            </w: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gridSpan w:val="2"/>
          </w:tcPr>
          <w:p>
            <w:pPr>
              <w:jc w:val="center"/>
              <w:ind w:right="260"/>
              <w:spacing w:after="0" w:line="123" w:lineRule="exact"/>
              <w:rPr>
                <w:sz w:val="20"/>
                <w:szCs w:val="20"/>
                <w:color w:val="auto"/>
              </w:rPr>
            </w:pPr>
            <w:r>
              <w:rPr>
                <w:rFonts w:ascii="Arial" w:cs="Arial" w:eastAsia="Arial" w:hAnsi="Arial"/>
                <w:sz w:val="14"/>
                <w:szCs w:val="14"/>
                <w:color w:val="auto"/>
                <w:w w:val="89"/>
              </w:rPr>
              <w:t>assets still</w:t>
            </w:r>
          </w:p>
        </w:tc>
      </w:tr>
      <w:tr>
        <w:trPr>
          <w:trHeight w:val="149"/>
        </w:trPr>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94"/>
              </w:rPr>
              <w:t>Balance-</w:t>
            </w: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3"/>
              </w:rPr>
              <w:t>other</w:t>
            </w:r>
          </w:p>
        </w:tc>
        <w:tc>
          <w:tcPr>
            <w:tcW w:w="124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87"/>
              </w:rPr>
              <w:t>sales,</w:t>
            </w: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5"/>
              </w:rPr>
              <w:t>in and/or</w:t>
            </w: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Balance-</w:t>
            </w:r>
          </w:p>
        </w:tc>
        <w:tc>
          <w:tcPr>
            <w:tcW w:w="2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held at</w:t>
            </w:r>
          </w:p>
        </w:tc>
      </w:tr>
      <w:tr>
        <w:trPr>
          <w:trHeight w:val="149"/>
        </w:trPr>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96"/>
              </w:rPr>
              <w:t>March 31,</w:t>
            </w:r>
          </w:p>
        </w:tc>
        <w:tc>
          <w:tcPr>
            <w:tcW w:w="132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Included</w:t>
            </w:r>
          </w:p>
        </w:tc>
        <w:tc>
          <w:tcPr>
            <w:tcW w:w="134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0"/>
              </w:rPr>
              <w:t>comprehensive</w:t>
            </w: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2"/>
              </w:rPr>
              <w:t>issuances &amp;</w:t>
            </w: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6"/>
              </w:rPr>
              <w:t>out of</w:t>
            </w: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9"/>
              </w:rPr>
              <w:t>June 30,</w:t>
            </w:r>
          </w:p>
        </w:tc>
        <w:tc>
          <w:tcPr>
            <w:tcW w:w="24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9"/>
              </w:rPr>
              <w:t>June 30,</w:t>
            </w:r>
          </w:p>
        </w:tc>
      </w:tr>
      <w:tr>
        <w:trPr>
          <w:trHeight w:val="167"/>
        </w:trPr>
        <w:tc>
          <w:tcPr>
            <w:tcW w:w="2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4"/>
              <w:spacing w:after="0"/>
              <w:rPr>
                <w:sz w:val="20"/>
                <w:szCs w:val="20"/>
                <w:color w:val="auto"/>
              </w:rPr>
            </w:pPr>
            <w:r>
              <w:rPr>
                <w:rFonts w:ascii="Arial" w:cs="Arial" w:eastAsia="Arial" w:hAnsi="Arial"/>
                <w:sz w:val="14"/>
                <w:szCs w:val="14"/>
                <w:color w:val="auto"/>
                <w:w w:val="89"/>
              </w:rPr>
              <w:t>2009</w:t>
            </w:r>
          </w:p>
        </w:tc>
        <w:tc>
          <w:tcPr>
            <w:tcW w:w="480" w:type="dxa"/>
            <w:vAlign w:val="bottom"/>
          </w:tcPr>
          <w:p>
            <w:pPr>
              <w:spacing w:after="0"/>
              <w:rPr>
                <w:sz w:val="14"/>
                <w:szCs w:val="14"/>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4"/>
                <w:szCs w:val="14"/>
                <w:color w:val="auto"/>
                <w:w w:val="90"/>
              </w:rPr>
              <w:t>in earnings</w:t>
            </w: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color w:val="auto"/>
                <w:w w:val="92"/>
              </w:rPr>
              <w:t>income</w:t>
            </w:r>
          </w:p>
        </w:tc>
        <w:tc>
          <w:tcPr>
            <w:tcW w:w="1240" w:type="dxa"/>
            <w:vAlign w:val="bottom"/>
            <w:gridSpan w:val="2"/>
          </w:tcPr>
          <w:p>
            <w:pPr>
              <w:jc w:val="center"/>
              <w:ind w:right="480"/>
              <w:spacing w:after="0"/>
              <w:rPr>
                <w:sz w:val="20"/>
                <w:szCs w:val="20"/>
                <w:color w:val="auto"/>
              </w:rPr>
            </w:pPr>
            <w:r>
              <w:rPr>
                <w:rFonts w:ascii="Arial" w:cs="Arial" w:eastAsia="Arial" w:hAnsi="Arial"/>
                <w:sz w:val="14"/>
                <w:szCs w:val="14"/>
                <w:color w:val="auto"/>
                <w:w w:val="89"/>
              </w:rPr>
              <w:t>settlements</w:t>
            </w: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color w:val="auto"/>
                <w:w w:val="97"/>
              </w:rPr>
              <w:t>Level 3</w:t>
            </w:r>
          </w:p>
        </w:tc>
        <w:tc>
          <w:tcPr>
            <w:tcW w:w="840" w:type="dxa"/>
            <w:vAlign w:val="bottom"/>
          </w:tcPr>
          <w:p>
            <w:pPr>
              <w:jc w:val="center"/>
              <w:spacing w:after="0"/>
              <w:rPr>
                <w:sz w:val="20"/>
                <w:szCs w:val="20"/>
                <w:color w:val="auto"/>
              </w:rPr>
            </w:pPr>
            <w:r>
              <w:rPr>
                <w:rFonts w:ascii="Arial" w:cs="Arial" w:eastAsia="Arial" w:hAnsi="Arial"/>
                <w:sz w:val="14"/>
                <w:szCs w:val="14"/>
                <w:color w:val="auto"/>
                <w:w w:val="89"/>
              </w:rPr>
              <w:t>2009</w:t>
            </w:r>
          </w:p>
        </w:tc>
        <w:tc>
          <w:tcPr>
            <w:tcW w:w="240" w:type="dxa"/>
            <w:vAlign w:val="bottom"/>
          </w:tcPr>
          <w:p>
            <w:pPr>
              <w:spacing w:after="0"/>
              <w:rPr>
                <w:sz w:val="14"/>
                <w:szCs w:val="14"/>
                <w:color w:val="auto"/>
              </w:rPr>
            </w:pPr>
          </w:p>
        </w:tc>
        <w:tc>
          <w:tcPr>
            <w:tcW w:w="1000" w:type="dxa"/>
            <w:vAlign w:val="bottom"/>
            <w:gridSpan w:val="2"/>
          </w:tcPr>
          <w:p>
            <w:pPr>
              <w:jc w:val="center"/>
              <w:ind w:left="168"/>
              <w:spacing w:after="0"/>
              <w:rPr>
                <w:sz w:val="20"/>
                <w:szCs w:val="20"/>
                <w:color w:val="auto"/>
              </w:rPr>
            </w:pPr>
            <w:r>
              <w:rPr>
                <w:rFonts w:ascii="Arial" w:cs="Arial" w:eastAsia="Arial" w:hAnsi="Arial"/>
                <w:sz w:val="14"/>
                <w:szCs w:val="14"/>
                <w:color w:val="auto"/>
                <w:w w:val="89"/>
              </w:rPr>
              <w:t>2009</w:t>
            </w:r>
          </w:p>
        </w:tc>
        <w:tc>
          <w:tcPr>
            <w:tcW w:w="280" w:type="dxa"/>
            <w:vAlign w:val="bottom"/>
          </w:tcPr>
          <w:p>
            <w:pPr>
              <w:spacing w:after="0"/>
              <w:rPr>
                <w:sz w:val="14"/>
                <w:szCs w:val="14"/>
                <w:color w:val="auto"/>
              </w:rPr>
            </w:pPr>
          </w:p>
        </w:tc>
      </w:tr>
      <w:tr>
        <w:trPr>
          <w:trHeight w:val="195"/>
        </w:trPr>
        <w:tc>
          <w:tcPr>
            <w:tcW w:w="25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Investment securities available</w:t>
            </w: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r>
      <w:tr>
        <w:trPr>
          <w:trHeight w:val="230"/>
        </w:trPr>
        <w:tc>
          <w:tcPr>
            <w:tcW w:w="2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 sale:</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r>
      <w:tr>
        <w:trPr>
          <w:trHeight w:val="202"/>
        </w:trPr>
        <w:tc>
          <w:tcPr>
            <w:tcW w:w="2500" w:type="dxa"/>
            <w:vAlign w:val="bottom"/>
          </w:tcPr>
          <w:p>
            <w:pPr>
              <w:spacing w:after="0" w:line="201" w:lineRule="exact"/>
              <w:rPr>
                <w:sz w:val="20"/>
                <w:szCs w:val="20"/>
                <w:color w:val="auto"/>
              </w:rPr>
            </w:pPr>
            <w:r>
              <w:rPr>
                <w:rFonts w:ascii="Arial" w:cs="Arial" w:eastAsia="Arial" w:hAnsi="Arial"/>
                <w:sz w:val="18"/>
                <w:szCs w:val="18"/>
                <w:color w:val="auto"/>
              </w:rPr>
              <w:t>U.S. Treasury and federal</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30"/>
        </w:trPr>
        <w:tc>
          <w:tcPr>
            <w:tcW w:w="2500" w:type="dxa"/>
            <w:vAlign w:val="bottom"/>
          </w:tcPr>
          <w:p>
            <w:pPr>
              <w:ind w:left="220"/>
              <w:spacing w:after="0"/>
              <w:rPr>
                <w:sz w:val="20"/>
                <w:szCs w:val="20"/>
                <w:color w:val="auto"/>
              </w:rPr>
            </w:pPr>
            <w:r>
              <w:rPr>
                <w:rFonts w:ascii="Arial" w:cs="Arial" w:eastAsia="Arial" w:hAnsi="Arial"/>
                <w:sz w:val="18"/>
                <w:szCs w:val="18"/>
                <w:color w:val="auto"/>
              </w:rPr>
              <w:t>agencies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02"/>
        </w:trPr>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Obligations of states and</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30"/>
        </w:trPr>
        <w:tc>
          <w:tcPr>
            <w:tcW w:w="2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political subdivisions</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12,182</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12,203</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02"/>
        </w:trPr>
        <w:tc>
          <w:tcPr>
            <w:tcW w:w="2500" w:type="dxa"/>
            <w:vAlign w:val="bottom"/>
          </w:tcPr>
          <w:p>
            <w:pPr>
              <w:spacing w:after="0" w:line="201" w:lineRule="exact"/>
              <w:rPr>
                <w:sz w:val="20"/>
                <w:szCs w:val="20"/>
                <w:color w:val="auto"/>
              </w:rPr>
            </w:pPr>
            <w:r>
              <w:rPr>
                <w:rFonts w:ascii="Arial" w:cs="Arial" w:eastAsia="Arial" w:hAnsi="Arial"/>
                <w:sz w:val="18"/>
                <w:szCs w:val="18"/>
                <w:color w:val="auto"/>
              </w:rPr>
              <w:t>Government issued or</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16"/>
        </w:trPr>
        <w:tc>
          <w:tcPr>
            <w:tcW w:w="2500" w:type="dxa"/>
            <w:vAlign w:val="bottom"/>
          </w:tcPr>
          <w:p>
            <w:pPr>
              <w:ind w:left="220"/>
              <w:spacing w:after="0"/>
              <w:rPr>
                <w:sz w:val="20"/>
                <w:szCs w:val="20"/>
                <w:color w:val="auto"/>
              </w:rPr>
            </w:pPr>
            <w:r>
              <w:rPr>
                <w:rFonts w:ascii="Arial" w:cs="Arial" w:eastAsia="Arial" w:hAnsi="Arial"/>
                <w:sz w:val="18"/>
                <w:szCs w:val="18"/>
                <w:color w:val="auto"/>
              </w:rPr>
              <w:t>guaranteed mortgage-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0"/>
        </w:trPr>
        <w:tc>
          <w:tcPr>
            <w:tcW w:w="2500" w:type="dxa"/>
            <w:vAlign w:val="bottom"/>
          </w:tcPr>
          <w:p>
            <w:pPr>
              <w:ind w:left="220"/>
              <w:spacing w:after="0"/>
              <w:rPr>
                <w:sz w:val="20"/>
                <w:szCs w:val="20"/>
                <w:color w:val="auto"/>
              </w:rPr>
            </w:pPr>
            <w:r>
              <w:rPr>
                <w:rFonts w:ascii="Arial" w:cs="Arial" w:eastAsia="Arial" w:hAnsi="Arial"/>
                <w:sz w:val="18"/>
                <w:szCs w:val="18"/>
                <w:color w:val="auto"/>
              </w:rPr>
              <w:t>backed securities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02"/>
        </w:trPr>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Privately issued residential</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30"/>
        </w:trPr>
        <w:tc>
          <w:tcPr>
            <w:tcW w:w="25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mortgage- backed securities</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2,349,403</w:t>
            </w:r>
          </w:p>
        </w:tc>
        <w:tc>
          <w:tcPr>
            <w:tcW w:w="4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(22,269)(a)</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37,622</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(122,998)</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2,241,758</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(22,269)(a)</w:t>
            </w:r>
          </w:p>
        </w:tc>
      </w:tr>
      <w:tr>
        <w:trPr>
          <w:trHeight w:val="202"/>
        </w:trPr>
        <w:tc>
          <w:tcPr>
            <w:tcW w:w="2500" w:type="dxa"/>
            <w:vAlign w:val="bottom"/>
          </w:tcPr>
          <w:p>
            <w:pPr>
              <w:spacing w:after="0" w:line="201" w:lineRule="exact"/>
              <w:rPr>
                <w:sz w:val="20"/>
                <w:szCs w:val="20"/>
                <w:color w:val="auto"/>
              </w:rPr>
            </w:pPr>
            <w:r>
              <w:rPr>
                <w:rFonts w:ascii="Arial" w:cs="Arial" w:eastAsia="Arial" w:hAnsi="Arial"/>
                <w:sz w:val="18"/>
                <w:szCs w:val="18"/>
                <w:color w:val="auto"/>
              </w:rPr>
              <w:t>Privately issued commercial</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30"/>
        </w:trPr>
        <w:tc>
          <w:tcPr>
            <w:tcW w:w="2500" w:type="dxa"/>
            <w:vAlign w:val="bottom"/>
          </w:tcPr>
          <w:p>
            <w:pPr>
              <w:ind w:left="220"/>
              <w:spacing w:after="0"/>
              <w:rPr>
                <w:sz w:val="20"/>
                <w:szCs w:val="20"/>
                <w:color w:val="auto"/>
              </w:rPr>
            </w:pPr>
            <w:r>
              <w:rPr>
                <w:rFonts w:ascii="Arial" w:cs="Arial" w:eastAsia="Arial" w:hAnsi="Arial"/>
                <w:sz w:val="18"/>
                <w:szCs w:val="18"/>
                <w:color w:val="auto"/>
                <w:w w:val="99"/>
              </w:rPr>
              <w:t>mortgage- backed securities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32,215</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(5,739)</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(3,458)</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23,018</w:t>
            </w:r>
          </w:p>
        </w:tc>
        <w:tc>
          <w:tcPr>
            <w:tcW w:w="24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w:t>
            </w:r>
          </w:p>
        </w:tc>
        <w:tc>
          <w:tcPr>
            <w:tcW w:w="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(2,101)(a)</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13,787</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98,265</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112,372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(2,101)(a)</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Other debt securities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40</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725</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765</w:t>
            </w:r>
          </w:p>
        </w:tc>
        <w:tc>
          <w:tcPr>
            <w:tcW w:w="2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2,329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23"/>
        </w:trPr>
        <w:tc>
          <w:tcPr>
            <w:tcW w:w="2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2,398,564</w:t>
            </w:r>
          </w:p>
        </w:tc>
        <w:tc>
          <w:tcPr>
            <w:tcW w:w="4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(24,370)</w:t>
            </w:r>
          </w:p>
        </w:tc>
        <w:tc>
          <w:tcPr>
            <w:tcW w:w="6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45,732</w:t>
            </w:r>
          </w:p>
        </w:tc>
        <w:tc>
          <w:tcPr>
            <w:tcW w:w="4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(27,481)</w:t>
            </w:r>
          </w:p>
        </w:tc>
        <w:tc>
          <w:tcPr>
            <w:tcW w:w="4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2,392,445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(24,370)</w:t>
            </w:r>
          </w:p>
        </w:tc>
        <w:tc>
          <w:tcPr>
            <w:tcW w:w="280" w:type="dxa"/>
            <w:vAlign w:val="bottom"/>
          </w:tcPr>
          <w:p>
            <w:pPr>
              <w:spacing w:after="0"/>
              <w:rPr>
                <w:sz w:val="19"/>
                <w:szCs w:val="19"/>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w w:val="96"/>
              </w:rPr>
              <w:t>Other assets and other liabilities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22,037</w:t>
            </w:r>
          </w:p>
        </w:tc>
        <w:tc>
          <w:tcPr>
            <w:tcW w:w="1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(7,768)(b)</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(4,593)</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9,676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7,946(b)</w:t>
            </w:r>
          </w:p>
        </w:tc>
      </w:tr>
      <w:tr>
        <w:trPr>
          <w:trHeight w:val="405"/>
        </w:trPr>
        <w:tc>
          <w:tcPr>
            <w:tcW w:w="2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jc w:val="right"/>
              <w:ind w:right="195"/>
              <w:spacing w:after="0"/>
              <w:rPr>
                <w:sz w:val="20"/>
                <w:szCs w:val="20"/>
                <w:color w:val="auto"/>
              </w:rPr>
            </w:pPr>
            <w:r>
              <w:rPr>
                <w:rFonts w:ascii="Arial" w:cs="Arial" w:eastAsia="Arial" w:hAnsi="Arial"/>
                <w:sz w:val="18"/>
                <w:szCs w:val="18"/>
                <w:color w:val="auto"/>
              </w:rPr>
              <w:t>- 31 -</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26"/>
        </w:trPr>
        <w:tc>
          <w:tcPr>
            <w:tcW w:w="25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 continued</w:t>
      </w:r>
    </w:p>
    <w:p>
      <w:pPr>
        <w:spacing w:after="0" w:line="121"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three months ended June 30, 2008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color w:val="auto"/>
                <w:w w:val="90"/>
              </w:rPr>
              <w:t>Changes in</w:t>
            </w:r>
          </w:p>
        </w:tc>
      </w:tr>
      <w:tr>
        <w:trPr>
          <w:trHeight w:val="149"/>
        </w:trPr>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2"/>
              </w:rPr>
              <w:t>unrealized</w:t>
            </w:r>
          </w:p>
        </w:tc>
      </w:tr>
      <w:tr>
        <w:trPr>
          <w:trHeight w:val="149"/>
        </w:trPr>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9"/>
              </w:rPr>
              <w:t>gains</w:t>
            </w:r>
          </w:p>
        </w:tc>
      </w:tr>
      <w:tr>
        <w:trPr>
          <w:trHeight w:val="149"/>
        </w:trPr>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9"/>
              </w:rPr>
              <w:t>(losses)</w:t>
            </w:r>
          </w:p>
        </w:tc>
      </w:tr>
      <w:tr>
        <w:trPr>
          <w:trHeight w:val="149"/>
        </w:trPr>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5"/>
              </w:rPr>
              <w:t>included in</w:t>
            </w:r>
          </w:p>
        </w:tc>
      </w:tr>
      <w:tr>
        <w:trPr>
          <w:trHeight w:val="149"/>
        </w:trPr>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20" w:type="dxa"/>
            <w:vAlign w:val="bottom"/>
            <w:gridSpan w:val="5"/>
          </w:tcPr>
          <w:p>
            <w:pPr>
              <w:jc w:val="right"/>
              <w:ind w:right="800"/>
              <w:spacing w:after="0" w:line="149" w:lineRule="exact"/>
              <w:rPr>
                <w:sz w:val="20"/>
                <w:szCs w:val="20"/>
                <w:color w:val="auto"/>
              </w:rPr>
            </w:pPr>
            <w:r>
              <w:rPr>
                <w:rFonts w:ascii="Arial" w:cs="Arial" w:eastAsia="Arial" w:hAnsi="Arial"/>
                <w:sz w:val="14"/>
                <w:szCs w:val="14"/>
                <w:color w:val="auto"/>
              </w:rPr>
              <w:t>Total gains (losses)</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earnings</w:t>
            </w:r>
          </w:p>
        </w:tc>
      </w:tr>
      <w:tr>
        <w:trPr>
          <w:trHeight w:val="167"/>
        </w:trPr>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20" w:type="dxa"/>
            <w:vAlign w:val="bottom"/>
            <w:gridSpan w:val="5"/>
          </w:tcPr>
          <w:p>
            <w:pPr>
              <w:jc w:val="right"/>
              <w:ind w:right="800"/>
              <w:spacing w:after="0"/>
              <w:rPr>
                <w:sz w:val="20"/>
                <w:szCs w:val="20"/>
                <w:color w:val="auto"/>
              </w:rPr>
            </w:pPr>
            <w:r>
              <w:rPr>
                <w:rFonts w:ascii="Arial" w:cs="Arial" w:eastAsia="Arial" w:hAnsi="Arial"/>
                <w:sz w:val="14"/>
                <w:szCs w:val="14"/>
                <w:color w:val="auto"/>
              </w:rPr>
              <w:t>realized/unrealized</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4"/>
                <w:szCs w:val="14"/>
                <w:color w:val="auto"/>
                <w:w w:val="91"/>
              </w:rPr>
              <w:t>Transfer</w:t>
            </w: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related to</w:t>
            </w:r>
          </w:p>
        </w:tc>
      </w:tr>
      <w:tr>
        <w:trPr>
          <w:trHeight w:val="123"/>
        </w:trPr>
        <w:tc>
          <w:tcPr>
            <w:tcW w:w="2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4"/>
              </w:rPr>
              <w:t>Included in</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2"/>
          </w:tcPr>
          <w:p>
            <w:pPr>
              <w:jc w:val="center"/>
              <w:ind w:right="500"/>
              <w:spacing w:after="0" w:line="123" w:lineRule="exact"/>
              <w:rPr>
                <w:sz w:val="20"/>
                <w:szCs w:val="20"/>
                <w:color w:val="auto"/>
              </w:rPr>
            </w:pPr>
            <w:r>
              <w:rPr>
                <w:rFonts w:ascii="Arial" w:cs="Arial" w:eastAsia="Arial" w:hAnsi="Arial"/>
                <w:sz w:val="14"/>
                <w:szCs w:val="14"/>
                <w:color w:val="auto"/>
                <w:w w:val="88"/>
              </w:rPr>
              <w:t>Purchases,</w:t>
            </w:r>
          </w:p>
        </w:tc>
        <w:tc>
          <w:tcPr>
            <w:tcW w:w="1200" w:type="dxa"/>
            <w:vAlign w:val="bottom"/>
            <w:gridSpan w:val="2"/>
          </w:tcPr>
          <w:p>
            <w:pPr>
              <w:jc w:val="center"/>
              <w:ind w:right="500"/>
              <w:spacing w:after="0" w:line="123" w:lineRule="exact"/>
              <w:rPr>
                <w:sz w:val="20"/>
                <w:szCs w:val="20"/>
                <w:color w:val="auto"/>
              </w:rPr>
            </w:pPr>
            <w:r>
              <w:rPr>
                <w:rFonts w:ascii="Arial" w:cs="Arial" w:eastAsia="Arial" w:hAnsi="Arial"/>
                <w:sz w:val="14"/>
                <w:szCs w:val="14"/>
                <w:color w:val="auto"/>
                <w:w w:val="91"/>
              </w:rPr>
              <w:t>in</w:t>
            </w: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00" w:type="dxa"/>
            <w:vAlign w:val="bottom"/>
            <w:gridSpan w:val="2"/>
          </w:tcPr>
          <w:p>
            <w:pPr>
              <w:jc w:val="center"/>
              <w:ind w:right="200"/>
              <w:spacing w:after="0" w:line="123" w:lineRule="exact"/>
              <w:rPr>
                <w:sz w:val="20"/>
                <w:szCs w:val="20"/>
                <w:color w:val="auto"/>
              </w:rPr>
            </w:pPr>
            <w:r>
              <w:rPr>
                <w:rFonts w:ascii="Arial" w:cs="Arial" w:eastAsia="Arial" w:hAnsi="Arial"/>
                <w:sz w:val="14"/>
                <w:szCs w:val="14"/>
                <w:color w:val="auto"/>
                <w:w w:val="89"/>
              </w:rPr>
              <w:t>assets still</w:t>
            </w:r>
          </w:p>
        </w:tc>
      </w:tr>
      <w:tr>
        <w:trPr>
          <w:trHeight w:val="149"/>
        </w:trPr>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94"/>
              </w:rPr>
              <w:t>Balance-</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3"/>
              </w:rPr>
              <w:t>other</w:t>
            </w:r>
          </w:p>
        </w:tc>
        <w:tc>
          <w:tcPr>
            <w:tcW w:w="22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87"/>
              </w:rPr>
              <w:t>sales,</w:t>
            </w: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5"/>
              </w:rPr>
              <w:t>and/or</w:t>
            </w:r>
          </w:p>
        </w:tc>
        <w:tc>
          <w:tcPr>
            <w:tcW w:w="134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4"/>
              </w:rPr>
              <w:t>Balance-</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held at</w:t>
            </w:r>
          </w:p>
        </w:tc>
      </w:tr>
      <w:tr>
        <w:trPr>
          <w:trHeight w:val="149"/>
        </w:trPr>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96"/>
              </w:rPr>
              <w:t>March 31,</w:t>
            </w:r>
          </w:p>
        </w:tc>
        <w:tc>
          <w:tcPr>
            <w:tcW w:w="10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Included</w:t>
            </w:r>
          </w:p>
        </w:tc>
        <w:tc>
          <w:tcPr>
            <w:tcW w:w="134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2"/>
              </w:rPr>
              <w:t>comprehensive</w:t>
            </w:r>
          </w:p>
        </w:tc>
        <w:tc>
          <w:tcPr>
            <w:tcW w:w="142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2"/>
              </w:rPr>
              <w:t>issuances &amp;</w:t>
            </w: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6"/>
              </w:rPr>
              <w:t>out of</w:t>
            </w:r>
          </w:p>
        </w:tc>
        <w:tc>
          <w:tcPr>
            <w:tcW w:w="134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89"/>
              </w:rPr>
              <w:t>June 30,</w:t>
            </w: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9"/>
              </w:rPr>
              <w:t>June 30,</w:t>
            </w:r>
          </w:p>
        </w:tc>
      </w:tr>
      <w:tr>
        <w:trPr>
          <w:trHeight w:val="167"/>
        </w:trPr>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4"/>
              <w:spacing w:after="0"/>
              <w:rPr>
                <w:sz w:val="20"/>
                <w:szCs w:val="20"/>
                <w:color w:val="auto"/>
              </w:rPr>
            </w:pPr>
            <w:r>
              <w:rPr>
                <w:rFonts w:ascii="Arial" w:cs="Arial" w:eastAsia="Arial" w:hAnsi="Arial"/>
                <w:sz w:val="14"/>
                <w:szCs w:val="14"/>
                <w:color w:val="auto"/>
                <w:w w:val="89"/>
              </w:rPr>
              <w:t>2008</w:t>
            </w:r>
          </w:p>
        </w:tc>
        <w:tc>
          <w:tcPr>
            <w:tcW w:w="50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color w:val="auto"/>
                <w:w w:val="93"/>
              </w:rPr>
              <w:t>in earnings</w:t>
            </w:r>
          </w:p>
        </w:tc>
        <w:tc>
          <w:tcPr>
            <w:tcW w:w="20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income</w:t>
            </w:r>
          </w:p>
        </w:tc>
        <w:tc>
          <w:tcPr>
            <w:tcW w:w="220" w:type="dxa"/>
            <w:vAlign w:val="bottom"/>
          </w:tcPr>
          <w:p>
            <w:pPr>
              <w:spacing w:after="0"/>
              <w:rPr>
                <w:sz w:val="14"/>
                <w:szCs w:val="14"/>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color w:val="auto"/>
                <w:w w:val="92"/>
              </w:rPr>
              <w:t>settlements</w:t>
            </w:r>
          </w:p>
        </w:tc>
        <w:tc>
          <w:tcPr>
            <w:tcW w:w="1200" w:type="dxa"/>
            <w:vAlign w:val="bottom"/>
            <w:gridSpan w:val="2"/>
          </w:tcPr>
          <w:p>
            <w:pPr>
              <w:jc w:val="center"/>
              <w:ind w:right="520"/>
              <w:spacing w:after="0"/>
              <w:rPr>
                <w:sz w:val="20"/>
                <w:szCs w:val="20"/>
                <w:color w:val="auto"/>
              </w:rPr>
            </w:pPr>
            <w:r>
              <w:rPr>
                <w:rFonts w:ascii="Arial" w:cs="Arial" w:eastAsia="Arial" w:hAnsi="Arial"/>
                <w:sz w:val="14"/>
                <w:szCs w:val="14"/>
                <w:color w:val="auto"/>
                <w:w w:val="97"/>
              </w:rPr>
              <w:t>Level 3</w:t>
            </w:r>
          </w:p>
        </w:tc>
        <w:tc>
          <w:tcPr>
            <w:tcW w:w="840" w:type="dxa"/>
            <w:vAlign w:val="bottom"/>
          </w:tcPr>
          <w:p>
            <w:pPr>
              <w:jc w:val="center"/>
              <w:spacing w:after="0"/>
              <w:rPr>
                <w:sz w:val="20"/>
                <w:szCs w:val="20"/>
                <w:color w:val="auto"/>
              </w:rPr>
            </w:pPr>
            <w:r>
              <w:rPr>
                <w:rFonts w:ascii="Arial" w:cs="Arial" w:eastAsia="Arial" w:hAnsi="Arial"/>
                <w:sz w:val="14"/>
                <w:szCs w:val="14"/>
                <w:color w:val="auto"/>
                <w:w w:val="89"/>
              </w:rPr>
              <w:t>2008</w:t>
            </w:r>
          </w:p>
        </w:tc>
        <w:tc>
          <w:tcPr>
            <w:tcW w:w="5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6"/>
              </w:rPr>
              <w:t>2008</w:t>
            </w:r>
          </w:p>
        </w:tc>
        <w:tc>
          <w:tcPr>
            <w:tcW w:w="220" w:type="dxa"/>
            <w:vAlign w:val="bottom"/>
          </w:tcPr>
          <w:p>
            <w:pPr>
              <w:spacing w:after="0"/>
              <w:rPr>
                <w:sz w:val="14"/>
                <w:szCs w:val="14"/>
                <w:color w:val="auto"/>
              </w:rPr>
            </w:pPr>
          </w:p>
        </w:tc>
      </w:tr>
      <w:tr>
        <w:trPr>
          <w:trHeight w:val="195"/>
        </w:trPr>
        <w:tc>
          <w:tcPr>
            <w:tcW w:w="26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Investment securities available</w:t>
            </w:r>
          </w:p>
        </w:tc>
        <w:tc>
          <w:tcPr>
            <w:tcW w:w="2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230"/>
        </w:trPr>
        <w:tc>
          <w:tcPr>
            <w:tcW w:w="2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 sale:</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r>
      <w:tr>
        <w:trPr>
          <w:trHeight w:val="202"/>
        </w:trPr>
        <w:tc>
          <w:tcPr>
            <w:tcW w:w="2600" w:type="dxa"/>
            <w:vAlign w:val="bottom"/>
          </w:tcPr>
          <w:p>
            <w:pPr>
              <w:spacing w:after="0" w:line="201" w:lineRule="exact"/>
              <w:rPr>
                <w:sz w:val="20"/>
                <w:szCs w:val="20"/>
                <w:color w:val="auto"/>
              </w:rPr>
            </w:pPr>
            <w:r>
              <w:rPr>
                <w:rFonts w:ascii="Arial" w:cs="Arial" w:eastAsia="Arial" w:hAnsi="Arial"/>
                <w:sz w:val="18"/>
                <w:szCs w:val="18"/>
                <w:color w:val="auto"/>
              </w:rPr>
              <w:t>U.S. Treasury and federal</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2600" w:type="dxa"/>
            <w:vAlign w:val="bottom"/>
          </w:tcPr>
          <w:p>
            <w:pPr>
              <w:ind w:left="220"/>
              <w:spacing w:after="0"/>
              <w:rPr>
                <w:sz w:val="20"/>
                <w:szCs w:val="20"/>
                <w:color w:val="auto"/>
              </w:rPr>
            </w:pPr>
            <w:r>
              <w:rPr>
                <w:rFonts w:ascii="Arial" w:cs="Arial" w:eastAsia="Arial" w:hAnsi="Arial"/>
                <w:sz w:val="18"/>
                <w:szCs w:val="18"/>
                <w:color w:val="auto"/>
              </w:rPr>
              <w:t>agencies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5,688</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(152)</w:t>
            </w:r>
          </w:p>
        </w:tc>
        <w:tc>
          <w:tcPr>
            <w:tcW w:w="1420" w:type="dxa"/>
            <w:vAlign w:val="bottom"/>
            <w:gridSpan w:val="3"/>
          </w:tcPr>
          <w:p>
            <w:pPr>
              <w:jc w:val="right"/>
              <w:ind w:right="440"/>
              <w:spacing w:after="0"/>
              <w:rPr>
                <w:sz w:val="20"/>
                <w:szCs w:val="20"/>
                <w:color w:val="auto"/>
              </w:rPr>
            </w:pPr>
            <w:r>
              <w:rPr>
                <w:rFonts w:ascii="Arial" w:cs="Arial" w:eastAsia="Arial" w:hAnsi="Arial"/>
                <w:sz w:val="18"/>
                <w:szCs w:val="18"/>
                <w:color w:val="auto"/>
              </w:rPr>
              <w:t>(169)</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5,367</w:t>
            </w:r>
          </w:p>
        </w:tc>
        <w:tc>
          <w:tcPr>
            <w:tcW w:w="5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02"/>
        </w:trPr>
        <w:tc>
          <w:tcPr>
            <w:tcW w:w="2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Obligations of states and</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2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political subdivisions</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48</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5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02"/>
        </w:trPr>
        <w:tc>
          <w:tcPr>
            <w:tcW w:w="2600" w:type="dxa"/>
            <w:vAlign w:val="bottom"/>
          </w:tcPr>
          <w:p>
            <w:pPr>
              <w:spacing w:after="0" w:line="201" w:lineRule="exact"/>
              <w:rPr>
                <w:sz w:val="20"/>
                <w:szCs w:val="20"/>
                <w:color w:val="auto"/>
              </w:rPr>
            </w:pPr>
            <w:r>
              <w:rPr>
                <w:rFonts w:ascii="Arial" w:cs="Arial" w:eastAsia="Arial" w:hAnsi="Arial"/>
                <w:sz w:val="18"/>
                <w:szCs w:val="18"/>
                <w:color w:val="auto"/>
              </w:rPr>
              <w:t>Government issued or</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2600" w:type="dxa"/>
            <w:vAlign w:val="bottom"/>
          </w:tcPr>
          <w:p>
            <w:pPr>
              <w:ind w:left="220"/>
              <w:spacing w:after="0"/>
              <w:rPr>
                <w:sz w:val="20"/>
                <w:szCs w:val="20"/>
                <w:color w:val="auto"/>
              </w:rPr>
            </w:pPr>
            <w:r>
              <w:rPr>
                <w:rFonts w:ascii="Arial" w:cs="Arial" w:eastAsia="Arial" w:hAnsi="Arial"/>
                <w:sz w:val="18"/>
                <w:szCs w:val="18"/>
                <w:color w:val="auto"/>
                <w:w w:val="97"/>
              </w:rPr>
              <w:t>guaranteed mortgage- backed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2600" w:type="dxa"/>
            <w:vAlign w:val="bottom"/>
          </w:tcPr>
          <w:p>
            <w:pPr>
              <w:ind w:left="220"/>
              <w:spacing w:after="0"/>
              <w:rPr>
                <w:sz w:val="20"/>
                <w:szCs w:val="20"/>
                <w:color w:val="auto"/>
              </w:rPr>
            </w:pPr>
            <w:r>
              <w:rPr>
                <w:rFonts w:ascii="Arial" w:cs="Arial" w:eastAsia="Arial" w:hAnsi="Arial"/>
                <w:sz w:val="18"/>
                <w:szCs w:val="18"/>
                <w:color w:val="auto"/>
              </w:rPr>
              <w:t>securities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90,096</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(1,092)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500" w:type="dxa"/>
            <w:vAlign w:val="bottom"/>
          </w:tcPr>
          <w:p>
            <w:pPr>
              <w:spacing w:after="0"/>
              <w:rPr>
                <w:sz w:val="20"/>
                <w:szCs w:val="20"/>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89,071</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02"/>
        </w:trPr>
        <w:tc>
          <w:tcPr>
            <w:tcW w:w="2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Privately issued residential and</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26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commercial mortgage- backed</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2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securities</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1,055,017</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(21,587)</w:t>
            </w:r>
          </w:p>
        </w:tc>
        <w:tc>
          <w:tcPr>
            <w:tcW w:w="14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(52,193)</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(85,219)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896,018</w:t>
            </w:r>
          </w:p>
        </w:tc>
        <w:tc>
          <w:tcPr>
            <w:tcW w:w="5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19,630</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(5,148)</w:t>
            </w:r>
          </w:p>
        </w:tc>
        <w:tc>
          <w:tcPr>
            <w:tcW w:w="22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14,482</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Equity securities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2,322</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(1)</w:t>
            </w:r>
          </w:p>
        </w:tc>
        <w:tc>
          <w:tcPr>
            <w:tcW w:w="1420" w:type="dxa"/>
            <w:vAlign w:val="bottom"/>
            <w:gridSpan w:val="3"/>
          </w:tcPr>
          <w:p>
            <w:pPr>
              <w:jc w:val="right"/>
              <w:ind w:right="500"/>
              <w:spacing w:after="0"/>
              <w:rPr>
                <w:sz w:val="20"/>
                <w:szCs w:val="20"/>
                <w:color w:val="auto"/>
              </w:rPr>
            </w:pPr>
            <w:r>
              <w:rPr>
                <w:rFonts w:ascii="Arial" w:cs="Arial" w:eastAsia="Arial" w:hAnsi="Arial"/>
                <w:sz w:val="18"/>
                <w:szCs w:val="18"/>
                <w:color w:val="auto"/>
              </w:rPr>
              <w:t>8</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2,329</w:t>
            </w:r>
          </w:p>
        </w:tc>
        <w:tc>
          <w:tcPr>
            <w:tcW w:w="5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7"/>
        </w:trPr>
        <w:tc>
          <w:tcPr>
            <w:tcW w:w="2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2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1,172,801</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(27,981)</w:t>
            </w:r>
          </w:p>
        </w:tc>
        <w:tc>
          <w:tcPr>
            <w:tcW w:w="14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(52,287)</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(85,219)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1,007,314</w:t>
            </w:r>
          </w:p>
        </w:tc>
        <w:tc>
          <w:tcPr>
            <w:tcW w:w="5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432"/>
        </w:trPr>
        <w:tc>
          <w:tcPr>
            <w:tcW w:w="2600" w:type="dxa"/>
            <w:vAlign w:val="bottom"/>
          </w:tcPr>
          <w:p>
            <w:pPr>
              <w:spacing w:after="0"/>
              <w:rPr>
                <w:sz w:val="20"/>
                <w:szCs w:val="20"/>
                <w:color w:val="auto"/>
              </w:rPr>
            </w:pPr>
            <w:r>
              <w:rPr>
                <w:rFonts w:ascii="Arial" w:cs="Arial" w:eastAsia="Arial" w:hAnsi="Arial"/>
                <w:sz w:val="18"/>
                <w:szCs w:val="18"/>
                <w:color w:val="auto"/>
              </w:rPr>
              <w:t>Other assets and other liabilities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8,128</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2,242(b)</w:t>
            </w:r>
          </w:p>
        </w:tc>
        <w:tc>
          <w:tcPr>
            <w:tcW w:w="200" w:type="dxa"/>
            <w:vAlign w:val="bottom"/>
          </w:tcPr>
          <w:p>
            <w:pPr>
              <w:spacing w:after="0"/>
              <w:rPr>
                <w:sz w:val="24"/>
                <w:szCs w:val="2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(6,251)</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4,119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3,596(b)</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an other-than-temporary impairment loss in the consolidated statement of income.</w:t>
      </w:r>
    </w:p>
    <w:p>
      <w:pPr>
        <w:spacing w:after="0" w:line="76" w:lineRule="exact"/>
        <w:rPr>
          <w:rFonts w:ascii="Arial" w:cs="Arial" w:eastAsia="Arial" w:hAnsi="Arial"/>
          <w:sz w:val="18"/>
          <w:szCs w:val="18"/>
          <w:i w:val="1"/>
          <w:iCs w:val="1"/>
          <w:color w:val="auto"/>
        </w:rPr>
      </w:pPr>
    </w:p>
    <w:p>
      <w:pPr>
        <w:ind w:left="460" w:hanging="452"/>
        <w:spacing w:after="0"/>
        <w:tabs>
          <w:tab w:leader="none" w:pos="46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Reported as mortgage banking revenues in the consolidated statement of income and includes the fair value of commitment issuances and expirations.</w:t>
      </w:r>
    </w:p>
    <w:p>
      <w:pPr>
        <w:spacing w:after="0" w:line="207" w:lineRule="exact"/>
        <w:rPr>
          <w:rFonts w:ascii="Arial" w:cs="Arial" w:eastAsia="Arial" w:hAnsi="Arial"/>
          <w:sz w:val="16"/>
          <w:szCs w:val="16"/>
          <w:i w:val="1"/>
          <w:iCs w:val="1"/>
          <w:color w:val="auto"/>
        </w:rPr>
      </w:pPr>
    </w:p>
    <w:p>
      <w:pPr>
        <w:ind w:left="5620" w:hanging="101"/>
        <w:spacing w:after="0"/>
        <w:tabs>
          <w:tab w:leader="none" w:pos="5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 continued</w:t>
      </w:r>
    </w:p>
    <w:p>
      <w:pPr>
        <w:spacing w:after="0" w:line="121" w:lineRule="exact"/>
        <w:rPr>
          <w:sz w:val="20"/>
          <w:szCs w:val="20"/>
          <w:color w:val="auto"/>
        </w:rPr>
      </w:pPr>
    </w:p>
    <w:p>
      <w:pPr>
        <w:ind w:right="460" w:firstLine="222"/>
        <w:spacing w:after="0" w:line="277"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six months ended June 30, 2009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color w:val="auto"/>
                <w:w w:val="90"/>
              </w:rPr>
              <w:t>Changes in</w:t>
            </w:r>
          </w:p>
        </w:tc>
      </w:tr>
      <w:tr>
        <w:trPr>
          <w:trHeight w:val="149"/>
        </w:trPr>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2"/>
              </w:rPr>
              <w:t>unrealized</w:t>
            </w:r>
          </w:p>
        </w:tc>
      </w:tr>
      <w:tr>
        <w:trPr>
          <w:trHeight w:val="149"/>
        </w:trPr>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90"/>
              </w:rPr>
              <w:t>gains (losses)</w:t>
            </w:r>
          </w:p>
        </w:tc>
      </w:tr>
      <w:tr>
        <w:trPr>
          <w:trHeight w:val="149"/>
        </w:trPr>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included in</w:t>
            </w:r>
          </w:p>
        </w:tc>
      </w:tr>
      <w:tr>
        <w:trPr>
          <w:trHeight w:val="149"/>
        </w:trPr>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60" w:type="dxa"/>
            <w:vAlign w:val="bottom"/>
            <w:gridSpan w:val="5"/>
          </w:tcPr>
          <w:p>
            <w:pPr>
              <w:jc w:val="right"/>
              <w:ind w:right="1020"/>
              <w:spacing w:after="0" w:line="149" w:lineRule="exact"/>
              <w:rPr>
                <w:sz w:val="20"/>
                <w:szCs w:val="20"/>
                <w:color w:val="auto"/>
              </w:rPr>
            </w:pPr>
            <w:r>
              <w:rPr>
                <w:rFonts w:ascii="Arial" w:cs="Arial" w:eastAsia="Arial" w:hAnsi="Arial"/>
                <w:sz w:val="14"/>
                <w:szCs w:val="14"/>
                <w:color w:val="auto"/>
              </w:rPr>
              <w:t>Total gains (losses)</w:t>
            </w: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9"/>
              </w:rPr>
              <w:t>earnings</w:t>
            </w:r>
          </w:p>
        </w:tc>
      </w:tr>
      <w:tr>
        <w:trPr>
          <w:trHeight w:val="167"/>
        </w:trPr>
        <w:tc>
          <w:tcPr>
            <w:tcW w:w="2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60" w:type="dxa"/>
            <w:vAlign w:val="bottom"/>
            <w:gridSpan w:val="5"/>
          </w:tcPr>
          <w:p>
            <w:pPr>
              <w:jc w:val="right"/>
              <w:ind w:right="1040"/>
              <w:spacing w:after="0"/>
              <w:rPr>
                <w:sz w:val="20"/>
                <w:szCs w:val="20"/>
                <w:color w:val="auto"/>
              </w:rPr>
            </w:pPr>
            <w:r>
              <w:rPr>
                <w:rFonts w:ascii="Arial" w:cs="Arial" w:eastAsia="Arial" w:hAnsi="Arial"/>
                <w:sz w:val="14"/>
                <w:szCs w:val="14"/>
                <w:color w:val="auto"/>
              </w:rPr>
              <w:t>realized/unrealized</w:t>
            </w: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related to</w:t>
            </w:r>
          </w:p>
        </w:tc>
      </w:tr>
      <w:tr>
        <w:trPr>
          <w:trHeight w:val="123"/>
        </w:trPr>
        <w:tc>
          <w:tcPr>
            <w:tcW w:w="2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7"/>
              </w:rPr>
              <w:t>Included in</w:t>
            </w:r>
          </w:p>
        </w:tc>
        <w:tc>
          <w:tcPr>
            <w:tcW w:w="500" w:type="dxa"/>
            <w:vAlign w:val="bottom"/>
          </w:tcPr>
          <w:p>
            <w:pPr>
              <w:spacing w:after="0"/>
              <w:rPr>
                <w:sz w:val="10"/>
                <w:szCs w:val="10"/>
                <w:color w:val="auto"/>
              </w:rPr>
            </w:pPr>
          </w:p>
        </w:tc>
        <w:tc>
          <w:tcPr>
            <w:tcW w:w="1240" w:type="dxa"/>
            <w:vAlign w:val="bottom"/>
            <w:gridSpan w:val="2"/>
          </w:tcPr>
          <w:p>
            <w:pPr>
              <w:jc w:val="center"/>
              <w:ind w:right="500"/>
              <w:spacing w:after="0" w:line="123" w:lineRule="exact"/>
              <w:rPr>
                <w:sz w:val="20"/>
                <w:szCs w:val="20"/>
                <w:color w:val="auto"/>
              </w:rPr>
            </w:pPr>
            <w:r>
              <w:rPr>
                <w:rFonts w:ascii="Arial" w:cs="Arial" w:eastAsia="Arial" w:hAnsi="Arial"/>
                <w:sz w:val="14"/>
                <w:szCs w:val="14"/>
                <w:color w:val="auto"/>
                <w:w w:val="88"/>
              </w:rPr>
              <w:t>Purchases,</w:t>
            </w:r>
          </w:p>
        </w:tc>
        <w:tc>
          <w:tcPr>
            <w:tcW w:w="1160" w:type="dxa"/>
            <w:vAlign w:val="bottom"/>
            <w:gridSpan w:val="2"/>
          </w:tcPr>
          <w:p>
            <w:pPr>
              <w:jc w:val="center"/>
              <w:ind w:right="480"/>
              <w:spacing w:after="0" w:line="123" w:lineRule="exact"/>
              <w:rPr>
                <w:sz w:val="20"/>
                <w:szCs w:val="20"/>
                <w:color w:val="auto"/>
              </w:rPr>
            </w:pPr>
            <w:r>
              <w:rPr>
                <w:rFonts w:ascii="Arial" w:cs="Arial" w:eastAsia="Arial" w:hAnsi="Arial"/>
                <w:sz w:val="14"/>
                <w:szCs w:val="14"/>
                <w:color w:val="auto"/>
                <w:w w:val="91"/>
              </w:rPr>
              <w:t>Transfer</w:t>
            </w: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gridSpan w:val="2"/>
          </w:tcPr>
          <w:p>
            <w:pPr>
              <w:jc w:val="center"/>
              <w:ind w:right="260"/>
              <w:spacing w:after="0" w:line="123" w:lineRule="exact"/>
              <w:rPr>
                <w:sz w:val="20"/>
                <w:szCs w:val="20"/>
                <w:color w:val="auto"/>
              </w:rPr>
            </w:pPr>
            <w:r>
              <w:rPr>
                <w:rFonts w:ascii="Arial" w:cs="Arial" w:eastAsia="Arial" w:hAnsi="Arial"/>
                <w:sz w:val="14"/>
                <w:szCs w:val="14"/>
                <w:color w:val="auto"/>
                <w:w w:val="89"/>
              </w:rPr>
              <w:t>assets still</w:t>
            </w:r>
          </w:p>
        </w:tc>
      </w:tr>
      <w:tr>
        <w:trPr>
          <w:trHeight w:val="149"/>
        </w:trPr>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94"/>
              </w:rPr>
              <w:t>Balance-</w:t>
            </w: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3"/>
              </w:rPr>
              <w:t>other</w:t>
            </w: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81"/>
              </w:rPr>
              <w:t>sales,</w:t>
            </w: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5"/>
              </w:rPr>
              <w:t>in and/or</w:t>
            </w: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Balance-</w:t>
            </w:r>
          </w:p>
        </w:tc>
        <w:tc>
          <w:tcPr>
            <w:tcW w:w="2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held at</w:t>
            </w:r>
          </w:p>
        </w:tc>
      </w:tr>
      <w:tr>
        <w:trPr>
          <w:trHeight w:val="149"/>
        </w:trPr>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3"/>
          </w:tcPr>
          <w:p>
            <w:pPr>
              <w:jc w:val="center"/>
              <w:ind w:right="480"/>
              <w:spacing w:after="0" w:line="149" w:lineRule="exact"/>
              <w:rPr>
                <w:sz w:val="20"/>
                <w:szCs w:val="20"/>
                <w:color w:val="auto"/>
              </w:rPr>
            </w:pPr>
            <w:r>
              <w:rPr>
                <w:rFonts w:ascii="Arial" w:cs="Arial" w:eastAsia="Arial" w:hAnsi="Arial"/>
                <w:sz w:val="14"/>
                <w:szCs w:val="14"/>
                <w:color w:val="auto"/>
                <w:w w:val="90"/>
              </w:rPr>
              <w:t>December 31,</w:t>
            </w:r>
          </w:p>
        </w:tc>
        <w:tc>
          <w:tcPr>
            <w:tcW w:w="11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Included</w:t>
            </w:r>
          </w:p>
        </w:tc>
        <w:tc>
          <w:tcPr>
            <w:tcW w:w="154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92"/>
              </w:rPr>
              <w:t>comprehensive</w:t>
            </w: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2"/>
              </w:rPr>
              <w:t>issuances &amp;</w:t>
            </w: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6"/>
              </w:rPr>
              <w:t>out of</w:t>
            </w: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9"/>
              </w:rPr>
              <w:t>June 30,</w:t>
            </w:r>
          </w:p>
        </w:tc>
        <w:tc>
          <w:tcPr>
            <w:tcW w:w="24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9"/>
              </w:rPr>
              <w:t>June 30,</w:t>
            </w:r>
          </w:p>
        </w:tc>
      </w:tr>
      <w:tr>
        <w:trPr>
          <w:trHeight w:val="167"/>
        </w:trPr>
        <w:tc>
          <w:tcPr>
            <w:tcW w:w="2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3"/>
              <w:spacing w:after="0"/>
              <w:rPr>
                <w:sz w:val="20"/>
                <w:szCs w:val="20"/>
                <w:color w:val="auto"/>
              </w:rPr>
            </w:pPr>
            <w:r>
              <w:rPr>
                <w:rFonts w:ascii="Arial" w:cs="Arial" w:eastAsia="Arial" w:hAnsi="Arial"/>
                <w:sz w:val="14"/>
                <w:szCs w:val="14"/>
                <w:color w:val="auto"/>
                <w:w w:val="89"/>
              </w:rPr>
              <w:t>2008</w:t>
            </w:r>
          </w:p>
        </w:tc>
        <w:tc>
          <w:tcPr>
            <w:tcW w:w="48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color w:val="auto"/>
                <w:w w:val="90"/>
              </w:rPr>
              <w:t>in earnings</w:t>
            </w:r>
          </w:p>
        </w:tc>
        <w:tc>
          <w:tcPr>
            <w:tcW w:w="180" w:type="dxa"/>
            <w:vAlign w:val="bottom"/>
          </w:tcPr>
          <w:p>
            <w:pPr>
              <w:spacing w:after="0"/>
              <w:rPr>
                <w:sz w:val="14"/>
                <w:szCs w:val="14"/>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4"/>
                <w:szCs w:val="14"/>
                <w:color w:val="auto"/>
                <w:w w:val="92"/>
              </w:rPr>
              <w:t>income</w:t>
            </w: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color w:val="auto"/>
                <w:w w:val="92"/>
              </w:rPr>
              <w:t>settlements</w:t>
            </w: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color w:val="auto"/>
                <w:w w:val="97"/>
              </w:rPr>
              <w:t>Level 3</w:t>
            </w:r>
          </w:p>
        </w:tc>
        <w:tc>
          <w:tcPr>
            <w:tcW w:w="840" w:type="dxa"/>
            <w:vAlign w:val="bottom"/>
          </w:tcPr>
          <w:p>
            <w:pPr>
              <w:jc w:val="center"/>
              <w:spacing w:after="0"/>
              <w:rPr>
                <w:sz w:val="20"/>
                <w:szCs w:val="20"/>
                <w:color w:val="auto"/>
              </w:rPr>
            </w:pPr>
            <w:r>
              <w:rPr>
                <w:rFonts w:ascii="Arial" w:cs="Arial" w:eastAsia="Arial" w:hAnsi="Arial"/>
                <w:sz w:val="14"/>
                <w:szCs w:val="14"/>
                <w:color w:val="auto"/>
                <w:w w:val="89"/>
              </w:rPr>
              <w:t>2009</w:t>
            </w:r>
          </w:p>
        </w:tc>
        <w:tc>
          <w:tcPr>
            <w:tcW w:w="240" w:type="dxa"/>
            <w:vAlign w:val="bottom"/>
          </w:tcPr>
          <w:p>
            <w:pPr>
              <w:spacing w:after="0"/>
              <w:rPr>
                <w:sz w:val="14"/>
                <w:szCs w:val="14"/>
                <w:color w:val="auto"/>
              </w:rPr>
            </w:pPr>
          </w:p>
        </w:tc>
        <w:tc>
          <w:tcPr>
            <w:tcW w:w="1000" w:type="dxa"/>
            <w:vAlign w:val="bottom"/>
            <w:gridSpan w:val="2"/>
          </w:tcPr>
          <w:p>
            <w:pPr>
              <w:jc w:val="center"/>
              <w:ind w:left="168"/>
              <w:spacing w:after="0"/>
              <w:rPr>
                <w:sz w:val="20"/>
                <w:szCs w:val="20"/>
                <w:color w:val="auto"/>
              </w:rPr>
            </w:pPr>
            <w:r>
              <w:rPr>
                <w:rFonts w:ascii="Arial" w:cs="Arial" w:eastAsia="Arial" w:hAnsi="Arial"/>
                <w:sz w:val="14"/>
                <w:szCs w:val="14"/>
                <w:color w:val="auto"/>
                <w:w w:val="89"/>
              </w:rPr>
              <w:t>2009</w:t>
            </w:r>
          </w:p>
        </w:tc>
        <w:tc>
          <w:tcPr>
            <w:tcW w:w="280" w:type="dxa"/>
            <w:vAlign w:val="bottom"/>
          </w:tcPr>
          <w:p>
            <w:pPr>
              <w:spacing w:after="0"/>
              <w:rPr>
                <w:sz w:val="14"/>
                <w:szCs w:val="14"/>
                <w:color w:val="auto"/>
              </w:rPr>
            </w:pPr>
          </w:p>
        </w:tc>
      </w:tr>
      <w:tr>
        <w:trPr>
          <w:trHeight w:val="195"/>
        </w:trPr>
        <w:tc>
          <w:tcPr>
            <w:tcW w:w="25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Investment securities available</w:t>
            </w: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r>
      <w:tr>
        <w:trPr>
          <w:trHeight w:val="230"/>
        </w:trPr>
        <w:tc>
          <w:tcPr>
            <w:tcW w:w="2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 sale:</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r>
      <w:tr>
        <w:trPr>
          <w:trHeight w:val="202"/>
        </w:trPr>
        <w:tc>
          <w:tcPr>
            <w:tcW w:w="2500" w:type="dxa"/>
            <w:vAlign w:val="bottom"/>
          </w:tcPr>
          <w:p>
            <w:pPr>
              <w:spacing w:after="0" w:line="201" w:lineRule="exact"/>
              <w:rPr>
                <w:sz w:val="20"/>
                <w:szCs w:val="20"/>
                <w:color w:val="auto"/>
              </w:rPr>
            </w:pPr>
            <w:r>
              <w:rPr>
                <w:rFonts w:ascii="Arial" w:cs="Arial" w:eastAsia="Arial" w:hAnsi="Arial"/>
                <w:sz w:val="18"/>
                <w:szCs w:val="18"/>
                <w:color w:val="auto"/>
              </w:rPr>
              <w:t>U.S. Treasury and federal</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30"/>
        </w:trPr>
        <w:tc>
          <w:tcPr>
            <w:tcW w:w="2500" w:type="dxa"/>
            <w:vAlign w:val="bottom"/>
          </w:tcPr>
          <w:p>
            <w:pPr>
              <w:ind w:left="220"/>
              <w:spacing w:after="0"/>
              <w:rPr>
                <w:sz w:val="20"/>
                <w:szCs w:val="20"/>
                <w:color w:val="auto"/>
              </w:rPr>
            </w:pPr>
            <w:r>
              <w:rPr>
                <w:rFonts w:ascii="Arial" w:cs="Arial" w:eastAsia="Arial" w:hAnsi="Arial"/>
                <w:sz w:val="18"/>
                <w:szCs w:val="18"/>
                <w:color w:val="auto"/>
              </w:rPr>
              <w:t>agencies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5,532</w:t>
            </w:r>
          </w:p>
        </w:tc>
        <w:tc>
          <w:tcPr>
            <w:tcW w:w="480" w:type="dxa"/>
            <w:vAlign w:val="bottom"/>
          </w:tcPr>
          <w:p>
            <w:pPr>
              <w:spacing w:after="0"/>
              <w:rPr>
                <w:sz w:val="20"/>
                <w:szCs w:val="20"/>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(5,532)</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02"/>
        </w:trPr>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Obligations of states and</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30"/>
        </w:trPr>
        <w:tc>
          <w:tcPr>
            <w:tcW w:w="2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political subdivisions</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12,143</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12,203</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02"/>
        </w:trPr>
        <w:tc>
          <w:tcPr>
            <w:tcW w:w="2500" w:type="dxa"/>
            <w:vAlign w:val="bottom"/>
          </w:tcPr>
          <w:p>
            <w:pPr>
              <w:spacing w:after="0" w:line="201" w:lineRule="exact"/>
              <w:rPr>
                <w:sz w:val="20"/>
                <w:szCs w:val="20"/>
                <w:color w:val="auto"/>
              </w:rPr>
            </w:pPr>
            <w:r>
              <w:rPr>
                <w:rFonts w:ascii="Arial" w:cs="Arial" w:eastAsia="Arial" w:hAnsi="Arial"/>
                <w:sz w:val="18"/>
                <w:szCs w:val="18"/>
                <w:color w:val="auto"/>
              </w:rPr>
              <w:t>Government issued or</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16"/>
        </w:trPr>
        <w:tc>
          <w:tcPr>
            <w:tcW w:w="2500" w:type="dxa"/>
            <w:vAlign w:val="bottom"/>
          </w:tcPr>
          <w:p>
            <w:pPr>
              <w:ind w:left="220"/>
              <w:spacing w:after="0"/>
              <w:rPr>
                <w:sz w:val="20"/>
                <w:szCs w:val="20"/>
                <w:color w:val="auto"/>
              </w:rPr>
            </w:pPr>
            <w:r>
              <w:rPr>
                <w:rFonts w:ascii="Arial" w:cs="Arial" w:eastAsia="Arial" w:hAnsi="Arial"/>
                <w:sz w:val="18"/>
                <w:szCs w:val="18"/>
                <w:color w:val="auto"/>
              </w:rPr>
              <w:t>guaranteed mortgage-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0"/>
        </w:trPr>
        <w:tc>
          <w:tcPr>
            <w:tcW w:w="2500" w:type="dxa"/>
            <w:vAlign w:val="bottom"/>
          </w:tcPr>
          <w:p>
            <w:pPr>
              <w:ind w:left="220"/>
              <w:spacing w:after="0"/>
              <w:rPr>
                <w:sz w:val="20"/>
                <w:szCs w:val="20"/>
                <w:color w:val="auto"/>
              </w:rPr>
            </w:pPr>
            <w:r>
              <w:rPr>
                <w:rFonts w:ascii="Arial" w:cs="Arial" w:eastAsia="Arial" w:hAnsi="Arial"/>
                <w:sz w:val="18"/>
                <w:szCs w:val="18"/>
                <w:color w:val="auto"/>
              </w:rPr>
              <w:t>backed securities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84,544</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(84,544)</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02"/>
        </w:trPr>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Privately issued residential</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30"/>
        </w:trPr>
        <w:tc>
          <w:tcPr>
            <w:tcW w:w="2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mortgage-backed securities</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2,326,554</w:t>
            </w:r>
          </w:p>
        </w:tc>
        <w:tc>
          <w:tcPr>
            <w:tcW w:w="4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(54,468)(a)</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215,127</w:t>
            </w:r>
          </w:p>
        </w:tc>
        <w:tc>
          <w:tcPr>
            <w:tcW w:w="5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(245,455)</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2,241,758</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(54,468)(a)</w:t>
            </w:r>
          </w:p>
        </w:tc>
      </w:tr>
      <w:tr>
        <w:trPr>
          <w:trHeight w:val="202"/>
        </w:trPr>
        <w:tc>
          <w:tcPr>
            <w:tcW w:w="2500" w:type="dxa"/>
            <w:vAlign w:val="bottom"/>
          </w:tcPr>
          <w:p>
            <w:pPr>
              <w:spacing w:after="0" w:line="201" w:lineRule="exact"/>
              <w:rPr>
                <w:sz w:val="20"/>
                <w:szCs w:val="20"/>
                <w:color w:val="auto"/>
              </w:rPr>
            </w:pPr>
            <w:r>
              <w:rPr>
                <w:rFonts w:ascii="Arial" w:cs="Arial" w:eastAsia="Arial" w:hAnsi="Arial"/>
                <w:sz w:val="18"/>
                <w:szCs w:val="18"/>
                <w:color w:val="auto"/>
              </w:rPr>
              <w:t>Privately issued commercial</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30"/>
        </w:trPr>
        <w:tc>
          <w:tcPr>
            <w:tcW w:w="2500" w:type="dxa"/>
            <w:vAlign w:val="bottom"/>
          </w:tcPr>
          <w:p>
            <w:pPr>
              <w:ind w:left="220"/>
              <w:spacing w:after="0"/>
              <w:rPr>
                <w:sz w:val="20"/>
                <w:szCs w:val="20"/>
                <w:color w:val="auto"/>
              </w:rPr>
            </w:pPr>
            <w:r>
              <w:rPr>
                <w:rFonts w:ascii="Arial" w:cs="Arial" w:eastAsia="Arial" w:hAnsi="Arial"/>
                <w:sz w:val="18"/>
                <w:szCs w:val="18"/>
                <w:color w:val="auto"/>
              </w:rPr>
              <w:t>mortgage-backed securities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41,046</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440"/>
              <w:spacing w:after="0"/>
              <w:rPr>
                <w:sz w:val="20"/>
                <w:szCs w:val="20"/>
                <w:color w:val="auto"/>
              </w:rPr>
            </w:pPr>
            <w:r>
              <w:rPr>
                <w:rFonts w:ascii="Arial" w:cs="Arial" w:eastAsia="Arial" w:hAnsi="Arial"/>
                <w:sz w:val="18"/>
                <w:szCs w:val="18"/>
                <w:color w:val="auto"/>
              </w:rPr>
              <w:t>(9,001)</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(9,027)</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23,018</w:t>
            </w:r>
          </w:p>
        </w:tc>
        <w:tc>
          <w:tcPr>
            <w:tcW w:w="24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(1,553)(a)</w:t>
            </w:r>
          </w:p>
        </w:tc>
        <w:tc>
          <w:tcPr>
            <w:tcW w:w="15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13,712</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97,717</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112,372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(1,553)(a)</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Other debt securities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50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725</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765</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2,329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23"/>
        </w:trPr>
        <w:tc>
          <w:tcPr>
            <w:tcW w:w="2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2,462,512</w:t>
            </w:r>
          </w:p>
        </w:tc>
        <w:tc>
          <w:tcPr>
            <w:tcW w:w="4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(56,021)</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219,901</w:t>
            </w:r>
          </w:p>
        </w:tc>
        <w:tc>
          <w:tcPr>
            <w:tcW w:w="50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(156,014)</w:t>
            </w:r>
          </w:p>
        </w:tc>
        <w:tc>
          <w:tcPr>
            <w:tcW w:w="5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(77,933)</w:t>
            </w:r>
          </w:p>
        </w:tc>
        <w:tc>
          <w:tcPr>
            <w:tcW w:w="4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2,392,445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(56,021)</w:t>
            </w:r>
          </w:p>
        </w:tc>
        <w:tc>
          <w:tcPr>
            <w:tcW w:w="280" w:type="dxa"/>
            <w:vAlign w:val="bottom"/>
          </w:tcPr>
          <w:p>
            <w:pPr>
              <w:spacing w:after="0"/>
              <w:rPr>
                <w:sz w:val="19"/>
                <w:szCs w:val="19"/>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w w:val="96"/>
              </w:rPr>
              <w:t>Other assets and other liabilities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8,266</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19,490(b)</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(18,080)</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9,676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12,046(b)</w:t>
            </w:r>
          </w:p>
        </w:tc>
      </w:tr>
      <w:tr>
        <w:trPr>
          <w:trHeight w:val="405"/>
        </w:trPr>
        <w:tc>
          <w:tcPr>
            <w:tcW w:w="2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gridSpan w:val="2"/>
          </w:tcPr>
          <w:p>
            <w:pPr>
              <w:jc w:val="right"/>
              <w:ind w:right="178"/>
              <w:spacing w:after="0"/>
              <w:rPr>
                <w:sz w:val="20"/>
                <w:szCs w:val="20"/>
                <w:color w:val="auto"/>
              </w:rPr>
            </w:pPr>
            <w:r>
              <w:rPr>
                <w:rFonts w:ascii="Arial" w:cs="Arial" w:eastAsia="Arial" w:hAnsi="Arial"/>
                <w:sz w:val="18"/>
                <w:szCs w:val="18"/>
                <w:color w:val="auto"/>
              </w:rPr>
              <w:t>- 33 -</w:t>
            </w: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26"/>
        </w:trPr>
        <w:tc>
          <w:tcPr>
            <w:tcW w:w="25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 continued</w:t>
      </w:r>
    </w:p>
    <w:p>
      <w:pPr>
        <w:spacing w:after="0" w:line="121" w:lineRule="exact"/>
        <w:rPr>
          <w:sz w:val="20"/>
          <w:szCs w:val="20"/>
          <w:color w:val="auto"/>
        </w:rPr>
      </w:pPr>
    </w:p>
    <w:p>
      <w:pPr>
        <w:ind w:right="460" w:firstLine="222"/>
        <w:spacing w:after="0" w:line="277"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six months ended June 30, 2008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color w:val="auto"/>
                <w:w w:val="90"/>
              </w:rPr>
              <w:t>Changes in</w:t>
            </w:r>
          </w:p>
        </w:tc>
      </w:tr>
      <w:tr>
        <w:trPr>
          <w:trHeight w:val="149"/>
        </w:trPr>
        <w:tc>
          <w:tcPr>
            <w:tcW w:w="2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2"/>
              </w:rPr>
              <w:t>unrealized</w:t>
            </w:r>
          </w:p>
        </w:tc>
      </w:tr>
      <w:tr>
        <w:trPr>
          <w:trHeight w:val="149"/>
        </w:trPr>
        <w:tc>
          <w:tcPr>
            <w:tcW w:w="2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9"/>
              </w:rPr>
              <w:t>gains</w:t>
            </w:r>
          </w:p>
        </w:tc>
      </w:tr>
      <w:tr>
        <w:trPr>
          <w:trHeight w:val="149"/>
        </w:trPr>
        <w:tc>
          <w:tcPr>
            <w:tcW w:w="2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9"/>
              </w:rPr>
              <w:t>(losses)</w:t>
            </w:r>
          </w:p>
        </w:tc>
      </w:tr>
      <w:tr>
        <w:trPr>
          <w:trHeight w:val="149"/>
        </w:trPr>
        <w:tc>
          <w:tcPr>
            <w:tcW w:w="2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5"/>
              </w:rPr>
              <w:t>included in</w:t>
            </w:r>
          </w:p>
        </w:tc>
      </w:tr>
      <w:tr>
        <w:trPr>
          <w:trHeight w:val="149"/>
        </w:trPr>
        <w:tc>
          <w:tcPr>
            <w:tcW w:w="2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20" w:type="dxa"/>
            <w:vAlign w:val="bottom"/>
            <w:gridSpan w:val="4"/>
          </w:tcPr>
          <w:p>
            <w:pPr>
              <w:jc w:val="right"/>
              <w:ind w:right="1000"/>
              <w:spacing w:after="0" w:line="149" w:lineRule="exact"/>
              <w:rPr>
                <w:sz w:val="20"/>
                <w:szCs w:val="20"/>
                <w:color w:val="auto"/>
              </w:rPr>
            </w:pPr>
            <w:r>
              <w:rPr>
                <w:rFonts w:ascii="Arial" w:cs="Arial" w:eastAsia="Arial" w:hAnsi="Arial"/>
                <w:sz w:val="14"/>
                <w:szCs w:val="14"/>
                <w:color w:val="auto"/>
              </w:rPr>
              <w:t>Total gains (losses)</w:t>
            </w: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earnings</w:t>
            </w:r>
          </w:p>
        </w:tc>
      </w:tr>
      <w:tr>
        <w:trPr>
          <w:trHeight w:val="167"/>
        </w:trPr>
        <w:tc>
          <w:tcPr>
            <w:tcW w:w="2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20" w:type="dxa"/>
            <w:vAlign w:val="bottom"/>
            <w:gridSpan w:val="4"/>
          </w:tcPr>
          <w:p>
            <w:pPr>
              <w:jc w:val="right"/>
              <w:ind w:right="1000"/>
              <w:spacing w:after="0"/>
              <w:rPr>
                <w:sz w:val="20"/>
                <w:szCs w:val="20"/>
                <w:color w:val="auto"/>
              </w:rPr>
            </w:pPr>
            <w:r>
              <w:rPr>
                <w:rFonts w:ascii="Arial" w:cs="Arial" w:eastAsia="Arial" w:hAnsi="Arial"/>
                <w:sz w:val="14"/>
                <w:szCs w:val="14"/>
                <w:color w:val="auto"/>
              </w:rPr>
              <w:t>realized/unrealized</w:t>
            </w: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related to</w:t>
            </w:r>
          </w:p>
        </w:tc>
      </w:tr>
      <w:tr>
        <w:trPr>
          <w:trHeight w:val="123"/>
        </w:trPr>
        <w:tc>
          <w:tcPr>
            <w:tcW w:w="2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4"/>
              </w:rPr>
              <w:t>Included in</w:t>
            </w:r>
          </w:p>
        </w:tc>
        <w:tc>
          <w:tcPr>
            <w:tcW w:w="480" w:type="dxa"/>
            <w:vAlign w:val="bottom"/>
          </w:tcPr>
          <w:p>
            <w:pPr>
              <w:spacing w:after="0"/>
              <w:rPr>
                <w:sz w:val="10"/>
                <w:szCs w:val="10"/>
                <w:color w:val="auto"/>
              </w:rPr>
            </w:pPr>
          </w:p>
        </w:tc>
        <w:tc>
          <w:tcPr>
            <w:tcW w:w="1260" w:type="dxa"/>
            <w:vAlign w:val="bottom"/>
            <w:gridSpan w:val="2"/>
          </w:tcPr>
          <w:p>
            <w:pPr>
              <w:jc w:val="center"/>
              <w:ind w:right="500"/>
              <w:spacing w:after="0" w:line="123" w:lineRule="exact"/>
              <w:rPr>
                <w:sz w:val="20"/>
                <w:szCs w:val="20"/>
                <w:color w:val="auto"/>
              </w:rPr>
            </w:pPr>
            <w:r>
              <w:rPr>
                <w:rFonts w:ascii="Arial" w:cs="Arial" w:eastAsia="Arial" w:hAnsi="Arial"/>
                <w:sz w:val="14"/>
                <w:szCs w:val="14"/>
                <w:color w:val="auto"/>
                <w:w w:val="85"/>
              </w:rPr>
              <w:t>Purchases,</w:t>
            </w:r>
          </w:p>
        </w:tc>
        <w:tc>
          <w:tcPr>
            <w:tcW w:w="1260" w:type="dxa"/>
            <w:vAlign w:val="bottom"/>
            <w:gridSpan w:val="2"/>
          </w:tcPr>
          <w:p>
            <w:pPr>
              <w:jc w:val="center"/>
              <w:ind w:right="500"/>
              <w:spacing w:after="0" w:line="123" w:lineRule="exact"/>
              <w:rPr>
                <w:sz w:val="20"/>
                <w:szCs w:val="20"/>
                <w:color w:val="auto"/>
              </w:rPr>
            </w:pPr>
            <w:r>
              <w:rPr>
                <w:rFonts w:ascii="Arial" w:cs="Arial" w:eastAsia="Arial" w:hAnsi="Arial"/>
                <w:sz w:val="14"/>
                <w:szCs w:val="14"/>
                <w:color w:val="auto"/>
                <w:w w:val="91"/>
              </w:rPr>
              <w:t>Transfer</w:t>
            </w: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00" w:type="dxa"/>
            <w:vAlign w:val="bottom"/>
            <w:gridSpan w:val="2"/>
          </w:tcPr>
          <w:p>
            <w:pPr>
              <w:jc w:val="center"/>
              <w:ind w:right="200"/>
              <w:spacing w:after="0" w:line="123" w:lineRule="exact"/>
              <w:rPr>
                <w:sz w:val="20"/>
                <w:szCs w:val="20"/>
                <w:color w:val="auto"/>
              </w:rPr>
            </w:pPr>
            <w:r>
              <w:rPr>
                <w:rFonts w:ascii="Arial" w:cs="Arial" w:eastAsia="Arial" w:hAnsi="Arial"/>
                <w:sz w:val="14"/>
                <w:szCs w:val="14"/>
                <w:color w:val="auto"/>
                <w:w w:val="89"/>
              </w:rPr>
              <w:t>assets still</w:t>
            </w:r>
          </w:p>
        </w:tc>
      </w:tr>
      <w:tr>
        <w:trPr>
          <w:trHeight w:val="149"/>
        </w:trPr>
        <w:tc>
          <w:tcPr>
            <w:tcW w:w="2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94"/>
              </w:rPr>
              <w:t>Balance-</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6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87"/>
              </w:rPr>
              <w:t>other</w:t>
            </w:r>
          </w:p>
        </w:tc>
        <w:tc>
          <w:tcPr>
            <w:tcW w:w="126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87"/>
              </w:rPr>
              <w:t>sales,</w:t>
            </w:r>
          </w:p>
        </w:tc>
        <w:tc>
          <w:tcPr>
            <w:tcW w:w="126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5"/>
              </w:rPr>
              <w:t>in and/or</w:t>
            </w: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0"/>
              </w:rPr>
              <w:t>Balance-</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held at</w:t>
            </w:r>
          </w:p>
        </w:tc>
      </w:tr>
      <w:tr>
        <w:trPr>
          <w:trHeight w:val="149"/>
        </w:trPr>
        <w:tc>
          <w:tcPr>
            <w:tcW w:w="2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91"/>
              </w:rPr>
              <w:t>January 1,</w:t>
            </w:r>
          </w:p>
        </w:tc>
        <w:tc>
          <w:tcPr>
            <w:tcW w:w="126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Included</w:t>
            </w:r>
          </w:p>
        </w:tc>
        <w:tc>
          <w:tcPr>
            <w:tcW w:w="136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2"/>
              </w:rPr>
              <w:t>comprehensive</w:t>
            </w:r>
          </w:p>
        </w:tc>
        <w:tc>
          <w:tcPr>
            <w:tcW w:w="126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0"/>
              </w:rPr>
              <w:t>issuances &amp;</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6"/>
              </w:rPr>
              <w:t>out of</w:t>
            </w:r>
          </w:p>
        </w:tc>
        <w:tc>
          <w:tcPr>
            <w:tcW w:w="132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89"/>
              </w:rPr>
              <w:t>June 30,</w:t>
            </w: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9"/>
              </w:rPr>
              <w:t>June 30,</w:t>
            </w:r>
          </w:p>
        </w:tc>
      </w:tr>
      <w:tr>
        <w:trPr>
          <w:trHeight w:val="167"/>
        </w:trPr>
        <w:tc>
          <w:tcPr>
            <w:tcW w:w="2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4"/>
              <w:spacing w:after="0"/>
              <w:rPr>
                <w:sz w:val="20"/>
                <w:szCs w:val="20"/>
                <w:color w:val="auto"/>
              </w:rPr>
            </w:pPr>
            <w:r>
              <w:rPr>
                <w:rFonts w:ascii="Arial" w:cs="Arial" w:eastAsia="Arial" w:hAnsi="Arial"/>
                <w:sz w:val="14"/>
                <w:szCs w:val="14"/>
                <w:color w:val="auto"/>
                <w:w w:val="89"/>
              </w:rPr>
              <w:t>2008</w:t>
            </w:r>
          </w:p>
        </w:tc>
        <w:tc>
          <w:tcPr>
            <w:tcW w:w="480" w:type="dxa"/>
            <w:vAlign w:val="bottom"/>
          </w:tcPr>
          <w:p>
            <w:pPr>
              <w:spacing w:after="0"/>
              <w:rPr>
                <w:sz w:val="14"/>
                <w:szCs w:val="14"/>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4"/>
                <w:szCs w:val="14"/>
                <w:color w:val="auto"/>
                <w:w w:val="93"/>
              </w:rPr>
              <w:t>in earnings</w:t>
            </w: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color w:val="auto"/>
                <w:w w:val="97"/>
              </w:rPr>
              <w:t>income</w:t>
            </w:r>
          </w:p>
        </w:tc>
        <w:tc>
          <w:tcPr>
            <w:tcW w:w="1260" w:type="dxa"/>
            <w:vAlign w:val="bottom"/>
            <w:gridSpan w:val="2"/>
          </w:tcPr>
          <w:p>
            <w:pPr>
              <w:jc w:val="center"/>
              <w:ind w:right="500"/>
              <w:spacing w:after="0"/>
              <w:rPr>
                <w:sz w:val="20"/>
                <w:szCs w:val="20"/>
                <w:color w:val="auto"/>
              </w:rPr>
            </w:pPr>
            <w:r>
              <w:rPr>
                <w:rFonts w:ascii="Arial" w:cs="Arial" w:eastAsia="Arial" w:hAnsi="Arial"/>
                <w:sz w:val="14"/>
                <w:szCs w:val="14"/>
                <w:color w:val="auto"/>
                <w:w w:val="89"/>
              </w:rPr>
              <w:t>settlements</w:t>
            </w:r>
          </w:p>
        </w:tc>
        <w:tc>
          <w:tcPr>
            <w:tcW w:w="1260" w:type="dxa"/>
            <w:vAlign w:val="bottom"/>
            <w:gridSpan w:val="2"/>
          </w:tcPr>
          <w:p>
            <w:pPr>
              <w:jc w:val="center"/>
              <w:ind w:right="500"/>
              <w:spacing w:after="0"/>
              <w:rPr>
                <w:sz w:val="20"/>
                <w:szCs w:val="20"/>
                <w:color w:val="auto"/>
              </w:rPr>
            </w:pPr>
            <w:r>
              <w:rPr>
                <w:rFonts w:ascii="Arial" w:cs="Arial" w:eastAsia="Arial" w:hAnsi="Arial"/>
                <w:sz w:val="14"/>
                <w:szCs w:val="14"/>
                <w:color w:val="auto"/>
                <w:w w:val="97"/>
              </w:rPr>
              <w:t>Level 3</w:t>
            </w:r>
          </w:p>
        </w:tc>
        <w:tc>
          <w:tcPr>
            <w:tcW w:w="820" w:type="dxa"/>
            <w:vAlign w:val="bottom"/>
          </w:tcPr>
          <w:p>
            <w:pPr>
              <w:jc w:val="center"/>
              <w:spacing w:after="0"/>
              <w:rPr>
                <w:sz w:val="20"/>
                <w:szCs w:val="20"/>
                <w:color w:val="auto"/>
              </w:rPr>
            </w:pPr>
            <w:r>
              <w:rPr>
                <w:rFonts w:ascii="Arial" w:cs="Arial" w:eastAsia="Arial" w:hAnsi="Arial"/>
                <w:sz w:val="14"/>
                <w:szCs w:val="14"/>
                <w:color w:val="auto"/>
                <w:w w:val="96"/>
              </w:rPr>
              <w:t>2008</w:t>
            </w:r>
          </w:p>
        </w:tc>
        <w:tc>
          <w:tcPr>
            <w:tcW w:w="5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6"/>
              </w:rPr>
              <w:t>2008</w:t>
            </w:r>
          </w:p>
        </w:tc>
        <w:tc>
          <w:tcPr>
            <w:tcW w:w="220" w:type="dxa"/>
            <w:vAlign w:val="bottom"/>
          </w:tcPr>
          <w:p>
            <w:pPr>
              <w:spacing w:after="0"/>
              <w:rPr>
                <w:sz w:val="14"/>
                <w:szCs w:val="14"/>
                <w:color w:val="auto"/>
              </w:rPr>
            </w:pPr>
          </w:p>
        </w:tc>
      </w:tr>
      <w:tr>
        <w:trPr>
          <w:trHeight w:val="195"/>
        </w:trPr>
        <w:tc>
          <w:tcPr>
            <w:tcW w:w="25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Investment securities available</w:t>
            </w:r>
          </w:p>
        </w:tc>
        <w:tc>
          <w:tcPr>
            <w:tcW w:w="2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230"/>
        </w:trPr>
        <w:tc>
          <w:tcPr>
            <w:tcW w:w="2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 sale:</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r>
      <w:tr>
        <w:trPr>
          <w:trHeight w:val="202"/>
        </w:trPr>
        <w:tc>
          <w:tcPr>
            <w:tcW w:w="2540" w:type="dxa"/>
            <w:vAlign w:val="bottom"/>
          </w:tcPr>
          <w:p>
            <w:pPr>
              <w:spacing w:after="0" w:line="201" w:lineRule="exact"/>
              <w:rPr>
                <w:sz w:val="20"/>
                <w:szCs w:val="20"/>
                <w:color w:val="auto"/>
              </w:rPr>
            </w:pPr>
            <w:r>
              <w:rPr>
                <w:rFonts w:ascii="Arial" w:cs="Arial" w:eastAsia="Arial" w:hAnsi="Arial"/>
                <w:sz w:val="18"/>
                <w:szCs w:val="18"/>
                <w:color w:val="auto"/>
              </w:rPr>
              <w:t>U.S. Treasury and federal</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2540" w:type="dxa"/>
            <w:vAlign w:val="bottom"/>
          </w:tcPr>
          <w:p>
            <w:pPr>
              <w:ind w:left="220"/>
              <w:spacing w:after="0"/>
              <w:rPr>
                <w:sz w:val="20"/>
                <w:szCs w:val="20"/>
                <w:color w:val="auto"/>
              </w:rPr>
            </w:pPr>
            <w:r>
              <w:rPr>
                <w:rFonts w:ascii="Arial" w:cs="Arial" w:eastAsia="Arial" w:hAnsi="Arial"/>
                <w:sz w:val="18"/>
                <w:szCs w:val="18"/>
                <w:color w:val="auto"/>
              </w:rPr>
              <w:t>agencies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5,696</w:t>
            </w:r>
          </w:p>
        </w:tc>
        <w:tc>
          <w:tcPr>
            <w:tcW w:w="480" w:type="dxa"/>
            <w:vAlign w:val="bottom"/>
          </w:tcPr>
          <w:p>
            <w:pPr>
              <w:spacing w:after="0"/>
              <w:rPr>
                <w:sz w:val="20"/>
                <w:szCs w:val="20"/>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(20)</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(309)</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5,367</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02"/>
        </w:trPr>
        <w:tc>
          <w:tcPr>
            <w:tcW w:w="2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Obligations of states and</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2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political subdivisions</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02"/>
        </w:trPr>
        <w:tc>
          <w:tcPr>
            <w:tcW w:w="2540" w:type="dxa"/>
            <w:vAlign w:val="bottom"/>
          </w:tcPr>
          <w:p>
            <w:pPr>
              <w:spacing w:after="0" w:line="201" w:lineRule="exact"/>
              <w:rPr>
                <w:sz w:val="20"/>
                <w:szCs w:val="20"/>
                <w:color w:val="auto"/>
              </w:rPr>
            </w:pPr>
            <w:r>
              <w:rPr>
                <w:rFonts w:ascii="Arial" w:cs="Arial" w:eastAsia="Arial" w:hAnsi="Arial"/>
                <w:sz w:val="18"/>
                <w:szCs w:val="18"/>
                <w:color w:val="auto"/>
              </w:rPr>
              <w:t>Government issued or</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2540" w:type="dxa"/>
            <w:vAlign w:val="bottom"/>
          </w:tcPr>
          <w:p>
            <w:pPr>
              <w:ind w:left="220"/>
              <w:spacing w:after="0"/>
              <w:rPr>
                <w:sz w:val="20"/>
                <w:szCs w:val="20"/>
                <w:color w:val="auto"/>
              </w:rPr>
            </w:pPr>
            <w:r>
              <w:rPr>
                <w:rFonts w:ascii="Arial" w:cs="Arial" w:eastAsia="Arial" w:hAnsi="Arial"/>
                <w:sz w:val="18"/>
                <w:szCs w:val="18"/>
                <w:color w:val="auto"/>
                <w:w w:val="95"/>
              </w:rPr>
              <w:t>guaranteed mortgage- backed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2540" w:type="dxa"/>
            <w:vAlign w:val="bottom"/>
          </w:tcPr>
          <w:p>
            <w:pPr>
              <w:ind w:left="220"/>
              <w:spacing w:after="0"/>
              <w:rPr>
                <w:sz w:val="20"/>
                <w:szCs w:val="20"/>
                <w:color w:val="auto"/>
              </w:rPr>
            </w:pPr>
            <w:r>
              <w:rPr>
                <w:rFonts w:ascii="Arial" w:cs="Arial" w:eastAsia="Arial" w:hAnsi="Arial"/>
                <w:sz w:val="18"/>
                <w:szCs w:val="18"/>
                <w:color w:val="auto"/>
              </w:rPr>
              <w:t>securities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118,992</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806</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(1,791)</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(28,936)</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89,071</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02"/>
        </w:trPr>
        <w:tc>
          <w:tcPr>
            <w:tcW w:w="2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Privately issued residential and</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2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mortgage-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2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backed securities</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1,159,644</w:t>
            </w:r>
          </w:p>
        </w:tc>
        <w:tc>
          <w:tcPr>
            <w:tcW w:w="4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(77,638)</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(100,769)</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(85,219)</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896,018</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27,115</w:t>
            </w:r>
          </w:p>
        </w:tc>
        <w:tc>
          <w:tcPr>
            <w:tcW w:w="48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(12,633)</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14,482</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Equity securities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2,324</w:t>
            </w: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(4)</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9</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2,329</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7"/>
        </w:trPr>
        <w:tc>
          <w:tcPr>
            <w:tcW w:w="2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1,313,821</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(89,492)</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(102,860)</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(114,155)</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9"/>
              </w:rPr>
              <w:t>1,007,314</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432"/>
        </w:trPr>
        <w:tc>
          <w:tcPr>
            <w:tcW w:w="2540" w:type="dxa"/>
            <w:vAlign w:val="bottom"/>
          </w:tcPr>
          <w:p>
            <w:pPr>
              <w:spacing w:after="0"/>
              <w:rPr>
                <w:sz w:val="20"/>
                <w:szCs w:val="20"/>
                <w:color w:val="auto"/>
              </w:rPr>
            </w:pPr>
            <w:r>
              <w:rPr>
                <w:rFonts w:ascii="Arial" w:cs="Arial" w:eastAsia="Arial" w:hAnsi="Arial"/>
                <w:sz w:val="18"/>
                <w:szCs w:val="18"/>
                <w:color w:val="auto"/>
                <w:w w:val="98"/>
              </w:rPr>
              <w:t>Other assets and other liabilities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2,654</w:t>
            </w:r>
          </w:p>
        </w:tc>
        <w:tc>
          <w:tcPr>
            <w:tcW w:w="480" w:type="dxa"/>
            <w:vAlign w:val="bottom"/>
          </w:tcPr>
          <w:p>
            <w:pPr>
              <w:spacing w:after="0"/>
              <w:rPr>
                <w:sz w:val="24"/>
                <w:szCs w:val="24"/>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14,962(b)</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(13,497)</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4,119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4,119(b)</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an other-than-temporary impairment loss in the consolidated statement of income.</w:t>
      </w:r>
    </w:p>
    <w:p>
      <w:pPr>
        <w:spacing w:after="0" w:line="76" w:lineRule="exact"/>
        <w:rPr>
          <w:rFonts w:ascii="Arial" w:cs="Arial" w:eastAsia="Arial" w:hAnsi="Arial"/>
          <w:sz w:val="18"/>
          <w:szCs w:val="18"/>
          <w:i w:val="1"/>
          <w:iCs w:val="1"/>
          <w:color w:val="auto"/>
        </w:rPr>
      </w:pPr>
    </w:p>
    <w:p>
      <w:pPr>
        <w:ind w:left="460" w:hanging="452"/>
        <w:spacing w:after="0"/>
        <w:tabs>
          <w:tab w:leader="none" w:pos="46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Reported as mortgage banking revenues in the consolidated statement of income and includes the fair value of commitment issuances and expirations.</w:t>
      </w:r>
    </w:p>
    <w:p>
      <w:pPr>
        <w:spacing w:after="0" w:line="207" w:lineRule="exact"/>
        <w:rPr>
          <w:rFonts w:ascii="Arial" w:cs="Arial" w:eastAsia="Arial" w:hAnsi="Arial"/>
          <w:sz w:val="16"/>
          <w:szCs w:val="16"/>
          <w:i w:val="1"/>
          <w:iCs w:val="1"/>
          <w:color w:val="auto"/>
        </w:rPr>
      </w:pPr>
    </w:p>
    <w:p>
      <w:pPr>
        <w:ind w:left="5620" w:hanging="101"/>
        <w:spacing w:after="0"/>
        <w:tabs>
          <w:tab w:leader="none" w:pos="56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 continued</w:t>
      </w:r>
    </w:p>
    <w:p>
      <w:pPr>
        <w:spacing w:after="0" w:line="121"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The Company is required, on a nonrecurring basis, to adjust the carrying value of certain assets or provide valuation allowances related to certain assets using fair value measurements.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Loans are generally not recorded at fair value on a recurring basis. Periodically, the Company records nonrecurring adjustments to the carrying value of loans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based on fair value measurements for partial charge-offs of the uncollectible portions of those loans. Nonrecurring adjustments also include certain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impairment amounts for collateral-dependent loans when establishing the allowance for credit losses. Such amounts are generally based on the fair value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underlying collateral supporting the loan and, as a result, the carrying value of the loan less the calculated valuation amount does not necessarily represent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the loan. Real estate collateral is typically valued using appraisals or other indications of value based on recent comparable sales of similar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properties or assumptions generally observable in the marketplace and the related nonrecurring fair value measurement adjustments have generally been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classified as Level 2, unless significant adjustments have been made to the valuation that are not readily observable by market participants. Estimates of fair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value used for other collateral supporting commercial loans generally are based on assumptions not observable in the marketplace and therefore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valuations have been classified as Level 3. Loans subject to nonrecurring fair value measurement were $632 million at June 30, 2009, ($303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$329 million of which were classified as Level 2 and Level 3, respectively) and $288 million at June 30, 2008 ($214 million and $74 million of which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classified as Level 2 and Level 3, respectively). Changes in fair value recognized for partial charge-offs of loans and loan impairment reserves on loans held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the Company on June 30, 2009 were decreases of $157 million and $238 million for the three and six months ended June 30, 2009, respectively, and 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loans held by the Company on June 30, 2008 were decreases of $71 million and $88 million for the three months and six months ended June 30, 2008,</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servicing rights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Capitalized servicing rights are initially measured at fair value in the Company’s consolidated balance sheet. The Company utilizes the amortization method to subsequently measure its capitalized servicing assets. In accordance with GAAP, the Company must record impairment charges, on a nonrecurring basis, when the carrying value of certain strata exceed their estimated fair value. To estimate the fair value of servicing rights, the Company considers market prices for similar assets, if available, and the present value of expected future cash flows associated with the servicing rights calculated using assumptions that market participants would use in estimating future servicing income and expense. Such assumptions include estimates of the cost of servicing loans, loan default rates, an appropriate discount rate, and prepayment speeds. For purposes of evaluating and measuring impairment of capitalized servicing rights, the Company stratifies such assets based on the predominant risk characteristics of the underlying financial instruments that are expected to have the most impact on projected prepayments, cost of servicing and other factors affecting future cash flows associated with the servicing rights. Such factors may include financial asset or loan type, note rate and term. The amount of impairment recognized is the amount by which the carrying value of the capitalized servicing rights for a stratum exceed estimated fair value. Impairment is recognized through a valuation allowance. The determination of fair value of capitalized servicing rights is considered a Level 3 valuation. At June 30, 2009, $30 million of capitalized servicing rights had a carrying value equal to their fair value. Changes in fair value of capitalized servicing rights recognized for the three and six months ended June 30, 2009 were increases of $13 million and $18 million,</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 continued</w:t>
      </w:r>
    </w:p>
    <w:p>
      <w:pPr>
        <w:spacing w:after="0" w:line="12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respectively. At June 30, 2008, $20 million of capitalized servicing rights had a carrying value equal to their fair value. Changes in fair value of capitalized servicing rights recognized for the three and six months ended June 30, 2008 were increases of $9 million and $5 million,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taken in foreclosure of defaulted loans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Assets taken in foreclosure of defaulted loans are primarily comprised of commercial and residential real property and are generally measured at the lower of cost or fair value less costs to sell. The fair value of the real property is generally determined using appraisals or other indications of value based on recent comparable sales of similar properties or assumptions generally observable in the marketplace, and the related nonrecurring fair value measurement adjustments have generally been classified as Level 2. Assets taken in foreclosure of defaulted loans subject to nonrecurring fair value measurement were $21 million at June 30, 2009. Changes in fair value recognized for those foreclosed assets held by the Company at June 30, 2009 were $21 million and $22 million for the three and six months ended June 30, 2009, respectively.</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Disclosures of fair value of financial instruments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With the exception of marketable securities, certain off-balance sheet financial instruments and one-to-four family residential mortgage loans originated for sale, the Company’s financial instruments are not readily marketable and market prices do not exist. The Company, in attempting to comply with the provisions of GAAP that require disclosures of fair value of financial instruments, has not attempted to market its financial instruments to potential buyers, if any exist. Since negotiated prices in illiquid markets depend greatly upon the then present motivations of the buyer and seller, it is reasonable to assume that actual sales prices could vary widely from any estimate of fair value made without the benefit of negotiations. Additionally, changes in market interest rates can dramatically impact the value of financial instruments in a short period of time. Additional information about the assumptions and calculations utilized is presented below.</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carrying amounts and estimated fair value for financial instrument assets (liabilities) are presented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tcPr>
          <w:p>
            <w:pPr>
              <w:jc w:val="right"/>
              <w:spacing w:after="0"/>
              <w:rPr>
                <w:sz w:val="20"/>
                <w:szCs w:val="20"/>
                <w:color w:val="auto"/>
              </w:rPr>
            </w:pPr>
            <w:r>
              <w:rPr>
                <w:rFonts w:ascii="Arial" w:cs="Arial" w:eastAsia="Arial" w:hAnsi="Arial"/>
                <w:sz w:val="14"/>
                <w:szCs w:val="14"/>
                <w:color w:val="auto"/>
              </w:rPr>
              <w:t>June 30, 2009</w:t>
            </w: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gridSpan w:val="6"/>
          </w:tcPr>
          <w:p>
            <w:pPr>
              <w:jc w:val="right"/>
              <w:ind w:right="820"/>
              <w:spacing w:after="0"/>
              <w:rPr>
                <w:sz w:val="20"/>
                <w:szCs w:val="20"/>
                <w:color w:val="auto"/>
              </w:rPr>
            </w:pPr>
            <w:r>
              <w:rPr>
                <w:rFonts w:ascii="Arial" w:cs="Arial" w:eastAsia="Arial" w:hAnsi="Arial"/>
                <w:sz w:val="14"/>
                <w:szCs w:val="14"/>
                <w:color w:val="auto"/>
              </w:rPr>
              <w:t>December 31, 2008</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jc w:val="right"/>
              <w:ind w:right="560"/>
              <w:spacing w:after="0" w:line="123" w:lineRule="exact"/>
              <w:rPr>
                <w:sz w:val="20"/>
                <w:szCs w:val="20"/>
                <w:color w:val="auto"/>
              </w:rPr>
            </w:pPr>
            <w:r>
              <w:rPr>
                <w:rFonts w:ascii="Arial" w:cs="Arial" w:eastAsia="Arial" w:hAnsi="Arial"/>
                <w:sz w:val="14"/>
                <w:szCs w:val="14"/>
                <w:color w:val="auto"/>
              </w:rPr>
              <w:t>Carrying</w:t>
            </w:r>
          </w:p>
        </w:tc>
        <w:tc>
          <w:tcPr>
            <w:tcW w:w="2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112"/>
              <w:spacing w:after="0" w:line="123" w:lineRule="exact"/>
              <w:rPr>
                <w:sz w:val="20"/>
                <w:szCs w:val="20"/>
                <w:color w:val="auto"/>
              </w:rPr>
            </w:pPr>
            <w:r>
              <w:rPr>
                <w:rFonts w:ascii="Arial" w:cs="Arial" w:eastAsia="Arial" w:hAnsi="Arial"/>
                <w:sz w:val="14"/>
                <w:szCs w:val="14"/>
                <w:color w:val="auto"/>
                <w:w w:val="99"/>
              </w:rPr>
              <w:t>Calculated</w:t>
            </w:r>
          </w:p>
        </w:tc>
        <w:tc>
          <w:tcPr>
            <w:tcW w:w="5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right"/>
              <w:ind w:right="560"/>
              <w:spacing w:after="0" w:line="123" w:lineRule="exact"/>
              <w:rPr>
                <w:sz w:val="20"/>
                <w:szCs w:val="20"/>
                <w:color w:val="auto"/>
              </w:rPr>
            </w:pPr>
            <w:r>
              <w:rPr>
                <w:rFonts w:ascii="Arial" w:cs="Arial" w:eastAsia="Arial" w:hAnsi="Arial"/>
                <w:sz w:val="14"/>
                <w:szCs w:val="14"/>
                <w:color w:val="auto"/>
              </w:rPr>
              <w:t>Carrying</w:t>
            </w: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111"/>
              <w:spacing w:after="0" w:line="123" w:lineRule="exact"/>
              <w:rPr>
                <w:sz w:val="20"/>
                <w:szCs w:val="20"/>
                <w:color w:val="auto"/>
              </w:rPr>
            </w:pPr>
            <w:r>
              <w:rPr>
                <w:rFonts w:ascii="Arial" w:cs="Arial" w:eastAsia="Arial" w:hAnsi="Arial"/>
                <w:sz w:val="14"/>
                <w:szCs w:val="14"/>
                <w:color w:val="auto"/>
              </w:rPr>
              <w:t>Calculated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Amount</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Estimate</w:t>
            </w: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Amount</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Estimate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(In thousands)</w:t>
            </w: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1,150,728</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1,150,728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1,568,151</w:t>
            </w:r>
          </w:p>
        </w:tc>
        <w:tc>
          <w:tcPr>
            <w:tcW w:w="3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1,568,151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Interest-bearing deposits at banks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59,950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59,950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Trading account assets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495,324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495,324</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617,821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617,821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Agreements to resell securities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Investment securities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8,155,434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7,958,830</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7,919,207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7,828,121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Loans and leases: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00"/>
              <w:spacing w:after="0"/>
              <w:rPr>
                <w:sz w:val="20"/>
                <w:szCs w:val="20"/>
                <w:color w:val="auto"/>
              </w:rPr>
            </w:pPr>
            <w:r>
              <w:rPr>
                <w:rFonts w:ascii="Arial" w:cs="Arial" w:eastAsia="Arial" w:hAnsi="Arial"/>
                <w:sz w:val="18"/>
                <w:szCs w:val="18"/>
                <w:color w:val="auto"/>
              </w:rPr>
              <w:t>Commercial loans and leases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14,180,609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w w:val="95"/>
              </w:rPr>
              <w:t>13,744,572</w:t>
            </w:r>
          </w:p>
        </w:tc>
        <w:tc>
          <w:tcPr>
            <w:tcW w:w="1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14,261,882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14,137,805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Commercial real estate loans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20,787,198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5"/>
              </w:rPr>
              <w:t>20,098,344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18,837,665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18,210,209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00"/>
              <w:spacing w:after="0"/>
              <w:rPr>
                <w:sz w:val="20"/>
                <w:szCs w:val="20"/>
                <w:color w:val="auto"/>
              </w:rPr>
            </w:pPr>
            <w:r>
              <w:rPr>
                <w:rFonts w:ascii="Arial" w:cs="Arial" w:eastAsia="Arial" w:hAnsi="Arial"/>
                <w:sz w:val="18"/>
                <w:szCs w:val="18"/>
                <w:color w:val="auto"/>
              </w:rPr>
              <w:t>Residential real estate loans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5,471,775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4,838,466</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4,904,424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4,249,137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Consumer loans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12,275,062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5"/>
              </w:rPr>
              <w:t>11,936,555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10,996,492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10,849,635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400"/>
              <w:spacing w:after="0"/>
              <w:rPr>
                <w:sz w:val="20"/>
                <w:szCs w:val="20"/>
                <w:color w:val="auto"/>
              </w:rPr>
            </w:pPr>
            <w:r>
              <w:rPr>
                <w:rFonts w:ascii="Arial" w:cs="Arial" w:eastAsia="Arial" w:hAnsi="Arial"/>
                <w:sz w:val="18"/>
                <w:szCs w:val="18"/>
                <w:color w:val="auto"/>
              </w:rPr>
              <w:t>Allowance for credit losses</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(855,365)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(787,904)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Loans and leases, net</w:t>
            </w:r>
          </w:p>
        </w:tc>
        <w:tc>
          <w:tcPr>
            <w:tcW w:w="7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51,859,279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50,617,937</w:t>
            </w:r>
          </w:p>
        </w:tc>
        <w:tc>
          <w:tcPr>
            <w:tcW w:w="5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48,212,559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47,446,786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Accrued interest receivable</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219,164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219,164</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222,073</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222,073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Noninterest-bearing deposits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(12,403,999)</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w w:val="90"/>
              </w:rPr>
              <w:t>(12,403,999)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(8,856,114)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(8,856,114)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Savings deposits and NOW accounts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(23,681,353)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0"/>
              </w:rPr>
              <w:t>(23,681,353)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(20,630,226)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(20,630,226)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Time deposits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(9,584,351)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(9,666,248)</w:t>
            </w:r>
          </w:p>
        </w:tc>
        <w:tc>
          <w:tcPr>
            <w:tcW w:w="1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(9,046,937)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(9,108,821)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 at foreign office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(1,085,004)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9"/>
              </w:rPr>
              <w:t>(1,085,004)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(4,047,986)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(4,047,986)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Short-term borrowings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(2,951,149)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(2,951,149)</w:t>
            </w:r>
          </w:p>
        </w:tc>
        <w:tc>
          <w:tcPr>
            <w:tcW w:w="1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(3,009,735)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(3,009,735)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borrowings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(11,568,238)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0"/>
              </w:rPr>
              <w:t>(10,714,115)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(12,075,149)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(11,104,337)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Accrued interest payable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(148,270)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(148,270)</w:t>
            </w:r>
          </w:p>
        </w:tc>
        <w:tc>
          <w:tcPr>
            <w:tcW w:w="1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(142,456)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(142,456)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Trading account liabilities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(353,629)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(353,629)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(521,079)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(521,079)</w:t>
            </w:r>
          </w:p>
        </w:tc>
        <w:tc>
          <w:tcPr>
            <w:tcW w:w="0" w:type="dxa"/>
            <w:vAlign w:val="bottom"/>
          </w:tcPr>
          <w:p>
            <w:pPr>
              <w:spacing w:after="0"/>
              <w:rPr>
                <w:sz w:val="1"/>
                <w:szCs w:val="1"/>
                <w:color w:val="auto"/>
              </w:rPr>
            </w:pPr>
          </w:p>
        </w:tc>
      </w:tr>
      <w:tr>
        <w:trPr>
          <w:trHeight w:val="432"/>
        </w:trPr>
        <w:tc>
          <w:tcPr>
            <w:tcW w:w="4840" w:type="dxa"/>
            <w:vAlign w:val="bottom"/>
            <w:gridSpan w:val="2"/>
          </w:tcPr>
          <w:p>
            <w:pPr>
              <w:spacing w:after="0"/>
              <w:rPr>
                <w:sz w:val="20"/>
                <w:szCs w:val="20"/>
                <w:color w:val="auto"/>
              </w:rPr>
            </w:pPr>
            <w:r>
              <w:rPr>
                <w:rFonts w:ascii="Arial" w:cs="Arial" w:eastAsia="Arial" w:hAnsi="Arial"/>
                <w:sz w:val="18"/>
                <w:szCs w:val="18"/>
                <w:color w:val="auto"/>
              </w:rPr>
              <w:t>Other financial instruments:</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Commitments to originate real estate loans for sale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9,676</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9,676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8,144</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Commitments to sell real estate loans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10,134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10,134</w:t>
            </w:r>
          </w:p>
        </w:tc>
        <w:tc>
          <w:tcPr>
            <w:tcW w:w="1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(15,477)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credit-related commitments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(51,030)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(51,030)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(51,361)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(51,361)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tcPr>
          <w:p>
            <w:pPr>
              <w:ind w:left="200"/>
              <w:spacing w:after="0" w:line="201" w:lineRule="exact"/>
              <w:rPr>
                <w:sz w:val="20"/>
                <w:szCs w:val="20"/>
                <w:color w:val="auto"/>
              </w:rPr>
            </w:pPr>
            <w:r>
              <w:rPr>
                <w:rFonts w:ascii="Arial" w:cs="Arial" w:eastAsia="Arial" w:hAnsi="Arial"/>
                <w:sz w:val="18"/>
                <w:szCs w:val="18"/>
                <w:color w:val="auto"/>
              </w:rPr>
              <w:t>Interest rate swap agreements used for interest rate risk</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ind w:left="400"/>
              <w:spacing w:after="0"/>
              <w:rPr>
                <w:sz w:val="20"/>
                <w:szCs w:val="20"/>
                <w:color w:val="auto"/>
              </w:rPr>
            </w:pPr>
            <w:r>
              <w:rPr>
                <w:rFonts w:ascii="Arial" w:cs="Arial" w:eastAsia="Arial" w:hAnsi="Arial"/>
                <w:sz w:val="18"/>
                <w:szCs w:val="18"/>
                <w:color w:val="auto"/>
              </w:rPr>
              <w:t>management</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63,618</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63,618</w:t>
            </w:r>
          </w:p>
        </w:tc>
        <w:tc>
          <w:tcPr>
            <w:tcW w:w="12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146,111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146,111</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740" w:type="dxa"/>
            <w:vAlign w:val="bottom"/>
            <w:gridSpan w:val="3"/>
          </w:tcPr>
          <w:p>
            <w:pPr>
              <w:jc w:val="right"/>
              <w:ind w:right="592"/>
              <w:spacing w:after="0"/>
              <w:rPr>
                <w:sz w:val="20"/>
                <w:szCs w:val="20"/>
                <w:color w:val="auto"/>
              </w:rPr>
            </w:pPr>
            <w:r>
              <w:rPr>
                <w:rFonts w:ascii="Arial" w:cs="Arial" w:eastAsia="Arial" w:hAnsi="Arial"/>
                <w:sz w:val="18"/>
                <w:szCs w:val="18"/>
                <w:color w:val="auto"/>
              </w:rPr>
              <w:t>- 37 -</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8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 continued</w:t>
      </w:r>
    </w:p>
    <w:p>
      <w:pPr>
        <w:spacing w:after="0" w:line="121"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The following assumptions and methods or calculations were used in determining the estimated fair value of financial instruments not measured at fair value in the consolidated balance sheet.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and cash equivalents, interest-bearing deposits at banks, short-term borrowings, accrued interest receivable and accrued interest payable</w:t>
      </w:r>
    </w:p>
    <w:p>
      <w:pPr>
        <w:spacing w:after="0" w:line="14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Due to the nature of cash and cash equivalents and the near maturity of interest-bearing deposits at banks, short-term borrowings, accrued interest receivable and accrued interest payable, the Company estimated that the carrying amount of such instruments approximated estimated fair value.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to resell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amounts assigned to agreements to resell securities were based on discounted calculations of projected 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Estimated fair values of investments in readily marketable securities were generally based on quoted market prices. Investment securities that were not readily marketable were assigned amounts based on estimates provided by outside parties or modeling techniques that relied upon discounted calculations of projected cash flows or, in the case of other investment securities, which include capital stock of the Federal Reserve Bank of New York and the Federal Home Loan Bank of New York, at an amount equal to the carrying amount.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and leases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general, discount rates used to calculate values for loan products were based on the Company’s pricing at the respective period end and included appropriate adjustments for expected credit losses. A higher discount rate was assumed with respect to estimated cash flows associated with nonaccrual loans. Projected loan cash flows were adjusted for estimated credit losses. However, such estimates made by the Company may not be indicative of assumptions and adjustments that a purchaser of the Company’s loans and leases would seek.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117"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Pursuant to GAAP, the estimated fair value ascribed to noninterest-bearing deposits, savings deposits and NOW accounts must be established at carrying value because of the customers’ ability to withdraw funds immediately. Time deposit accounts are required to be revalued based upon prevailing market interest rates for similar maturity instruments. As a result, amounts assigned to time deposits were based on discounted cash flow calculations using prevailing market interest rates based on the Company’s pricing at the respective date for deposits with comparable remaining terms to maturity.</w:t>
      </w:r>
    </w:p>
    <w:p>
      <w:pPr>
        <w:spacing w:after="0" w:line="46" w:lineRule="exact"/>
        <w:rPr>
          <w:sz w:val="20"/>
          <w:szCs w:val="20"/>
          <w:color w:val="auto"/>
        </w:rPr>
      </w:pPr>
    </w:p>
    <w:p>
      <w:pPr>
        <w:jc w:val="both"/>
        <w:ind w:right="240" w:firstLine="222"/>
        <w:spacing w:after="0" w:line="312" w:lineRule="auto"/>
        <w:rPr>
          <w:sz w:val="20"/>
          <w:szCs w:val="20"/>
          <w:color w:val="auto"/>
        </w:rPr>
      </w:pPr>
      <w:r>
        <w:rPr>
          <w:rFonts w:ascii="Arial" w:cs="Arial" w:eastAsia="Arial" w:hAnsi="Arial"/>
          <w:sz w:val="16"/>
          <w:szCs w:val="16"/>
          <w:color w:val="auto"/>
        </w:rPr>
        <w:t>The Company believes that deposit accounts have a value greater than that prescribed by GAAP. The Company feels, however, that the value associated with these deposits is greatly influenced by characteristics of the buyer, such as the ability to reduce the costs of servicing the deposits and deposit attrition which often occurs following an acquisition. Accordingly, estimating the fair value of deposits with any degree of certainty is not practical.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borrowings</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amounts assigned to long-term borrowings were based on quoted market prices, when available, or were based on discounted cash flow calculations using prevailing market interest rates for borrowings of similar terms and credit risk.</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to originate real estate loans for sale and commitments to sell real estate loans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market prices for commitments to sell real estate loans to certain government-sponsored entities and other parties.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 agreements used for interest rate risk management</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estimated fair value of interest rate swap agreements used for interest rate risk management represents the amount the Company would have expected to receive or pay to terminate such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described in note 11, in the normal course of business, various commitments and contingent liabilities are outstanding, such as loan commitments, credit guarantees and letters of credit. The Company’s pricing of such financial instruments is based largely on credit quality and relationship, probability of funding and other requirements. Loan commitments often have fixed expiration dates and contain termination and other clauses which provide for relief from funding in the event of significant deterioration in the credit quality of the customer. The rates and terms of the Company’s loan commitments, credit guarantees and letters of credit are competitive with other financial institutions operating in markets served by the Company. The Company believes that the carrying amounts, which are included in other liabilities, are reasonable estimates of the fair value of these financial instruments.</w:t>
      </w:r>
    </w:p>
    <w:p>
      <w:pPr>
        <w:spacing w:after="0" w:line="57"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Company does not believe that the estimated information presented herein is representative of the earnings power or value of the Company. The preceding analysis, which is inherently limited in depicting fair value, also does not consider any value associated with existing customer relationships nor the ability of the Company to create value through loan origination, deposit gathering or fee generating activities.</w:t>
      </w:r>
    </w:p>
    <w:p>
      <w:pPr>
        <w:spacing w:after="0" w:line="73" w:lineRule="exact"/>
        <w:rPr>
          <w:sz w:val="20"/>
          <w:szCs w:val="20"/>
          <w:color w:val="auto"/>
        </w:rPr>
      </w:pPr>
    </w:p>
    <w:p>
      <w:pPr>
        <w:ind w:right="120" w:firstLine="225"/>
        <w:spacing w:after="0" w:line="302" w:lineRule="auto"/>
        <w:rPr>
          <w:sz w:val="20"/>
          <w:szCs w:val="20"/>
          <w:color w:val="auto"/>
        </w:rPr>
      </w:pPr>
      <w:r>
        <w:rPr>
          <w:rFonts w:ascii="Arial" w:cs="Arial" w:eastAsia="Arial" w:hAnsi="Arial"/>
          <w:sz w:val="16"/>
          <w:szCs w:val="16"/>
          <w:color w:val="auto"/>
        </w:rPr>
        <w:t>Many of the estimates presented herein are based upon the use of highly subjective information and assumptions and, accordingly, the results may not be precise. Management believes that fair value estimates may not be comparable between financial institutions due to the wide range of permitted valuation techniques and numerous estimates which must be made. Furthermore, because the disclosed fair value amounts were estimated as of the balance sheet date, the amounts actually realized or paid upon maturity or settlement of the various financial instruments could be significantly different.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120" w:type="dxa"/>
            <w:vAlign w:val="bottom"/>
          </w:tcPr>
          <w:p>
            <w:pPr>
              <w:jc w:val="right"/>
              <w:ind w:right="113"/>
              <w:spacing w:after="0"/>
              <w:rPr>
                <w:sz w:val="20"/>
                <w:szCs w:val="20"/>
                <w:color w:val="auto"/>
              </w:rPr>
            </w:pPr>
            <w:r>
              <w:rPr>
                <w:rFonts w:ascii="Arial" w:cs="Arial" w:eastAsia="Arial" w:hAnsi="Arial"/>
                <w:sz w:val="14"/>
                <w:szCs w:val="14"/>
                <w:color w:val="auto"/>
              </w:rPr>
              <w:t>June 30,</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60" w:type="dxa"/>
            <w:vAlign w:val="bottom"/>
          </w:tcPr>
          <w:p>
            <w:pPr>
              <w:jc w:val="right"/>
              <w:ind w:right="208"/>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120" w:type="dxa"/>
            <w:vAlign w:val="bottom"/>
          </w:tcPr>
          <w:p>
            <w:pPr>
              <w:jc w:val="right"/>
              <w:ind w:right="213"/>
              <w:spacing w:after="0"/>
              <w:rPr>
                <w:sz w:val="20"/>
                <w:szCs w:val="20"/>
                <w:color w:val="auto"/>
              </w:rPr>
            </w:pPr>
            <w:r>
              <w:rPr>
                <w:rFonts w:ascii="Arial" w:cs="Arial" w:eastAsia="Arial" w:hAnsi="Arial"/>
                <w:sz w:val="14"/>
                <w:szCs w:val="14"/>
                <w:color w:val="auto"/>
              </w:rPr>
              <w:t>2009</w:t>
            </w:r>
          </w:p>
        </w:tc>
        <w:tc>
          <w:tcPr>
            <w:tcW w:w="2100" w:type="dxa"/>
            <w:vAlign w:val="bottom"/>
            <w:gridSpan w:val="3"/>
          </w:tcPr>
          <w:p>
            <w:pPr>
              <w:jc w:val="right"/>
              <w:ind w:right="468"/>
              <w:spacing w:after="0"/>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color w:val="auto"/>
                <w:w w:val="89"/>
              </w:rPr>
              <w:t>(in</w:t>
            </w:r>
          </w:p>
        </w:tc>
        <w:tc>
          <w:tcPr>
            <w:tcW w:w="500" w:type="dxa"/>
            <w:vAlign w:val="bottom"/>
          </w:tcPr>
          <w:p>
            <w:pPr>
              <w:ind w:left="40"/>
              <w:spacing w:after="0"/>
              <w:rPr>
                <w:sz w:val="20"/>
                <w:szCs w:val="20"/>
                <w:color w:val="auto"/>
              </w:rPr>
            </w:pPr>
            <w:r>
              <w:rPr>
                <w:rFonts w:ascii="Arial" w:cs="Arial" w:eastAsia="Arial" w:hAnsi="Arial"/>
                <w:sz w:val="12"/>
                <w:szCs w:val="12"/>
                <w:color w:val="auto"/>
                <w:w w:val="74"/>
              </w:rPr>
              <w:t>thousands)</w:t>
            </w:r>
          </w:p>
        </w:tc>
        <w:tc>
          <w:tcPr>
            <w:tcW w:w="13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extend credit</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Home equity lines of credit</w:t>
            </w:r>
          </w:p>
        </w:tc>
        <w:tc>
          <w:tcPr>
            <w:tcW w:w="1120" w:type="dxa"/>
            <w:vAlign w:val="bottom"/>
          </w:tcPr>
          <w:p>
            <w:pPr>
              <w:jc w:val="right"/>
              <w:spacing w:after="0"/>
              <w:rPr>
                <w:sz w:val="20"/>
                <w:szCs w:val="20"/>
                <w:color w:val="auto"/>
              </w:rPr>
            </w:pPr>
            <w:r>
              <w:rPr>
                <w:rFonts w:ascii="Arial" w:cs="Arial" w:eastAsia="Arial" w:hAnsi="Arial"/>
                <w:sz w:val="18"/>
                <w:szCs w:val="18"/>
                <w:color w:val="auto"/>
              </w:rPr>
              <w:t>$6,636,329</w:t>
            </w:r>
          </w:p>
        </w:tc>
        <w:tc>
          <w:tcPr>
            <w:tcW w:w="2100" w:type="dxa"/>
            <w:vAlign w:val="bottom"/>
            <w:gridSpan w:val="3"/>
          </w:tcPr>
          <w:p>
            <w:pPr>
              <w:jc w:val="right"/>
              <w:ind w:right="248"/>
              <w:spacing w:after="0"/>
              <w:rPr>
                <w:sz w:val="20"/>
                <w:szCs w:val="20"/>
                <w:color w:val="auto"/>
              </w:rPr>
            </w:pPr>
            <w:r>
              <w:rPr>
                <w:rFonts w:ascii="Arial" w:cs="Arial" w:eastAsia="Arial" w:hAnsi="Arial"/>
                <w:sz w:val="18"/>
                <w:szCs w:val="18"/>
                <w:color w:val="auto"/>
              </w:rPr>
              <w:t>5,972,541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real estate loans to be sold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75,115</w:t>
            </w:r>
          </w:p>
        </w:tc>
        <w:tc>
          <w:tcPr>
            <w:tcW w:w="210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252,559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Other commercial real estate and construction</w:t>
            </w:r>
          </w:p>
        </w:tc>
        <w:tc>
          <w:tcPr>
            <w:tcW w:w="1120" w:type="dxa"/>
            <w:vAlign w:val="bottom"/>
          </w:tcPr>
          <w:p>
            <w:pPr>
              <w:jc w:val="right"/>
              <w:spacing w:after="0"/>
              <w:rPr>
                <w:sz w:val="20"/>
                <w:szCs w:val="20"/>
                <w:color w:val="auto"/>
              </w:rPr>
            </w:pPr>
            <w:r>
              <w:rPr>
                <w:rFonts w:ascii="Arial" w:cs="Arial" w:eastAsia="Arial" w:hAnsi="Arial"/>
                <w:sz w:val="18"/>
                <w:szCs w:val="18"/>
                <w:color w:val="auto"/>
              </w:rPr>
              <w:t>2,150,497</w:t>
            </w:r>
          </w:p>
        </w:tc>
        <w:tc>
          <w:tcPr>
            <w:tcW w:w="2100" w:type="dxa"/>
            <w:vAlign w:val="bottom"/>
            <w:gridSpan w:val="3"/>
          </w:tcPr>
          <w:p>
            <w:pPr>
              <w:jc w:val="right"/>
              <w:ind w:right="248"/>
              <w:spacing w:after="0"/>
              <w:rPr>
                <w:sz w:val="20"/>
                <w:szCs w:val="20"/>
                <w:color w:val="auto"/>
              </w:rPr>
            </w:pPr>
            <w:r>
              <w:rPr>
                <w:rFonts w:ascii="Arial" w:cs="Arial" w:eastAsia="Arial" w:hAnsi="Arial"/>
                <w:sz w:val="18"/>
                <w:szCs w:val="18"/>
                <w:color w:val="auto"/>
              </w:rPr>
              <w:t>2,238,464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real estate loans to be sold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909,547</w:t>
            </w:r>
          </w:p>
        </w:tc>
        <w:tc>
          <w:tcPr>
            <w:tcW w:w="210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870,578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Other residential real estate</w:t>
            </w:r>
          </w:p>
        </w:tc>
        <w:tc>
          <w:tcPr>
            <w:tcW w:w="1120" w:type="dxa"/>
            <w:vAlign w:val="bottom"/>
          </w:tcPr>
          <w:p>
            <w:pPr>
              <w:jc w:val="right"/>
              <w:spacing w:after="0"/>
              <w:rPr>
                <w:sz w:val="20"/>
                <w:szCs w:val="20"/>
                <w:color w:val="auto"/>
              </w:rPr>
            </w:pPr>
            <w:r>
              <w:rPr>
                <w:rFonts w:ascii="Arial" w:cs="Arial" w:eastAsia="Arial" w:hAnsi="Arial"/>
                <w:sz w:val="18"/>
                <w:szCs w:val="18"/>
                <w:color w:val="auto"/>
              </w:rPr>
              <w:t>235,663</w:t>
            </w:r>
          </w:p>
        </w:tc>
        <w:tc>
          <w:tcPr>
            <w:tcW w:w="2100" w:type="dxa"/>
            <w:vAlign w:val="bottom"/>
            <w:gridSpan w:val="3"/>
          </w:tcPr>
          <w:p>
            <w:pPr>
              <w:jc w:val="right"/>
              <w:ind w:right="248"/>
              <w:spacing w:after="0"/>
              <w:rPr>
                <w:sz w:val="20"/>
                <w:szCs w:val="20"/>
                <w:color w:val="auto"/>
              </w:rPr>
            </w:pPr>
            <w:r>
              <w:rPr>
                <w:rFonts w:ascii="Arial" w:cs="Arial" w:eastAsia="Arial" w:hAnsi="Arial"/>
                <w:sz w:val="18"/>
                <w:szCs w:val="18"/>
                <w:color w:val="auto"/>
              </w:rPr>
              <w:t>211,705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and other</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7,244,702</w:t>
            </w:r>
          </w:p>
        </w:tc>
        <w:tc>
          <w:tcPr>
            <w:tcW w:w="210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6,666,988</w:t>
            </w:r>
          </w:p>
        </w:tc>
        <w:tc>
          <w:tcPr>
            <w:tcW w:w="0" w:type="dxa"/>
            <w:vAlign w:val="bottom"/>
          </w:tcPr>
          <w:p>
            <w:pPr>
              <w:spacing w:after="0"/>
              <w:rPr>
                <w:sz w:val="1"/>
                <w:szCs w:val="1"/>
                <w:color w:val="auto"/>
              </w:rPr>
            </w:pPr>
          </w:p>
        </w:tc>
      </w:tr>
      <w:tr>
        <w:trPr>
          <w:trHeight w:val="432"/>
        </w:trPr>
        <w:tc>
          <w:tcPr>
            <w:tcW w:w="8200" w:type="dxa"/>
            <w:vAlign w:val="bottom"/>
            <w:gridSpan w:val="2"/>
          </w:tcPr>
          <w:p>
            <w:pPr>
              <w:spacing w:after="0"/>
              <w:rPr>
                <w:sz w:val="20"/>
                <w:szCs w:val="20"/>
                <w:color w:val="auto"/>
              </w:rPr>
            </w:pPr>
            <w:r>
              <w:rPr>
                <w:rFonts w:ascii="Arial" w:cs="Arial" w:eastAsia="Arial" w:hAnsi="Arial"/>
                <w:sz w:val="18"/>
                <w:szCs w:val="18"/>
                <w:color w:val="auto"/>
              </w:rPr>
              <w:t>Standby letters of credit</w:t>
            </w:r>
          </w:p>
        </w:tc>
        <w:tc>
          <w:tcPr>
            <w:tcW w:w="1120" w:type="dxa"/>
            <w:vAlign w:val="bottom"/>
          </w:tcPr>
          <w:p>
            <w:pPr>
              <w:jc w:val="right"/>
              <w:spacing w:after="0"/>
              <w:rPr>
                <w:sz w:val="20"/>
                <w:szCs w:val="20"/>
                <w:color w:val="auto"/>
              </w:rPr>
            </w:pPr>
            <w:r>
              <w:rPr>
                <w:rFonts w:ascii="Arial" w:cs="Arial" w:eastAsia="Arial" w:hAnsi="Arial"/>
                <w:sz w:val="18"/>
                <w:szCs w:val="18"/>
                <w:color w:val="auto"/>
              </w:rPr>
              <w:t>3,872,298</w:t>
            </w:r>
          </w:p>
        </w:tc>
        <w:tc>
          <w:tcPr>
            <w:tcW w:w="2100" w:type="dxa"/>
            <w:vAlign w:val="bottom"/>
            <w:gridSpan w:val="3"/>
          </w:tcPr>
          <w:p>
            <w:pPr>
              <w:jc w:val="right"/>
              <w:ind w:right="248"/>
              <w:spacing w:after="0"/>
              <w:rPr>
                <w:sz w:val="20"/>
                <w:szCs w:val="20"/>
                <w:color w:val="auto"/>
              </w:rPr>
            </w:pPr>
            <w:r>
              <w:rPr>
                <w:rFonts w:ascii="Arial" w:cs="Arial" w:eastAsia="Arial" w:hAnsi="Arial"/>
                <w:sz w:val="18"/>
                <w:szCs w:val="18"/>
                <w:color w:val="auto"/>
              </w:rPr>
              <w:t>3,886,396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Commercial letters of credit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50,729</w:t>
            </w:r>
          </w:p>
        </w:tc>
        <w:tc>
          <w:tcPr>
            <w:tcW w:w="210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45,503</w:t>
            </w:r>
          </w:p>
        </w:tc>
        <w:tc>
          <w:tcPr>
            <w:tcW w:w="0" w:type="dxa"/>
            <w:vAlign w:val="bottom"/>
          </w:tcPr>
          <w:p>
            <w:pPr>
              <w:spacing w:after="0"/>
              <w:rPr>
                <w:sz w:val="1"/>
                <w:szCs w:val="1"/>
                <w:color w:val="auto"/>
              </w:rPr>
            </w:pPr>
          </w:p>
        </w:tc>
      </w:tr>
      <w:tr>
        <w:trPr>
          <w:trHeight w:val="432"/>
        </w:trPr>
        <w:tc>
          <w:tcPr>
            <w:tcW w:w="8200" w:type="dxa"/>
            <w:vAlign w:val="bottom"/>
            <w:gridSpan w:val="2"/>
          </w:tcPr>
          <w:p>
            <w:pPr>
              <w:spacing w:after="0"/>
              <w:rPr>
                <w:sz w:val="20"/>
                <w:szCs w:val="20"/>
                <w:color w:val="auto"/>
              </w:rPr>
            </w:pPr>
            <w:r>
              <w:rPr>
                <w:rFonts w:ascii="Arial" w:cs="Arial" w:eastAsia="Arial" w:hAnsi="Arial"/>
                <w:sz w:val="18"/>
                <w:szCs w:val="18"/>
                <w:color w:val="auto"/>
              </w:rPr>
              <w:t>Financial guarantees and indemnification contracts</w:t>
            </w:r>
          </w:p>
        </w:tc>
        <w:tc>
          <w:tcPr>
            <w:tcW w:w="1120" w:type="dxa"/>
            <w:vAlign w:val="bottom"/>
          </w:tcPr>
          <w:p>
            <w:pPr>
              <w:jc w:val="right"/>
              <w:spacing w:after="0"/>
              <w:rPr>
                <w:sz w:val="20"/>
                <w:szCs w:val="20"/>
                <w:color w:val="auto"/>
              </w:rPr>
            </w:pPr>
            <w:r>
              <w:rPr>
                <w:rFonts w:ascii="Arial" w:cs="Arial" w:eastAsia="Arial" w:hAnsi="Arial"/>
                <w:sz w:val="18"/>
                <w:szCs w:val="18"/>
                <w:color w:val="auto"/>
              </w:rPr>
              <w:t>1,589,212</w:t>
            </w:r>
          </w:p>
        </w:tc>
        <w:tc>
          <w:tcPr>
            <w:tcW w:w="2100" w:type="dxa"/>
            <w:vAlign w:val="bottom"/>
            <w:gridSpan w:val="3"/>
          </w:tcPr>
          <w:p>
            <w:pPr>
              <w:jc w:val="right"/>
              <w:ind w:right="248"/>
              <w:spacing w:after="0"/>
              <w:rPr>
                <w:sz w:val="20"/>
                <w:szCs w:val="20"/>
                <w:color w:val="auto"/>
              </w:rPr>
            </w:pPr>
            <w:r>
              <w:rPr>
                <w:rFonts w:ascii="Arial" w:cs="Arial" w:eastAsia="Arial" w:hAnsi="Arial"/>
                <w:sz w:val="18"/>
                <w:szCs w:val="18"/>
                <w:color w:val="auto"/>
              </w:rPr>
              <w:t>1,546,873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sell real estate loans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1,409,254</w:t>
            </w:r>
          </w:p>
        </w:tc>
        <w:tc>
          <w:tcPr>
            <w:tcW w:w="210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1,306,041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00" w:firstLine="225"/>
        <w:spacing w:after="0" w:line="272" w:lineRule="auto"/>
        <w:rPr>
          <w:sz w:val="20"/>
          <w:szCs w:val="20"/>
          <w:color w:val="auto"/>
        </w:rPr>
      </w:pPr>
      <w:r>
        <w:rPr>
          <w:rFonts w:ascii="Arial" w:cs="Arial" w:eastAsia="Arial" w:hAnsi="Arial"/>
          <w:sz w:val="17"/>
          <w:szCs w:val="17"/>
          <w:color w:val="auto"/>
        </w:rPr>
        <w:t>Commitments to extend credit are agreements to lend to customers, generally having fixed expiration dates or other termination clauses that may require payment of a fee.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a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70"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Financial guarantees and indemnification contracts are oftentimes similar to standby letters of credit and may include mandatory purchase agreements issued to ensure that customer obligations are fulfilled, recourse obligations associated with sold loans, and other guarantees of customer performance or compliance with designated rules and regulations. Included in financial guarantees and indemnification contracts are loan principal amounts sold with recourse in conjunction with the Company’s involvement in the Federal National Mortgage Association Delegated Underwriting and Servicing program. The Company’s maximum credit risk for recourse associated with loans sold under this program totaled approximately $1.2 billion at each of June 30, 2009 and December 31, 2008.</w:t>
      </w:r>
    </w:p>
    <w:p>
      <w:pPr>
        <w:spacing w:after="0" w:line="85"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 continued</w:t>
      </w:r>
    </w:p>
    <w:p>
      <w:pPr>
        <w:spacing w:after="0" w:line="121" w:lineRule="exact"/>
        <w:rPr>
          <w:sz w:val="20"/>
          <w:szCs w:val="20"/>
          <w:color w:val="auto"/>
        </w:rPr>
      </w:pPr>
    </w:p>
    <w:p>
      <w:pPr>
        <w:jc w:val="both"/>
        <w:ind w:right="640" w:firstLine="222"/>
        <w:spacing w:after="0" w:line="264" w:lineRule="auto"/>
        <w:rPr>
          <w:sz w:val="20"/>
          <w:szCs w:val="20"/>
          <w:color w:val="auto"/>
        </w:rPr>
      </w:pPr>
      <w:r>
        <w:rPr>
          <w:rFonts w:ascii="Arial" w:cs="Arial" w:eastAsia="Arial" w:hAnsi="Arial"/>
          <w:sz w:val="18"/>
          <w:szCs w:val="18"/>
          <w:color w:val="auto"/>
        </w:rPr>
        <w:t>The Company utilizes commitments to sell real estate loans to hedge exposure to changes in the fair value of real estate loans held for sale. Such commitments are considered derivatives and along with commitments to originate real estate loans to be held for sale are generally recorded in the consolidated balance sheet at estimated fair market value.</w:t>
      </w:r>
    </w:p>
    <w:p>
      <w:pPr>
        <w:spacing w:after="0" w:line="73" w:lineRule="exact"/>
        <w:rPr>
          <w:sz w:val="20"/>
          <w:szCs w:val="20"/>
          <w:color w:val="auto"/>
        </w:rPr>
      </w:pPr>
    </w:p>
    <w:p>
      <w:pPr>
        <w:ind w:right="180" w:firstLine="222"/>
        <w:spacing w:after="0" w:line="264" w:lineRule="auto"/>
        <w:rPr>
          <w:sz w:val="20"/>
          <w:szCs w:val="20"/>
          <w:color w:val="auto"/>
        </w:rPr>
      </w:pPr>
      <w:r>
        <w:rPr>
          <w:rFonts w:ascii="Arial" w:cs="Arial" w:eastAsia="Arial" w:hAnsi="Arial"/>
          <w:sz w:val="18"/>
          <w:szCs w:val="18"/>
          <w:color w:val="auto"/>
        </w:rPr>
        <w:t>The Company has an agreement with the Baltimore Ravens of the National Football League whereby the Company obtained the naming rights to a football stadium in Baltimore, Maryland. Under the agreement, the Company is obligated to pay $5 million per year through 2013 and $6 million per year from 2014 through 2017.</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also has commitments under long-term operating leases.</w:t>
      </w:r>
    </w:p>
    <w:p>
      <w:pPr>
        <w:spacing w:after="0" w:line="117" w:lineRule="exact"/>
        <w:rPr>
          <w:sz w:val="20"/>
          <w:szCs w:val="20"/>
          <w:color w:val="auto"/>
        </w:rPr>
      </w:pPr>
    </w:p>
    <w:p>
      <w:pPr>
        <w:ind w:right="100" w:firstLine="222"/>
        <w:spacing w:after="0" w:line="272" w:lineRule="auto"/>
        <w:rPr>
          <w:sz w:val="20"/>
          <w:szCs w:val="20"/>
          <w:color w:val="auto"/>
        </w:rPr>
      </w:pPr>
      <w:r>
        <w:rPr>
          <w:rFonts w:ascii="Arial" w:cs="Arial" w:eastAsia="Arial" w:hAnsi="Arial"/>
          <w:sz w:val="17"/>
          <w:szCs w:val="17"/>
          <w:color w:val="auto"/>
        </w:rPr>
        <w:t>The Company reinsures credit life and accident and health insurance purchased by consumer loan customers. The Company also enters into reinsurance contracts with third party insurance companies who insure against the risk of a mortgage borrower’s payment default in connection with certain mortgage loans originated by the Company. When providing reinsurance coverage, the Company receives a premium in exchange for accepting a portion of the insurer’s risk of loss. The outstanding loan principal balances reinsured by the Company were approximately $102 million at June 30, 2009. Assets of subsidiaries providing reinsurance that are available to satisfy claims totaled approximately $69 million at June 30, 2009. The amounts noted above are not necessarily indicative of losses which may ultimately be incurred. Such losses are expected to be substantially less because most loans are repaid by borrowers in accordance with the original loan terms.</w:t>
      </w:r>
    </w:p>
    <w:p>
      <w:pPr>
        <w:spacing w:after="0" w:line="70" w:lineRule="exact"/>
        <w:rPr>
          <w:sz w:val="20"/>
          <w:szCs w:val="20"/>
          <w:color w:val="auto"/>
        </w:rPr>
      </w:pPr>
    </w:p>
    <w:p>
      <w:pPr>
        <w:ind w:right="80" w:firstLine="225"/>
        <w:spacing w:after="0" w:line="302" w:lineRule="auto"/>
        <w:rPr>
          <w:sz w:val="20"/>
          <w:szCs w:val="20"/>
          <w:color w:val="auto"/>
        </w:rPr>
      </w:pPr>
      <w:r>
        <w:rPr>
          <w:rFonts w:ascii="Arial" w:cs="Arial" w:eastAsia="Arial" w:hAnsi="Arial"/>
          <w:sz w:val="16"/>
          <w:szCs w:val="16"/>
          <w:color w:val="auto"/>
        </w:rPr>
        <w:t>M&amp;T and its subsidiaries are subject in the normal course of business to various pending and threatened legal proceedings in which claims for monetary damages are asserted. Management, after consultation with legal counsel, does not anticipate that the aggregate ultimate liability arising out of litigation pending against M&amp;T or its subsidiaries will be material to the Company’s consolidated financial position, but at the present time is not in a position to determine whether such litigation will have a material adverse effect on the Company’s consolidated results of operations in any future reporting period.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Reportable segments have been determined based upon the Company’s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79"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financial information of the Company’s segments was compiled utilizing the accounting policies described in note 22 to the Company’s consolidated financial statements as of and for the year ended December 31, 2008. The management accounting policies and processes utilized in compiling segment financial information are highly subjective and, unlike financial accounting, are not based on authoritative guidance similar to GAAP. As a result, the financial information of the reported segments is not necessarily comparable with similar information reported by other financial institutions. As also described in note 22 to the Company’s 2008 consolidated financial statements, neither goodwill nor core deposit and other intangible assets (and the amortization charges associated with such assets) resulting from acquisitions of financial institutions have been allocated to the Company’s reportable segments,</w:t>
      </w:r>
    </w:p>
    <w:p>
      <w:pPr>
        <w:spacing w:after="0" w:line="16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 continued</w:t>
      </w:r>
    </w:p>
    <w:p>
      <w:pPr>
        <w:spacing w:after="0" w:line="12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but are included in the “All Other” category. The Company does, however, assign such intangible assets to business units for purposes of testing for impairment.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Information about the Company’s segments is presented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5"/>
          </w:tcPr>
          <w:p>
            <w:pPr>
              <w:jc w:val="center"/>
              <w:ind w:right="780"/>
              <w:spacing w:after="0"/>
              <w:rPr>
                <w:sz w:val="20"/>
                <w:szCs w:val="20"/>
                <w:color w:val="auto"/>
              </w:rPr>
            </w:pPr>
            <w:r>
              <w:rPr>
                <w:rFonts w:ascii="Arial" w:cs="Arial" w:eastAsia="Arial" w:hAnsi="Arial"/>
                <w:sz w:val="14"/>
                <w:szCs w:val="14"/>
                <w:color w:val="auto"/>
                <w:w w:val="90"/>
              </w:rPr>
              <w:t>Three months ended June 30</w:t>
            </w:r>
          </w:p>
        </w:tc>
        <w:tc>
          <w:tcPr>
            <w:tcW w:w="6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color w:val="auto"/>
              </w:rPr>
              <w:t>2009</w:t>
            </w:r>
          </w:p>
        </w:tc>
        <w:tc>
          <w:tcPr>
            <w:tcW w:w="6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color w:val="auto"/>
              </w:rPr>
              <w:t>2008</w:t>
            </w:r>
          </w:p>
        </w:tc>
        <w:tc>
          <w:tcPr>
            <w:tcW w:w="6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20" w:type="dxa"/>
            <w:vAlign w:val="bottom"/>
            <w:gridSpan w:val="2"/>
          </w:tcPr>
          <w:p>
            <w:pPr>
              <w:jc w:val="center"/>
              <w:ind w:right="660"/>
              <w:spacing w:after="0" w:line="123" w:lineRule="exact"/>
              <w:rPr>
                <w:sz w:val="20"/>
                <w:szCs w:val="20"/>
                <w:color w:val="auto"/>
              </w:rPr>
            </w:pPr>
            <w:r>
              <w:rPr>
                <w:rFonts w:ascii="Arial" w:cs="Arial" w:eastAsia="Arial" w:hAnsi="Arial"/>
                <w:sz w:val="14"/>
                <w:szCs w:val="14"/>
                <w:color w:val="auto"/>
                <w:w w:val="91"/>
              </w:rPr>
              <w:t>Inter-</w:t>
            </w:r>
          </w:p>
        </w:tc>
        <w:tc>
          <w:tcPr>
            <w:tcW w:w="760" w:type="dxa"/>
            <w:vAlign w:val="bottom"/>
          </w:tcPr>
          <w:p>
            <w:pPr>
              <w:jc w:val="center"/>
              <w:spacing w:after="0" w:line="123" w:lineRule="exact"/>
              <w:rPr>
                <w:sz w:val="20"/>
                <w:szCs w:val="20"/>
                <w:color w:val="auto"/>
              </w:rPr>
            </w:pPr>
            <w:r>
              <w:rPr>
                <w:rFonts w:ascii="Arial" w:cs="Arial" w:eastAsia="Arial" w:hAnsi="Arial"/>
                <w:sz w:val="14"/>
                <w:szCs w:val="14"/>
                <w:color w:val="auto"/>
                <w:w w:val="91"/>
              </w:rPr>
              <w:t>Net</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20" w:type="dxa"/>
            <w:vAlign w:val="bottom"/>
            <w:gridSpan w:val="2"/>
          </w:tcPr>
          <w:p>
            <w:pPr>
              <w:jc w:val="center"/>
              <w:ind w:right="640"/>
              <w:spacing w:after="0" w:line="123" w:lineRule="exact"/>
              <w:rPr>
                <w:sz w:val="20"/>
                <w:szCs w:val="20"/>
                <w:color w:val="auto"/>
              </w:rPr>
            </w:pPr>
            <w:r>
              <w:rPr>
                <w:rFonts w:ascii="Arial" w:cs="Arial" w:eastAsia="Arial" w:hAnsi="Arial"/>
                <w:sz w:val="14"/>
                <w:szCs w:val="14"/>
                <w:color w:val="auto"/>
                <w:w w:val="97"/>
              </w:rPr>
              <w:t>Inter-</w:t>
            </w:r>
          </w:p>
        </w:tc>
        <w:tc>
          <w:tcPr>
            <w:tcW w:w="720" w:type="dxa"/>
            <w:vAlign w:val="bottom"/>
          </w:tcPr>
          <w:p>
            <w:pPr>
              <w:jc w:val="center"/>
              <w:spacing w:after="0" w:line="123" w:lineRule="exact"/>
              <w:rPr>
                <w:sz w:val="20"/>
                <w:szCs w:val="20"/>
                <w:color w:val="auto"/>
              </w:rPr>
            </w:pPr>
            <w:r>
              <w:rPr>
                <w:rFonts w:ascii="Arial" w:cs="Arial" w:eastAsia="Arial" w:hAnsi="Arial"/>
                <w:sz w:val="14"/>
                <w:szCs w:val="14"/>
                <w:color w:val="auto"/>
                <w:w w:val="91"/>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96"/>
              </w:rPr>
              <w:t>Total</w:t>
            </w:r>
          </w:p>
        </w:tc>
        <w:tc>
          <w:tcPr>
            <w:tcW w:w="132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89"/>
              </w:rPr>
              <w:t>segment</w:t>
            </w:r>
          </w:p>
        </w:tc>
        <w:tc>
          <w:tcPr>
            <w:tcW w:w="1480" w:type="dxa"/>
            <w:vAlign w:val="bottom"/>
            <w:gridSpan w:val="3"/>
          </w:tcPr>
          <w:p>
            <w:pPr>
              <w:jc w:val="center"/>
              <w:ind w:right="740"/>
              <w:spacing w:after="0" w:line="149" w:lineRule="exact"/>
              <w:rPr>
                <w:sz w:val="20"/>
                <w:szCs w:val="20"/>
                <w:color w:val="auto"/>
              </w:rPr>
            </w:pPr>
            <w:r>
              <w:rPr>
                <w:rFonts w:ascii="Arial" w:cs="Arial" w:eastAsia="Arial" w:hAnsi="Arial"/>
                <w:sz w:val="14"/>
                <w:szCs w:val="14"/>
                <w:color w:val="auto"/>
                <w:w w:val="92"/>
              </w:rPr>
              <w:t>income</w:t>
            </w:r>
          </w:p>
        </w:tc>
        <w:tc>
          <w:tcPr>
            <w:tcW w:w="1400" w:type="dxa"/>
            <w:vAlign w:val="bottom"/>
            <w:gridSpan w:val="2"/>
          </w:tcPr>
          <w:p>
            <w:pPr>
              <w:jc w:val="center"/>
              <w:ind w:right="720"/>
              <w:spacing w:after="0" w:line="149" w:lineRule="exact"/>
              <w:rPr>
                <w:sz w:val="20"/>
                <w:szCs w:val="20"/>
                <w:color w:val="auto"/>
              </w:rPr>
            </w:pPr>
            <w:r>
              <w:rPr>
                <w:rFonts w:ascii="Arial" w:cs="Arial" w:eastAsia="Arial" w:hAnsi="Arial"/>
                <w:sz w:val="14"/>
                <w:szCs w:val="14"/>
                <w:color w:val="auto"/>
                <w:w w:val="89"/>
              </w:rPr>
              <w:t>Total</w:t>
            </w:r>
          </w:p>
        </w:tc>
        <w:tc>
          <w:tcPr>
            <w:tcW w:w="132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89"/>
              </w:rPr>
              <w:t>segment</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income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8"/>
              </w:rPr>
              <w:t>revenues(a)</w:t>
            </w:r>
          </w:p>
        </w:tc>
        <w:tc>
          <w:tcPr>
            <w:tcW w:w="6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revenues</w:t>
            </w:r>
          </w:p>
        </w:tc>
        <w:tc>
          <w:tcPr>
            <w:tcW w:w="6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(loss)</w:t>
            </w:r>
          </w:p>
        </w:tc>
        <w:tc>
          <w:tcPr>
            <w:tcW w:w="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revenues(a)</w:t>
            </w:r>
          </w:p>
        </w:tc>
        <w:tc>
          <w:tcPr>
            <w:tcW w:w="6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revenues</w:t>
            </w:r>
          </w:p>
        </w:tc>
        <w:tc>
          <w:tcPr>
            <w:tcW w:w="64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(loss)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80" w:type="dxa"/>
            <w:vAlign w:val="bottom"/>
            <w:gridSpan w:val="3"/>
          </w:tcPr>
          <w:p>
            <w:pPr>
              <w:jc w:val="center"/>
              <w:ind w:left="537"/>
              <w:spacing w:after="0" w:line="142" w:lineRule="exact"/>
              <w:rPr>
                <w:sz w:val="20"/>
                <w:szCs w:val="20"/>
                <w:color w:val="auto"/>
              </w:rPr>
            </w:pPr>
            <w:r>
              <w:rPr>
                <w:rFonts w:ascii="Arial" w:cs="Arial" w:eastAsia="Arial" w:hAnsi="Arial"/>
                <w:sz w:val="14"/>
                <w:szCs w:val="14"/>
                <w:color w:val="auto"/>
                <w:w w:val="92"/>
              </w:rPr>
              <w:t>(in thousands)</w:t>
            </w: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103,132</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30,699</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91,995</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29,547</w:t>
            </w:r>
          </w:p>
        </w:tc>
        <w:tc>
          <w:tcPr>
            <w:tcW w:w="0" w:type="dxa"/>
            <w:vAlign w:val="bottom"/>
          </w:tcPr>
          <w:p>
            <w:pPr>
              <w:spacing w:after="0"/>
              <w:rPr>
                <w:sz w:val="1"/>
                <w:szCs w:val="1"/>
                <w:color w:val="auto"/>
              </w:rPr>
            </w:pPr>
          </w:p>
        </w:tc>
      </w:tr>
      <w:tr>
        <w:trPr>
          <w:trHeight w:val="432"/>
        </w:trPr>
        <w:tc>
          <w:tcPr>
            <w:tcW w:w="3580" w:type="dxa"/>
            <w:vAlign w:val="bottom"/>
            <w:gridSpan w:val="2"/>
          </w:tcPr>
          <w:p>
            <w:pPr>
              <w:spacing w:after="0"/>
              <w:rPr>
                <w:sz w:val="20"/>
                <w:szCs w:val="20"/>
                <w:color w:val="auto"/>
              </w:rPr>
            </w:pPr>
            <w:r>
              <w:rPr>
                <w:rFonts w:ascii="Arial" w:cs="Arial" w:eastAsia="Arial" w:hAnsi="Arial"/>
                <w:sz w:val="18"/>
                <w:szCs w:val="18"/>
                <w:color w:val="auto"/>
              </w:rPr>
              <w:t>Commercial Banking</w:t>
            </w:r>
          </w:p>
        </w:tc>
        <w:tc>
          <w:tcPr>
            <w:tcW w:w="120" w:type="dxa"/>
            <w:vAlign w:val="bottom"/>
          </w:tcPr>
          <w:p>
            <w:pPr>
              <w:spacing w:after="0"/>
              <w:rPr>
                <w:sz w:val="24"/>
                <w:szCs w:val="24"/>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186,558</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70,003</w:t>
            </w:r>
          </w:p>
        </w:tc>
        <w:tc>
          <w:tcPr>
            <w:tcW w:w="80" w:type="dxa"/>
            <w:vAlign w:val="bottom"/>
          </w:tcPr>
          <w:p>
            <w:pPr>
              <w:spacing w:after="0"/>
              <w:rPr>
                <w:sz w:val="24"/>
                <w:szCs w:val="24"/>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153,566</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165</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53,516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100,847</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23,457</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88,273</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203</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42,646</w:t>
            </w:r>
          </w:p>
        </w:tc>
        <w:tc>
          <w:tcPr>
            <w:tcW w:w="0" w:type="dxa"/>
            <w:vAlign w:val="bottom"/>
          </w:tcPr>
          <w:p>
            <w:pPr>
              <w:spacing w:after="0"/>
              <w:rPr>
                <w:sz w:val="1"/>
                <w:szCs w:val="1"/>
                <w:color w:val="auto"/>
              </w:rPr>
            </w:pPr>
          </w:p>
        </w:tc>
      </w:tr>
      <w:tr>
        <w:trPr>
          <w:trHeight w:val="432"/>
        </w:trPr>
        <w:tc>
          <w:tcPr>
            <w:tcW w:w="3580" w:type="dxa"/>
            <w:vAlign w:val="bottom"/>
            <w:gridSpan w:val="2"/>
          </w:tcPr>
          <w:p>
            <w:pPr>
              <w:spacing w:after="0"/>
              <w:rPr>
                <w:sz w:val="20"/>
                <w:szCs w:val="20"/>
                <w:color w:val="auto"/>
              </w:rPr>
            </w:pPr>
            <w:r>
              <w:rPr>
                <w:rFonts w:ascii="Arial" w:cs="Arial" w:eastAsia="Arial" w:hAnsi="Arial"/>
                <w:sz w:val="18"/>
                <w:szCs w:val="18"/>
                <w:color w:val="auto"/>
              </w:rPr>
              <w:t>Discretionary Portfolio</w:t>
            </w:r>
          </w:p>
        </w:tc>
        <w:tc>
          <w:tcPr>
            <w:tcW w:w="120" w:type="dxa"/>
            <w:vAlign w:val="bottom"/>
          </w:tcPr>
          <w:p>
            <w:pPr>
              <w:spacing w:after="0"/>
              <w:rPr>
                <w:sz w:val="24"/>
                <w:szCs w:val="24"/>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16,433</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(3,693)</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(3,279)</w:t>
            </w:r>
          </w:p>
        </w:tc>
        <w:tc>
          <w:tcPr>
            <w:tcW w:w="80" w:type="dxa"/>
            <w:vAlign w:val="bottom"/>
          </w:tcPr>
          <w:p>
            <w:pPr>
              <w:spacing w:after="0"/>
              <w:rPr>
                <w:sz w:val="24"/>
                <w:szCs w:val="24"/>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28,792</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(4,170)</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5,324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80,016</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15,002</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(10,877)</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64,021</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12,953</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(10,420)</w:t>
            </w:r>
          </w:p>
        </w:tc>
        <w:tc>
          <w:tcPr>
            <w:tcW w:w="0" w:type="dxa"/>
            <w:vAlign w:val="bottom"/>
          </w:tcPr>
          <w:p>
            <w:pPr>
              <w:spacing w:after="0"/>
              <w:rPr>
                <w:sz w:val="1"/>
                <w:szCs w:val="1"/>
                <w:color w:val="auto"/>
              </w:rPr>
            </w:pPr>
          </w:p>
        </w:tc>
      </w:tr>
      <w:tr>
        <w:trPr>
          <w:trHeight w:val="432"/>
        </w:trPr>
        <w:tc>
          <w:tcPr>
            <w:tcW w:w="3580" w:type="dxa"/>
            <w:vAlign w:val="bottom"/>
            <w:gridSpan w:val="2"/>
          </w:tcPr>
          <w:p>
            <w:pPr>
              <w:spacing w:after="0"/>
              <w:rPr>
                <w:sz w:val="20"/>
                <w:szCs w:val="20"/>
                <w:color w:val="auto"/>
              </w:rPr>
            </w:pPr>
            <w:r>
              <w:rPr>
                <w:rFonts w:ascii="Arial" w:cs="Arial" w:eastAsia="Arial" w:hAnsi="Arial"/>
                <w:sz w:val="18"/>
                <w:szCs w:val="18"/>
                <w:color w:val="auto"/>
              </w:rPr>
              <w:t>Retail Banking</w:t>
            </w:r>
          </w:p>
        </w:tc>
        <w:tc>
          <w:tcPr>
            <w:tcW w:w="120" w:type="dxa"/>
            <w:vAlign w:val="bottom"/>
          </w:tcPr>
          <w:p>
            <w:pPr>
              <w:spacing w:after="0"/>
              <w:rPr>
                <w:sz w:val="24"/>
                <w:szCs w:val="24"/>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313,025</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2,509</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54,184</w:t>
            </w:r>
          </w:p>
        </w:tc>
        <w:tc>
          <w:tcPr>
            <w:tcW w:w="80" w:type="dxa"/>
            <w:vAlign w:val="bottom"/>
          </w:tcPr>
          <w:p>
            <w:pPr>
              <w:spacing w:after="0"/>
              <w:rPr>
                <w:sz w:val="24"/>
                <w:szCs w:val="24"/>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292,175</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3,355</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62,927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(26,795)</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(13,851)</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(112,999)</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38,992</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(12,509)</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(23,275)</w:t>
            </w:r>
          </w:p>
        </w:tc>
        <w:tc>
          <w:tcPr>
            <w:tcW w:w="0" w:type="dxa"/>
            <w:vAlign w:val="bottom"/>
          </w:tcPr>
          <w:p>
            <w:pPr>
              <w:spacing w:after="0"/>
              <w:rPr>
                <w:sz w:val="1"/>
                <w:szCs w:val="1"/>
                <w:color w:val="auto"/>
              </w:rPr>
            </w:pPr>
          </w:p>
        </w:tc>
      </w:tr>
      <w:tr>
        <w:trPr>
          <w:trHeight w:val="20"/>
        </w:trPr>
        <w:tc>
          <w:tcPr>
            <w:tcW w:w="35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5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773,216</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51,188</w:t>
            </w:r>
          </w:p>
        </w:tc>
        <w:tc>
          <w:tcPr>
            <w:tcW w:w="80" w:type="dxa"/>
            <w:vAlign w:val="bottom"/>
          </w:tcPr>
          <w:p>
            <w:pPr>
              <w:spacing w:after="0"/>
              <w:rPr>
                <w:sz w:val="24"/>
                <w:szCs w:val="24"/>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757,814</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160,265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5"/>
          </w:tcPr>
          <w:p>
            <w:pPr>
              <w:jc w:val="center"/>
              <w:ind w:right="780"/>
              <w:spacing w:after="0"/>
              <w:rPr>
                <w:sz w:val="20"/>
                <w:szCs w:val="20"/>
                <w:color w:val="auto"/>
              </w:rPr>
            </w:pPr>
            <w:r>
              <w:rPr>
                <w:rFonts w:ascii="Arial" w:cs="Arial" w:eastAsia="Arial" w:hAnsi="Arial"/>
                <w:sz w:val="14"/>
                <w:szCs w:val="14"/>
                <w:color w:val="auto"/>
                <w:w w:val="90"/>
              </w:rPr>
              <w:t>Six months ended June 30</w:t>
            </w:r>
          </w:p>
        </w:tc>
        <w:tc>
          <w:tcPr>
            <w:tcW w:w="6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color w:val="auto"/>
              </w:rPr>
              <w:t>2009</w:t>
            </w:r>
          </w:p>
        </w:tc>
        <w:tc>
          <w:tcPr>
            <w:tcW w:w="6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color w:val="auto"/>
              </w:rPr>
              <w:t>2008</w:t>
            </w:r>
          </w:p>
        </w:tc>
        <w:tc>
          <w:tcPr>
            <w:tcW w:w="6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20" w:type="dxa"/>
            <w:vAlign w:val="bottom"/>
            <w:gridSpan w:val="2"/>
          </w:tcPr>
          <w:p>
            <w:pPr>
              <w:jc w:val="center"/>
              <w:ind w:right="660"/>
              <w:spacing w:after="0" w:line="123" w:lineRule="exact"/>
              <w:rPr>
                <w:sz w:val="20"/>
                <w:szCs w:val="20"/>
                <w:color w:val="auto"/>
              </w:rPr>
            </w:pPr>
            <w:r>
              <w:rPr>
                <w:rFonts w:ascii="Arial" w:cs="Arial" w:eastAsia="Arial" w:hAnsi="Arial"/>
                <w:sz w:val="14"/>
                <w:szCs w:val="14"/>
                <w:color w:val="auto"/>
                <w:w w:val="91"/>
              </w:rPr>
              <w:t>Inter-</w:t>
            </w:r>
          </w:p>
        </w:tc>
        <w:tc>
          <w:tcPr>
            <w:tcW w:w="760" w:type="dxa"/>
            <w:vAlign w:val="bottom"/>
          </w:tcPr>
          <w:p>
            <w:pPr>
              <w:jc w:val="center"/>
              <w:spacing w:after="0" w:line="123" w:lineRule="exact"/>
              <w:rPr>
                <w:sz w:val="20"/>
                <w:szCs w:val="20"/>
                <w:color w:val="auto"/>
              </w:rPr>
            </w:pPr>
            <w:r>
              <w:rPr>
                <w:rFonts w:ascii="Arial" w:cs="Arial" w:eastAsia="Arial" w:hAnsi="Arial"/>
                <w:sz w:val="14"/>
                <w:szCs w:val="14"/>
                <w:color w:val="auto"/>
                <w:w w:val="91"/>
              </w:rPr>
              <w:t>Net</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20" w:type="dxa"/>
            <w:vAlign w:val="bottom"/>
            <w:gridSpan w:val="2"/>
          </w:tcPr>
          <w:p>
            <w:pPr>
              <w:jc w:val="center"/>
              <w:ind w:right="640"/>
              <w:spacing w:after="0" w:line="123" w:lineRule="exact"/>
              <w:rPr>
                <w:sz w:val="20"/>
                <w:szCs w:val="20"/>
                <w:color w:val="auto"/>
              </w:rPr>
            </w:pPr>
            <w:r>
              <w:rPr>
                <w:rFonts w:ascii="Arial" w:cs="Arial" w:eastAsia="Arial" w:hAnsi="Arial"/>
                <w:sz w:val="14"/>
                <w:szCs w:val="14"/>
                <w:color w:val="auto"/>
                <w:w w:val="97"/>
              </w:rPr>
              <w:t>Inter-</w:t>
            </w:r>
          </w:p>
        </w:tc>
        <w:tc>
          <w:tcPr>
            <w:tcW w:w="720" w:type="dxa"/>
            <w:vAlign w:val="bottom"/>
          </w:tcPr>
          <w:p>
            <w:pPr>
              <w:jc w:val="center"/>
              <w:spacing w:after="0" w:line="123" w:lineRule="exact"/>
              <w:rPr>
                <w:sz w:val="20"/>
                <w:szCs w:val="20"/>
                <w:color w:val="auto"/>
              </w:rPr>
            </w:pPr>
            <w:r>
              <w:rPr>
                <w:rFonts w:ascii="Arial" w:cs="Arial" w:eastAsia="Arial" w:hAnsi="Arial"/>
                <w:sz w:val="14"/>
                <w:szCs w:val="14"/>
                <w:color w:val="auto"/>
                <w:w w:val="91"/>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96"/>
              </w:rPr>
              <w:t>Total</w:t>
            </w:r>
          </w:p>
        </w:tc>
        <w:tc>
          <w:tcPr>
            <w:tcW w:w="132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89"/>
              </w:rPr>
              <w:t>segment</w:t>
            </w:r>
          </w:p>
        </w:tc>
        <w:tc>
          <w:tcPr>
            <w:tcW w:w="1480" w:type="dxa"/>
            <w:vAlign w:val="bottom"/>
            <w:gridSpan w:val="3"/>
          </w:tcPr>
          <w:p>
            <w:pPr>
              <w:jc w:val="center"/>
              <w:ind w:right="740"/>
              <w:spacing w:after="0" w:line="149" w:lineRule="exact"/>
              <w:rPr>
                <w:sz w:val="20"/>
                <w:szCs w:val="20"/>
                <w:color w:val="auto"/>
              </w:rPr>
            </w:pPr>
            <w:r>
              <w:rPr>
                <w:rFonts w:ascii="Arial" w:cs="Arial" w:eastAsia="Arial" w:hAnsi="Arial"/>
                <w:sz w:val="14"/>
                <w:szCs w:val="14"/>
                <w:color w:val="auto"/>
                <w:w w:val="92"/>
              </w:rPr>
              <w:t>income</w:t>
            </w:r>
          </w:p>
        </w:tc>
        <w:tc>
          <w:tcPr>
            <w:tcW w:w="1400" w:type="dxa"/>
            <w:vAlign w:val="bottom"/>
            <w:gridSpan w:val="2"/>
          </w:tcPr>
          <w:p>
            <w:pPr>
              <w:jc w:val="center"/>
              <w:ind w:right="720"/>
              <w:spacing w:after="0" w:line="149" w:lineRule="exact"/>
              <w:rPr>
                <w:sz w:val="20"/>
                <w:szCs w:val="20"/>
                <w:color w:val="auto"/>
              </w:rPr>
            </w:pPr>
            <w:r>
              <w:rPr>
                <w:rFonts w:ascii="Arial" w:cs="Arial" w:eastAsia="Arial" w:hAnsi="Arial"/>
                <w:sz w:val="14"/>
                <w:szCs w:val="14"/>
                <w:color w:val="auto"/>
                <w:w w:val="89"/>
              </w:rPr>
              <w:t>Total</w:t>
            </w:r>
          </w:p>
        </w:tc>
        <w:tc>
          <w:tcPr>
            <w:tcW w:w="132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89"/>
              </w:rPr>
              <w:t>segment</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income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8"/>
              </w:rPr>
              <w:t>revenues(a)</w:t>
            </w:r>
          </w:p>
        </w:tc>
        <w:tc>
          <w:tcPr>
            <w:tcW w:w="6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revenues</w:t>
            </w:r>
          </w:p>
        </w:tc>
        <w:tc>
          <w:tcPr>
            <w:tcW w:w="6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(loss)</w:t>
            </w:r>
          </w:p>
        </w:tc>
        <w:tc>
          <w:tcPr>
            <w:tcW w:w="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revenues(a)</w:t>
            </w:r>
          </w:p>
        </w:tc>
        <w:tc>
          <w:tcPr>
            <w:tcW w:w="6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revenues</w:t>
            </w:r>
          </w:p>
        </w:tc>
        <w:tc>
          <w:tcPr>
            <w:tcW w:w="64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(loss)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80" w:type="dxa"/>
            <w:vAlign w:val="bottom"/>
            <w:gridSpan w:val="3"/>
          </w:tcPr>
          <w:p>
            <w:pPr>
              <w:jc w:val="center"/>
              <w:ind w:left="537"/>
              <w:spacing w:after="0" w:line="142" w:lineRule="exact"/>
              <w:rPr>
                <w:sz w:val="20"/>
                <w:szCs w:val="20"/>
                <w:color w:val="auto"/>
              </w:rPr>
            </w:pPr>
            <w:r>
              <w:rPr>
                <w:rFonts w:ascii="Arial" w:cs="Arial" w:eastAsia="Arial" w:hAnsi="Arial"/>
                <w:sz w:val="14"/>
                <w:szCs w:val="14"/>
                <w:color w:val="auto"/>
                <w:w w:val="92"/>
              </w:rPr>
              <w:t>(in thousands)</w:t>
            </w: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196,767</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60,811</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187,244</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62,330</w:t>
            </w:r>
          </w:p>
        </w:tc>
        <w:tc>
          <w:tcPr>
            <w:tcW w:w="0" w:type="dxa"/>
            <w:vAlign w:val="bottom"/>
          </w:tcPr>
          <w:p>
            <w:pPr>
              <w:spacing w:after="0"/>
              <w:rPr>
                <w:sz w:val="1"/>
                <w:szCs w:val="1"/>
                <w:color w:val="auto"/>
              </w:rPr>
            </w:pPr>
          </w:p>
        </w:tc>
      </w:tr>
      <w:tr>
        <w:trPr>
          <w:trHeight w:val="432"/>
        </w:trPr>
        <w:tc>
          <w:tcPr>
            <w:tcW w:w="3580" w:type="dxa"/>
            <w:vAlign w:val="bottom"/>
            <w:gridSpan w:val="2"/>
          </w:tcPr>
          <w:p>
            <w:pPr>
              <w:spacing w:after="0"/>
              <w:rPr>
                <w:sz w:val="20"/>
                <w:szCs w:val="20"/>
                <w:color w:val="auto"/>
              </w:rPr>
            </w:pPr>
            <w:r>
              <w:rPr>
                <w:rFonts w:ascii="Arial" w:cs="Arial" w:eastAsia="Arial" w:hAnsi="Arial"/>
                <w:sz w:val="18"/>
                <w:szCs w:val="18"/>
                <w:color w:val="auto"/>
              </w:rPr>
              <w:t>Commercial Banking</w:t>
            </w:r>
          </w:p>
        </w:tc>
        <w:tc>
          <w:tcPr>
            <w:tcW w:w="120" w:type="dxa"/>
            <w:vAlign w:val="bottom"/>
          </w:tcPr>
          <w:p>
            <w:pPr>
              <w:spacing w:after="0"/>
              <w:rPr>
                <w:sz w:val="24"/>
                <w:szCs w:val="24"/>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351,685</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127,157</w:t>
            </w:r>
          </w:p>
        </w:tc>
        <w:tc>
          <w:tcPr>
            <w:tcW w:w="80" w:type="dxa"/>
            <w:vAlign w:val="bottom"/>
          </w:tcPr>
          <w:p>
            <w:pPr>
              <w:spacing w:after="0"/>
              <w:rPr>
                <w:sz w:val="24"/>
                <w:szCs w:val="24"/>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316,150</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250</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120,325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189,811</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39</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66,440</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174,551</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411</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85,455</w:t>
            </w:r>
          </w:p>
        </w:tc>
        <w:tc>
          <w:tcPr>
            <w:tcW w:w="0" w:type="dxa"/>
            <w:vAlign w:val="bottom"/>
          </w:tcPr>
          <w:p>
            <w:pPr>
              <w:spacing w:after="0"/>
              <w:rPr>
                <w:sz w:val="1"/>
                <w:szCs w:val="1"/>
                <w:color w:val="auto"/>
              </w:rPr>
            </w:pPr>
          </w:p>
        </w:tc>
      </w:tr>
      <w:tr>
        <w:trPr>
          <w:trHeight w:val="432"/>
        </w:trPr>
        <w:tc>
          <w:tcPr>
            <w:tcW w:w="3580" w:type="dxa"/>
            <w:vAlign w:val="bottom"/>
            <w:gridSpan w:val="2"/>
          </w:tcPr>
          <w:p>
            <w:pPr>
              <w:spacing w:after="0"/>
              <w:rPr>
                <w:sz w:val="20"/>
                <w:szCs w:val="20"/>
                <w:color w:val="auto"/>
              </w:rPr>
            </w:pPr>
            <w:r>
              <w:rPr>
                <w:rFonts w:ascii="Arial" w:cs="Arial" w:eastAsia="Arial" w:hAnsi="Arial"/>
                <w:sz w:val="18"/>
                <w:szCs w:val="18"/>
                <w:color w:val="auto"/>
              </w:rPr>
              <w:t>Discretionary Portfolio</w:t>
            </w:r>
          </w:p>
        </w:tc>
        <w:tc>
          <w:tcPr>
            <w:tcW w:w="120" w:type="dxa"/>
            <w:vAlign w:val="bottom"/>
          </w:tcPr>
          <w:p>
            <w:pPr>
              <w:spacing w:after="0"/>
              <w:rPr>
                <w:sz w:val="24"/>
                <w:szCs w:val="24"/>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27,731</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(6,777)</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(8,368)</w:t>
            </w:r>
          </w:p>
        </w:tc>
        <w:tc>
          <w:tcPr>
            <w:tcW w:w="80" w:type="dxa"/>
            <w:vAlign w:val="bottom"/>
          </w:tcPr>
          <w:p>
            <w:pPr>
              <w:spacing w:after="0"/>
              <w:rPr>
                <w:sz w:val="24"/>
                <w:szCs w:val="24"/>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72,267</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(8,499)</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21,301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160,027</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26,871</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(5,377)</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131,439</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26,284</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(5,361)</w:t>
            </w:r>
          </w:p>
        </w:tc>
        <w:tc>
          <w:tcPr>
            <w:tcW w:w="0" w:type="dxa"/>
            <w:vAlign w:val="bottom"/>
          </w:tcPr>
          <w:p>
            <w:pPr>
              <w:spacing w:after="0"/>
              <w:rPr>
                <w:sz w:val="1"/>
                <w:szCs w:val="1"/>
                <w:color w:val="auto"/>
              </w:rPr>
            </w:pPr>
          </w:p>
        </w:tc>
      </w:tr>
      <w:tr>
        <w:trPr>
          <w:trHeight w:val="432"/>
        </w:trPr>
        <w:tc>
          <w:tcPr>
            <w:tcW w:w="3580" w:type="dxa"/>
            <w:vAlign w:val="bottom"/>
            <w:gridSpan w:val="2"/>
          </w:tcPr>
          <w:p>
            <w:pPr>
              <w:spacing w:after="0"/>
              <w:rPr>
                <w:sz w:val="20"/>
                <w:szCs w:val="20"/>
                <w:color w:val="auto"/>
              </w:rPr>
            </w:pPr>
            <w:r>
              <w:rPr>
                <w:rFonts w:ascii="Arial" w:cs="Arial" w:eastAsia="Arial" w:hAnsi="Arial"/>
                <w:sz w:val="18"/>
                <w:szCs w:val="18"/>
                <w:color w:val="auto"/>
              </w:rPr>
              <w:t>Retail Banking</w:t>
            </w:r>
          </w:p>
        </w:tc>
        <w:tc>
          <w:tcPr>
            <w:tcW w:w="120" w:type="dxa"/>
            <w:vAlign w:val="bottom"/>
          </w:tcPr>
          <w:p>
            <w:pPr>
              <w:spacing w:after="0"/>
              <w:rPr>
                <w:sz w:val="24"/>
                <w:szCs w:val="24"/>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597,677</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5,164</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106,547</w:t>
            </w:r>
          </w:p>
        </w:tc>
        <w:tc>
          <w:tcPr>
            <w:tcW w:w="80" w:type="dxa"/>
            <w:vAlign w:val="bottom"/>
          </w:tcPr>
          <w:p>
            <w:pPr>
              <w:spacing w:after="0"/>
              <w:rPr>
                <w:sz w:val="24"/>
                <w:szCs w:val="24"/>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595,043</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6,322</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138,397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(70,334)</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(25,297)</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(231,801)</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72,633</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(24,771)</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(59,986)</w:t>
            </w:r>
          </w:p>
        </w:tc>
        <w:tc>
          <w:tcPr>
            <w:tcW w:w="0" w:type="dxa"/>
            <w:vAlign w:val="bottom"/>
          </w:tcPr>
          <w:p>
            <w:pPr>
              <w:spacing w:after="0"/>
              <w:rPr>
                <w:sz w:val="1"/>
                <w:szCs w:val="1"/>
                <w:color w:val="auto"/>
              </w:rPr>
            </w:pPr>
          </w:p>
        </w:tc>
      </w:tr>
      <w:tr>
        <w:trPr>
          <w:trHeight w:val="20"/>
        </w:trPr>
        <w:tc>
          <w:tcPr>
            <w:tcW w:w="35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5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1,453,364</w:t>
            </w:r>
          </w:p>
        </w:tc>
        <w:tc>
          <w:tcPr>
            <w:tcW w:w="660" w:type="dxa"/>
            <w:vAlign w:val="bottom"/>
          </w:tcPr>
          <w:p>
            <w:pPr>
              <w:spacing w:after="0"/>
              <w:rPr>
                <w:sz w:val="24"/>
                <w:szCs w:val="2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115,409</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1,549,327</w:t>
            </w:r>
          </w:p>
        </w:tc>
        <w:tc>
          <w:tcPr>
            <w:tcW w:w="640" w:type="dxa"/>
            <w:vAlign w:val="bottom"/>
          </w:tcPr>
          <w:p>
            <w:pPr>
              <w:spacing w:after="0"/>
              <w:rPr>
                <w:sz w:val="24"/>
                <w:szCs w:val="24"/>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362,461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- 42 -</w:t>
            </w: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5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color w:val="auto"/>
              </w:rPr>
              <w:t>Average total assets</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560" w:type="dxa"/>
            <w:vAlign w:val="bottom"/>
            <w:gridSpan w:val="4"/>
          </w:tcPr>
          <w:p>
            <w:pPr>
              <w:jc w:val="right"/>
              <w:ind w:right="1180"/>
              <w:spacing w:after="0" w:line="123" w:lineRule="exact"/>
              <w:rPr>
                <w:sz w:val="20"/>
                <w:szCs w:val="20"/>
                <w:color w:val="auto"/>
              </w:rPr>
            </w:pPr>
            <w:r>
              <w:rPr>
                <w:rFonts w:ascii="Arial" w:cs="Arial" w:eastAsia="Arial" w:hAnsi="Arial"/>
                <w:sz w:val="14"/>
                <w:szCs w:val="14"/>
                <w:color w:val="auto"/>
              </w:rPr>
              <w:t>Six months ended</w:t>
            </w:r>
          </w:p>
        </w:tc>
        <w:tc>
          <w:tcPr>
            <w:tcW w:w="780" w:type="dxa"/>
            <w:vAlign w:val="bottom"/>
          </w:tcPr>
          <w:p>
            <w:pPr>
              <w:jc w:val="center"/>
              <w:spacing w:after="0" w:line="123" w:lineRule="exact"/>
              <w:rPr>
                <w:sz w:val="20"/>
                <w:szCs w:val="20"/>
                <w:color w:val="auto"/>
              </w:rPr>
            </w:pPr>
            <w:r>
              <w:rPr>
                <w:rFonts w:ascii="Arial" w:cs="Arial" w:eastAsia="Arial" w:hAnsi="Arial"/>
                <w:sz w:val="14"/>
                <w:szCs w:val="14"/>
                <w:color w:val="auto"/>
                <w:w w:val="88"/>
              </w:rPr>
              <w:t>Year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gridSpan w:val="3"/>
          </w:tcPr>
          <w:p>
            <w:pPr>
              <w:jc w:val="right"/>
              <w:ind w:right="1460"/>
              <w:spacing w:after="0" w:line="149" w:lineRule="exact"/>
              <w:rPr>
                <w:sz w:val="20"/>
                <w:szCs w:val="20"/>
                <w:color w:val="auto"/>
              </w:rPr>
            </w:pPr>
            <w:r>
              <w:rPr>
                <w:rFonts w:ascii="Arial" w:cs="Arial" w:eastAsia="Arial" w:hAnsi="Arial"/>
                <w:sz w:val="14"/>
                <w:szCs w:val="14"/>
                <w:color w:val="auto"/>
              </w:rPr>
              <w:t>June 30</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color w:val="auto"/>
              </w:rPr>
              <w:t>2009</w:t>
            </w:r>
          </w:p>
        </w:tc>
        <w:tc>
          <w:tcPr>
            <w:tcW w:w="1340" w:type="dxa"/>
            <w:vAlign w:val="bottom"/>
            <w:gridSpan w:val="2"/>
          </w:tcPr>
          <w:p>
            <w:pPr>
              <w:ind w:left="860"/>
              <w:spacing w:after="0"/>
              <w:rPr>
                <w:sz w:val="20"/>
                <w:szCs w:val="20"/>
                <w:color w:val="auto"/>
              </w:rPr>
            </w:pPr>
            <w:r>
              <w:rPr>
                <w:rFonts w:ascii="Arial" w:cs="Arial" w:eastAsia="Arial" w:hAnsi="Arial"/>
                <w:sz w:val="14"/>
                <w:szCs w:val="14"/>
                <w:color w:val="auto"/>
              </w:rPr>
              <w:t>2008</w:t>
            </w:r>
          </w:p>
        </w:tc>
        <w:tc>
          <w:tcPr>
            <w:tcW w:w="6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6"/>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(in millions)</w:t>
            </w:r>
          </w:p>
        </w:tc>
        <w:tc>
          <w:tcPr>
            <w:tcW w:w="6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4,686</w:t>
            </w:r>
          </w:p>
        </w:tc>
        <w:tc>
          <w:tcPr>
            <w:tcW w:w="20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4,415</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4,452</w:t>
            </w:r>
          </w:p>
        </w:tc>
        <w:tc>
          <w:tcPr>
            <w:tcW w:w="0" w:type="dxa"/>
            <w:vAlign w:val="bottom"/>
          </w:tcPr>
          <w:p>
            <w:pPr>
              <w:spacing w:after="0"/>
              <w:rPr>
                <w:sz w:val="1"/>
                <w:szCs w:val="1"/>
                <w:color w:val="auto"/>
              </w:rPr>
            </w:pPr>
          </w:p>
        </w:tc>
      </w:tr>
      <w:tr>
        <w:trPr>
          <w:trHeight w:val="432"/>
        </w:trPr>
        <w:tc>
          <w:tcPr>
            <w:tcW w:w="7840" w:type="dxa"/>
            <w:vAlign w:val="bottom"/>
            <w:gridSpan w:val="2"/>
          </w:tcPr>
          <w:p>
            <w:pPr>
              <w:spacing w:after="0"/>
              <w:rPr>
                <w:sz w:val="20"/>
                <w:szCs w:val="20"/>
                <w:color w:val="auto"/>
              </w:rPr>
            </w:pPr>
            <w:r>
              <w:rPr>
                <w:rFonts w:ascii="Arial" w:cs="Arial" w:eastAsia="Arial" w:hAnsi="Arial"/>
                <w:sz w:val="18"/>
                <w:szCs w:val="18"/>
                <w:color w:val="auto"/>
              </w:rPr>
              <w:t>Commercial Banking</w:t>
            </w: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15,414</w:t>
            </w:r>
          </w:p>
        </w:tc>
        <w:tc>
          <w:tcPr>
            <w:tcW w:w="2020" w:type="dxa"/>
            <w:vAlign w:val="bottom"/>
            <w:gridSpan w:val="3"/>
          </w:tcPr>
          <w:p>
            <w:pPr>
              <w:jc w:val="right"/>
              <w:ind w:right="680"/>
              <w:spacing w:after="0"/>
              <w:rPr>
                <w:sz w:val="20"/>
                <w:szCs w:val="20"/>
                <w:color w:val="auto"/>
              </w:rPr>
            </w:pPr>
            <w:r>
              <w:rPr>
                <w:rFonts w:ascii="Arial" w:cs="Arial" w:eastAsia="Arial" w:hAnsi="Arial"/>
                <w:sz w:val="18"/>
                <w:szCs w:val="18"/>
                <w:color w:val="auto"/>
              </w:rPr>
              <w:t>14,692</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14,981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12,135</w:t>
            </w:r>
          </w:p>
        </w:tc>
        <w:tc>
          <w:tcPr>
            <w:tcW w:w="13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83"/>
              </w:rPr>
              <w:t>11,230</w:t>
            </w:r>
          </w:p>
        </w:tc>
        <w:tc>
          <w:tcPr>
            <w:tcW w:w="6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11,394</w:t>
            </w:r>
          </w:p>
        </w:tc>
        <w:tc>
          <w:tcPr>
            <w:tcW w:w="0" w:type="dxa"/>
            <w:vAlign w:val="bottom"/>
          </w:tcPr>
          <w:p>
            <w:pPr>
              <w:spacing w:after="0"/>
              <w:rPr>
                <w:sz w:val="1"/>
                <w:szCs w:val="1"/>
                <w:color w:val="auto"/>
              </w:rPr>
            </w:pPr>
          </w:p>
        </w:tc>
      </w:tr>
      <w:tr>
        <w:trPr>
          <w:trHeight w:val="432"/>
        </w:trPr>
        <w:tc>
          <w:tcPr>
            <w:tcW w:w="7840" w:type="dxa"/>
            <w:vAlign w:val="bottom"/>
            <w:gridSpan w:val="2"/>
          </w:tcPr>
          <w:p>
            <w:pPr>
              <w:spacing w:after="0"/>
              <w:rPr>
                <w:sz w:val="20"/>
                <w:szCs w:val="20"/>
                <w:color w:val="auto"/>
              </w:rPr>
            </w:pPr>
            <w:r>
              <w:rPr>
                <w:rFonts w:ascii="Arial" w:cs="Arial" w:eastAsia="Arial" w:hAnsi="Arial"/>
                <w:sz w:val="18"/>
                <w:szCs w:val="18"/>
                <w:color w:val="auto"/>
              </w:rPr>
              <w:t>Discretionary Portfolio</w:t>
            </w: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13,506</w:t>
            </w:r>
          </w:p>
        </w:tc>
        <w:tc>
          <w:tcPr>
            <w:tcW w:w="2020" w:type="dxa"/>
            <w:vAlign w:val="bottom"/>
            <w:gridSpan w:val="3"/>
          </w:tcPr>
          <w:p>
            <w:pPr>
              <w:jc w:val="right"/>
              <w:ind w:right="680"/>
              <w:spacing w:after="0"/>
              <w:rPr>
                <w:sz w:val="20"/>
                <w:szCs w:val="20"/>
                <w:color w:val="auto"/>
              </w:rPr>
            </w:pPr>
            <w:r>
              <w:rPr>
                <w:rFonts w:ascii="Arial" w:cs="Arial" w:eastAsia="Arial" w:hAnsi="Arial"/>
                <w:sz w:val="18"/>
                <w:szCs w:val="18"/>
                <w:color w:val="auto"/>
              </w:rPr>
              <w:t>14,725</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14,179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w:t>
            </w:r>
          </w:p>
        </w:tc>
        <w:tc>
          <w:tcPr>
            <w:tcW w:w="20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2,743</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2,660</w:t>
            </w:r>
          </w:p>
        </w:tc>
        <w:tc>
          <w:tcPr>
            <w:tcW w:w="0" w:type="dxa"/>
            <w:vAlign w:val="bottom"/>
          </w:tcPr>
          <w:p>
            <w:pPr>
              <w:spacing w:after="0"/>
              <w:rPr>
                <w:sz w:val="1"/>
                <w:szCs w:val="1"/>
                <w:color w:val="auto"/>
              </w:rPr>
            </w:pPr>
          </w:p>
        </w:tc>
      </w:tr>
      <w:tr>
        <w:trPr>
          <w:trHeight w:val="432"/>
        </w:trPr>
        <w:tc>
          <w:tcPr>
            <w:tcW w:w="7840" w:type="dxa"/>
            <w:vAlign w:val="bottom"/>
            <w:gridSpan w:val="2"/>
          </w:tcPr>
          <w:p>
            <w:pPr>
              <w:spacing w:after="0"/>
              <w:rPr>
                <w:sz w:val="20"/>
                <w:szCs w:val="20"/>
                <w:color w:val="auto"/>
              </w:rPr>
            </w:pPr>
            <w:r>
              <w:rPr>
                <w:rFonts w:ascii="Arial" w:cs="Arial" w:eastAsia="Arial" w:hAnsi="Arial"/>
                <w:sz w:val="18"/>
                <w:szCs w:val="18"/>
                <w:color w:val="auto"/>
              </w:rPr>
              <w:t>Retail Banking</w:t>
            </w: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11,484</w:t>
            </w:r>
          </w:p>
        </w:tc>
        <w:tc>
          <w:tcPr>
            <w:tcW w:w="1340" w:type="dxa"/>
            <w:vAlign w:val="bottom"/>
            <w:gridSpan w:val="2"/>
          </w:tcPr>
          <w:p>
            <w:pPr>
              <w:ind w:left="860"/>
              <w:spacing w:after="0"/>
              <w:rPr>
                <w:sz w:val="20"/>
                <w:szCs w:val="20"/>
                <w:color w:val="auto"/>
              </w:rPr>
            </w:pPr>
            <w:r>
              <w:rPr>
                <w:rFonts w:ascii="Arial" w:cs="Arial" w:eastAsia="Arial" w:hAnsi="Arial"/>
                <w:sz w:val="18"/>
                <w:szCs w:val="18"/>
                <w:color w:val="auto"/>
                <w:w w:val="83"/>
              </w:rPr>
              <w:t>11,459</w:t>
            </w:r>
          </w:p>
        </w:tc>
        <w:tc>
          <w:tcPr>
            <w:tcW w:w="68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11,356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5,855</w:t>
            </w: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6,035</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6,110</w:t>
            </w:r>
          </w:p>
        </w:tc>
        <w:tc>
          <w:tcPr>
            <w:tcW w:w="0" w:type="dxa"/>
            <w:vAlign w:val="bottom"/>
          </w:tcPr>
          <w:p>
            <w:pPr>
              <w:spacing w:after="0"/>
              <w:rPr>
                <w:sz w:val="1"/>
                <w:szCs w:val="1"/>
                <w:color w:val="auto"/>
              </w:rPr>
            </w:pPr>
          </w:p>
        </w:tc>
      </w:tr>
      <w:tr>
        <w:trPr>
          <w:trHeight w:val="20"/>
        </w:trPr>
        <w:tc>
          <w:tcPr>
            <w:tcW w:w="784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8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65,881</w:t>
            </w:r>
          </w:p>
        </w:tc>
        <w:tc>
          <w:tcPr>
            <w:tcW w:w="680" w:type="dxa"/>
            <w:vAlign w:val="bottom"/>
          </w:tcPr>
          <w:p>
            <w:pPr>
              <w:spacing w:after="0"/>
              <w:rPr>
                <w:sz w:val="24"/>
                <w:szCs w:val="24"/>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65,299</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65,132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80" w:hanging="452"/>
        <w:spacing w:after="0" w:line="255"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Total revenues are comprised of net interest income and other income. Net interest income is the difference between taxable-equivalent interest earned on assets and interest paid on liabilities owed by a segment and a funding charge (credit) based on the Company’s internal funds transfer and allocation methodology. Segments are charged a cost to fund any assets (e.g. loans) and are paid a funding credit for any funds provided (e.g. deposits). The taxable-equivalent adjustment aggregated $5,214,000 and $5,851,000 for the three-month periods ended June 30, 2009 and 2008, respectively, and $10,147,000 and $11,634,000 for the six-month periods ended June 30, 2009 and 2008, respectively, and is eliminated in “All Other” total revenues. Intersegment revenues are included in total revenues of the reportable segments. The elimination of intersegment revenues is included in the determination of “All Other” total revenues.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Relationship with Bayview Lending Group LLC and Bayview Financial Holdings, L.P.</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2007 M&amp;T invested $300 million to acquire a 20% minority interest in Bayview Lending Group LLC (“BLG”), a privately-held company that, together with its affiliates, specializes in originating, securitizing and servicing small balance commercial real estate loans. M&amp;T recognizes income from BLG using the equity method of accounting.</w:t>
      </w:r>
    </w:p>
    <w:p>
      <w:pPr>
        <w:spacing w:after="0" w:line="73"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Bayview Financial Holdings, L.P. (together with its affiliates, “Bayview Financial”), a privately-held specialty mortgage finance company, is BLG’s majority investor. In addition to their common investment in BLG, the Company and Bayview Financial conduct other business activities with each other. The Company has purchased loan servicing rights for small balance commercial mortgage loans from BLG and Bayview Financial having outstanding principal balances of $5.8 billion and $5.9 billion at June 30, 2009 and December 31, 2008, respectively. Amounts recorded as capitalized servicing assets for such loans totaled $49 million at June 30, 2009 and $58 million at December 31, 2008. In addition, capitalized servicing rights at June 30, 2009 and December 31, 2008 also included $22 million and $28 million, respectively, for servicing rights that were purchased from Bayview Financial related to residential mortgage loans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Relationship with Bayview Lending Group LLC and Bayview Financial Holdings, L.P., continued</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with outstanding principal balances of $4.3 billion at June 30, 2009 and $4.6 billion at December 31, 2008. Revenues from servicing residential and small balance commercial mortgage loans purchased from BLG and Bayview Financial were $13 million in each of the three-month periods ended June 30, 2009 and 2008, respectively, and $26 million and $27 million for the six months ended June 30, 2009 and 2008, respectively. M&amp;T Bank provided $50 million and $71 million of credit facilities to Bayview Financial at June 30, 2009 and December 31, 2008, respectively, of which $39 million and $57 million were outstanding at June 30, 2009 and December 31, 2008, respectively. Finally, at June 30, 2009 and December 31, 2008, the Company held $23 million and $32 million, respectively, of collateralized mortgage obligations in its available-for-sale investment securities portfolio that were securitized by Bayview Financial. In addition, the Company held $384 million and $412 million of similar investment securities in its held-to-maturity portfolio at June 30, 2009 and December 31, 2008, respectively.</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M&amp;T Bank Corporation (“M&amp;T”) recorded net income in the second quarter of 2009 of $51 million or $.36 of diluted earnings per common share, compared with $160 million or $1.44 of diluted earnings per common share in the second quarter of 2008. During the initial quarter of 2009, net income totaled</w:t>
      </w:r>
    </w:p>
    <w:p>
      <w:pPr>
        <w:spacing w:after="0" w:line="286" w:lineRule="auto"/>
        <w:rPr>
          <w:sz w:val="20"/>
          <w:szCs w:val="20"/>
          <w:color w:val="auto"/>
        </w:rPr>
      </w:pPr>
      <w:r>
        <w:rPr>
          <w:rFonts w:ascii="Arial" w:cs="Arial" w:eastAsia="Arial" w:hAnsi="Arial"/>
          <w:sz w:val="16"/>
          <w:szCs w:val="16"/>
          <w:color w:val="auto"/>
        </w:rPr>
        <w:t>$64 million or $.49 of diluted earnings per common share. Basic earnings per common share were $.36 in the recent quarter, compared with $1.45 in the year-earlier quarter and $.49 in the first quarter of 2009. The after-tax impact of acquisition and integration-related expenses (included herein as merger-related expenses) associated with M&amp;T’s May 23, 2009 acquisition of Provident Bankshares Corporation (“Provident”) was $40 million ($66 million pre-tax) or $.35 of basic and diluted earnings per common share in the recent quarter, compared with $1 million ($2 million pre-tax) or $.01 of basic and diluted earnings per common share in the first quarter of 2009. There were no merger-related expenses in the second quarter of 2008. For the first six months of 2009, net income totaled $115 million or $.85 of diluted earnings per common share, compared with $362 million or $3.26 of diluted earnings per common share in the corresponding 2008 period. Basic earnings per common share for the six-month periods ended June 30, 2009 and 2008 were $.85 and $3.29, respectively. The after-tax impact of merger-related expenses associated with Provident in 2009 and with the November 30, 2007 acquisition of Partners Trust Financial Group, Inc. and the December 7, 2007 acquisition by M&amp;T Bank, the principal bank subsidiary of M&amp;T, of the Mid-Atlantic retail banking franchise of First Horizon Bank in 2008 was $42 million ($69 million pre-tax) or $.37 of basic and diluted earnings per common share and $2 million ($4 million pre-tax) or $.02 of basic and diluted earnings per common share during the six-month periods ended June 30, 2009 and 2008, respectively.</w:t>
      </w:r>
    </w:p>
    <w:p>
      <w:pPr>
        <w:spacing w:after="0" w:line="59" w:lineRule="exact"/>
        <w:rPr>
          <w:sz w:val="20"/>
          <w:szCs w:val="20"/>
          <w:color w:val="auto"/>
        </w:rPr>
      </w:pPr>
    </w:p>
    <w:p>
      <w:pPr>
        <w:jc w:val="both"/>
        <w:ind w:right="80" w:firstLine="222"/>
        <w:spacing w:after="0" w:line="257" w:lineRule="auto"/>
        <w:rPr>
          <w:sz w:val="20"/>
          <w:szCs w:val="20"/>
          <w:color w:val="auto"/>
        </w:rPr>
      </w:pPr>
      <w:r>
        <w:rPr>
          <w:rFonts w:ascii="Arial" w:cs="Arial" w:eastAsia="Arial" w:hAnsi="Arial"/>
          <w:sz w:val="18"/>
          <w:szCs w:val="18"/>
          <w:color w:val="auto"/>
        </w:rPr>
        <w:t>The annualized rate of return on average total assets for M&amp;T and its consolidated subsidiaries (“the Company”) in the second quarter of 2009 was .31%, compared with .98% in the year-earlier quarter and .40% in the first quarter of 2009. The annualized rate of return on average common stockholders’ equity was 2.53% in the recent quarter, compared with 9.96% in the second quarter of 2008 and 3.61% in the first 2009 quarter. During the six-month period ended June 30, 2009, the annualized rates of return on average assets and average common stockholders’ equity were .35% and 3.06%, respectively, compared with 1.12% and 11.23%, respectively, in the corresponding period of 2008.</w:t>
      </w:r>
    </w:p>
    <w:p>
      <w:pPr>
        <w:spacing w:after="0" w:line="80" w:lineRule="exact"/>
        <w:rPr>
          <w:sz w:val="20"/>
          <w:szCs w:val="20"/>
          <w:color w:val="auto"/>
        </w:rPr>
      </w:pPr>
    </w:p>
    <w:p>
      <w:pPr>
        <w:ind w:right="260" w:firstLine="225"/>
        <w:spacing w:after="0" w:line="284" w:lineRule="auto"/>
        <w:rPr>
          <w:sz w:val="20"/>
          <w:szCs w:val="20"/>
          <w:color w:val="auto"/>
        </w:rPr>
      </w:pPr>
      <w:r>
        <w:rPr>
          <w:rFonts w:ascii="Arial" w:cs="Arial" w:eastAsia="Arial" w:hAnsi="Arial"/>
          <w:sz w:val="16"/>
          <w:szCs w:val="16"/>
          <w:color w:val="auto"/>
        </w:rPr>
        <w:t>On May 23, 2009, M&amp;T completed the acquisition of Provident, a bank holding company based in Baltimore, Maryland. Provident Bank, Provident’s banking subsidiary, was merged into M&amp;T Bank on that date. The results of operations acquired in the Provident transaction have been included in the Company’s financial results since May 23, 2009, but did not have a material effect on the Company’s results of operations in the recent quarter. Provident common shareholders received .171625 shares of M&amp;T common stock in exchange for each share of Provident common stock, resulting in M&amp;T issuing a total of 5,838,308 common shares in connection with the acquisition. In addition, based on the merger agreement, outstanding and unexercised options to purchase common stock of Provident converted to options to purchase the common stock of M&amp;T. The fair value of those options was approximately</w:t>
      </w:r>
    </w:p>
    <w:p>
      <w:pPr>
        <w:spacing w:after="0" w:line="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$1 million. In total, the purchase price was approximately $274 million based on the fair value on the acquisition date of M&amp;T common stock exchanged and the fair value of the options to purchase M&amp;T common stock. Holders of Provident’s preferred stock were issued shares of new Series B and Series C Preferred Stock of M&amp;T having substantially identical terms. That preferred stock added $156 million to M&amp;T’s stockholders’ equity. The Series B Preferred Stock has a preference value of $27 million, pays non-cumulative dividends at a rate of 10%, and is convertible into 433,148 shares of M&amp;T common stock. The Series C Preferred Stock has a preference value of $152</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million, pays cumulative dividends at a rate of 5% through November 2013 and 9% thereafter, and is held by the U.S. Department of Treasury under the Troubled Asset Relief Program – Capital Purchase Program.</w:t>
      </w:r>
    </w:p>
    <w:p>
      <w:pPr>
        <w:spacing w:after="0" w:line="62" w:lineRule="exact"/>
        <w:rPr>
          <w:sz w:val="20"/>
          <w:szCs w:val="20"/>
          <w:color w:val="auto"/>
        </w:rPr>
      </w:pPr>
    </w:p>
    <w:p>
      <w:pPr>
        <w:ind w:firstLine="222"/>
        <w:spacing w:after="0" w:line="271" w:lineRule="auto"/>
        <w:rPr>
          <w:sz w:val="20"/>
          <w:szCs w:val="20"/>
          <w:color w:val="auto"/>
        </w:rPr>
      </w:pPr>
      <w:r>
        <w:rPr>
          <w:rFonts w:ascii="Arial" w:cs="Arial" w:eastAsia="Arial" w:hAnsi="Arial"/>
          <w:sz w:val="17"/>
          <w:szCs w:val="17"/>
          <w:color w:val="auto"/>
        </w:rPr>
        <w:t>The transaction has been accounted for under the acquisition method of accounting. Accordingly, the assets acquired and liabilities assumed were recorded by M&amp;T at their estimated fair values as of the acquisition date. Assets acquired totaled $6.3 billion, including $4.0 billion of loans and leases (including approximately $1.7 billion of commercial real estate loans, $1.4 billion of consumer loans, $700 million of commercial loans and leases and $300 million of residential real estate loans) and $1.0 billion of investment securities. Liabilities assumed were $5.9 billion, including $5.1 billion of deposits. The transaction added $436 million to M&amp;T’s stockholders’ equity, including $280 million of common equity and $156 million of preferred equity. In connection with the acquisition, the Company recorded $332 million of goodwill and $63 million of core deposit intangible. The core deposit intangible is being amortized over seven years using an accelerated method. The acquisition of Provident expands the Company’s presence in the Mid-Atlantic area, gives the Company the second largest deposit share in Maryland, and tripled the Company’s presence in Virginia.</w:t>
      </w:r>
    </w:p>
    <w:p>
      <w:pPr>
        <w:spacing w:after="0" w:line="71" w:lineRule="exact"/>
        <w:rPr>
          <w:sz w:val="20"/>
          <w:szCs w:val="20"/>
          <w:color w:val="auto"/>
        </w:rPr>
      </w:pPr>
    </w:p>
    <w:p>
      <w:pPr>
        <w:ind w:right="100" w:firstLine="215"/>
        <w:spacing w:after="0" w:line="259" w:lineRule="auto"/>
        <w:rPr>
          <w:sz w:val="20"/>
          <w:szCs w:val="20"/>
          <w:color w:val="auto"/>
        </w:rPr>
      </w:pPr>
      <w:r>
        <w:rPr>
          <w:rFonts w:ascii="Arial" w:cs="Arial" w:eastAsia="Arial" w:hAnsi="Arial"/>
          <w:sz w:val="18"/>
          <w:szCs w:val="18"/>
          <w:color w:val="auto"/>
        </w:rPr>
        <w:t>Application of the acquisition method requires that acquired loans be recorded at fair value and prohibits the carry over of the acquired entity’s allowance for credit losses. Determining the fair value of the acquired loans required estimating cash flows expected to be collected on the loans. The impact of estimated credit losses on all acquired loans was considered in the estimation of future cash flows used in the determination of estimated fair value as of the acquisition date.</w:t>
      </w:r>
    </w:p>
    <w:p>
      <w:pPr>
        <w:spacing w:after="0" w:line="79" w:lineRule="exact"/>
        <w:rPr>
          <w:sz w:val="20"/>
          <w:szCs w:val="20"/>
          <w:color w:val="auto"/>
        </w:rPr>
      </w:pPr>
    </w:p>
    <w:p>
      <w:pPr>
        <w:ind w:right="80" w:firstLine="225"/>
        <w:spacing w:after="0" w:line="254" w:lineRule="auto"/>
        <w:rPr>
          <w:sz w:val="20"/>
          <w:szCs w:val="20"/>
          <w:color w:val="auto"/>
        </w:rPr>
      </w:pPr>
      <w:r>
        <w:rPr>
          <w:rFonts w:ascii="Arial" w:cs="Arial" w:eastAsia="Arial" w:hAnsi="Arial"/>
          <w:sz w:val="18"/>
          <w:szCs w:val="18"/>
          <w:color w:val="auto"/>
        </w:rPr>
        <w:t>Merger-related expenses associated with the acquisition of Provident incurred during the quarters ended June 30 and March 31, 2009 totaled $66 million ($40 million after tax effect) and $2 million ($1 million after tax effect), respectively. Such expenses were for professional services and other temporary help fees associated with the conversion of systems and/or integration of operations; costs related to branch and office consolidations; costs related to termination of existing Provident contractual arrangements for various services; initial marketing and promotion expenses designed to introduce M&amp;T Bank to Provident’s customers; severance and incentive compensation costs; travel costs; and printing, supplies and other costs of commencing operations in new markets and offices. The Company will incur additional merger-related expenses in the second half of 2009, although such costs are expected to be substantially less than the amount incurred in the first six months of 2009. Additional information about the acquisition of Provident is provided in note 2 of Notes to Financial Statements.</w:t>
      </w:r>
    </w:p>
    <w:p>
      <w:pPr>
        <w:spacing w:after="0" w:line="84" w:lineRule="exact"/>
        <w:rPr>
          <w:sz w:val="20"/>
          <w:szCs w:val="20"/>
          <w:color w:val="auto"/>
        </w:rPr>
      </w:pPr>
    </w:p>
    <w:p>
      <w:pPr>
        <w:ind w:right="80" w:firstLine="222"/>
        <w:spacing w:after="0" w:line="272" w:lineRule="auto"/>
        <w:rPr>
          <w:sz w:val="20"/>
          <w:szCs w:val="20"/>
          <w:color w:val="auto"/>
        </w:rPr>
      </w:pPr>
      <w:r>
        <w:rPr>
          <w:rFonts w:ascii="Arial" w:cs="Arial" w:eastAsia="Arial" w:hAnsi="Arial"/>
          <w:sz w:val="17"/>
          <w:szCs w:val="17"/>
          <w:color w:val="auto"/>
        </w:rPr>
        <w:t>The condition of the residential real estate marketplace and the U.S. economy from 2007 through the first half of 2009 has had a significant impact on the financial services industry as a whole, and specifically on the financial results of the Company. A pronounced downturn in the residential real estate market that began in early 2007 has resulted in significantly lower residential real estate values and higher delinquencies and charge-offs of loans, including loans to builders and developers of residential real estate. During 2009, the Company has experienced higher delinquencies and charge-offs related to its commercial loan and commercial real estate loan portfolios as well. Additionally, investment securities backed by residential and commercial real estate have reflected substantial unrealized losses due to a lack of liquidity in the financial markets and anticipated credit losses. Many financial institutions, including the Company, have taken charges for those unrealized losses that were deemed to be other than temporary.</w:t>
      </w:r>
    </w:p>
    <w:p>
      <w:pPr>
        <w:spacing w:after="0" w:line="70" w:lineRule="exact"/>
        <w:rPr>
          <w:sz w:val="20"/>
          <w:szCs w:val="20"/>
          <w:color w:val="auto"/>
        </w:rPr>
      </w:pPr>
    </w:p>
    <w:p>
      <w:pPr>
        <w:ind w:right="140" w:firstLine="222"/>
        <w:spacing w:after="0" w:line="342" w:lineRule="auto"/>
        <w:rPr>
          <w:sz w:val="20"/>
          <w:szCs w:val="20"/>
          <w:color w:val="auto"/>
        </w:rPr>
      </w:pPr>
      <w:r>
        <w:rPr>
          <w:rFonts w:ascii="Arial" w:cs="Arial" w:eastAsia="Arial" w:hAnsi="Arial"/>
          <w:sz w:val="16"/>
          <w:szCs w:val="16"/>
          <w:color w:val="auto"/>
        </w:rPr>
        <w:t>The Company’s financial results for the second quarter of 2009 were adversely impacted by certain notable events. During the recent quarter, the Federal Deposit Insurance Corporation (“FDIC”) announced that it would levy a special assessment on insured financial institutions to rebuild the Deposit</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Insurance Fund. That special assessment amounted to $33 million ($20 million after tax effect, or $.17 of diluted earnings per common share). Also during the recent quarter, other-than-temporary impairment charges of $25 million (pre-tax) were recorded on certain privately issued collateralized mortgage obligations (“CMOs”) backed by residential real estate loans and collateralized debt obligations (“CDOs”) backed by pooled trust preferred securities of financial institutions. Such securities are held in the Company’s available-for-sale investment securities portfolio. Those charges reduced net income and diluted earnings per common share by $15 million and $.13, respectively.</w:t>
      </w:r>
    </w:p>
    <w:p>
      <w:pPr>
        <w:spacing w:after="0" w:line="80" w:lineRule="exact"/>
        <w:rPr>
          <w:sz w:val="20"/>
          <w:szCs w:val="20"/>
          <w:color w:val="auto"/>
        </w:rPr>
      </w:pPr>
    </w:p>
    <w:p>
      <w:pPr>
        <w:ind w:right="80" w:firstLine="222"/>
        <w:spacing w:after="0" w:line="264" w:lineRule="auto"/>
        <w:rPr>
          <w:sz w:val="20"/>
          <w:szCs w:val="20"/>
          <w:color w:val="auto"/>
        </w:rPr>
      </w:pPr>
      <w:r>
        <w:rPr>
          <w:rFonts w:ascii="Arial" w:cs="Arial" w:eastAsia="Arial" w:hAnsi="Arial"/>
          <w:sz w:val="18"/>
          <w:szCs w:val="18"/>
          <w:color w:val="auto"/>
        </w:rPr>
        <w:t>The Company’s financial results for the first quarter of 2009 reflected other-than-temporary impairment charges of $32 million ($20 million after taxes, or $.18 of diluted earnings per common share) that were recorded on certain privately issued CMOs. Those securities, which are secured by residential real estate loans, are also held in the Company’s available-for-sale investment securities portfolio.</w:t>
      </w:r>
    </w:p>
    <w:p>
      <w:pPr>
        <w:spacing w:after="0" w:line="73"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Reflected in the Company’s financial results for the first quarter of 2008 was $29 million, or $.26 of diluted earnings per share, resulting from the status of M&amp;T Bank as a member bank of Visa. During the last quarter of 2007, Visa completed a reorganization in contemplation of its initial public offering (“IPO”) in 2008. As part of that reorganization M&amp;T Bank and other member banks of Visa received shares of Class B common stock of Visa. Those banks are also obligated under various agreements with Visa to share in losses stemming from certain litigation involving Visa (“Covered Litigation”). As of December 31, 2007, although Visa was expected to set aside a portion of the proceeds from its IPO in an escrow account to fund any judgments or settlements that may arise out of the Covered Litigation, guidance from the Securities and Exchange Commission (“SEC”) indicated that Visa member banks should record a liability for the fair value of the contingent obligation to Visa. The estimation of the Company’s proportionate share of any potential losses related to the Covered Litigation was extremely difficult and involved a great deal of judgment. Nevertheless, in the fourth quarter of 2007 the Company recorded a pre-tax charge of $23 million ($14 million after tax effect, or $.13 per diluted common share) related to the Covered Litigation. In accordance with generally accepted accounting principles (“GAAP”) and consistent with the SEC guidance, the Company did not recognize any value for its common stock ownership interest in Visa as of the 2007 year-end. During the first quarter of 2008, Visa completed its IPO and, as part of the transaction, funded an escrow account with $3 billion from the proceeds of the IPO to cover potential settlements arising out of the Covered Litigation. As a result, during the first three months of 2008, the Company reversed approximately $15 million of the $23 million accrued during the fourth quarter of 2007 for the Covered Litigation. In addition, M&amp;T Bank was allocated 1,967,028 Class B common shares of Visa based on its proportionate ownership of Visa. Of those shares, 760,455 were mandatorily redeemed in March 2008 for an after-tax gain of $20 million ($33 million pre-tax). That pre-tax amount was recorded as gain on bank investment securities in the consolidated statement of income for 2008’s initial quarter.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Reporting of Non-GAAP Results of Operations</w:t>
      </w:r>
    </w:p>
    <w:p>
      <w:pPr>
        <w:spacing w:after="0" w:line="121"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As a result of business combinations and other acquisitions, the Company had intangible assets consisting of goodwill and core deposit and other intangible assets totaling $3.7 billion at June 30, 2009, compared with $3.4 billion at each of June 30, 2008 and December 31, 2008. Included in such intangible assets was goodwill of $3.5 billion at June 30, 2009 and $3.2 billion at each of June 30 and December 31, 2008. Amortization of core deposit and other intangible assets, after tax effect, was $9 million during each of the second and first quarters of 2009, ($.08 per diluted common share and $.09 per diluted common share, respectively) and $10 million ($.09 per diluted common share) in the second quarter of 2008. For the six-month periods ended June 30,</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2009 and 2008, amortization of core deposit and other intangible assets, after tax effect, totaled $19 million ($.17 per diluted common share) and $21 million ($.19 per diluted common share), respectively.</w:t>
      </w:r>
    </w:p>
    <w:p>
      <w:pPr>
        <w:spacing w:after="0" w:line="62"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M&amp;T consistently provides supplemental reporting of its results on a “net operating” or “tangible” basis, from which M&amp;T excludes the after-tax effect of amortization of core deposit and other intangible assets (and the related goodwill, core deposit intangible and other intangible asset balances, net of applicable deferred tax amounts) and expenses associated with merging acquired operations into the Company, since such expenses are considered by management to be “nonoperating” in nature. Although “net operating income” as defined by M&amp;T is not a GAAP measure, M&amp;T’s management believes that this information helps investors understand the effect of acquisition activity in reported results.</w:t>
      </w:r>
    </w:p>
    <w:p>
      <w:pPr>
        <w:spacing w:after="0" w:line="64"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Net operating income was $101 million in the second quarter of 2009, compared with $170 million in the year-earlier quarter. Diluted net operating earnings per common share for the recent quarter were $.79, compared with $1.53 in the second quarter of 2008. Net operating income and diluted net operating earnings per common share were $75 million and $.59, respectively, in the first quarter of 2009. For the first six months of 2009, net operating income and diluted net operating earnings per common share were $176 million and $1.39, respectively, compared with $386 million and $3.47, respectively, in the similar 2008 period.</w:t>
      </w:r>
    </w:p>
    <w:p>
      <w:pPr>
        <w:spacing w:after="0" w:line="80" w:lineRule="exact"/>
        <w:rPr>
          <w:sz w:val="20"/>
          <w:szCs w:val="20"/>
          <w:color w:val="auto"/>
        </w:rPr>
      </w:pPr>
    </w:p>
    <w:p>
      <w:pPr>
        <w:ind w:right="200" w:firstLine="225"/>
        <w:spacing w:after="0" w:line="297" w:lineRule="auto"/>
        <w:rPr>
          <w:sz w:val="20"/>
          <w:szCs w:val="20"/>
          <w:color w:val="auto"/>
        </w:rPr>
      </w:pPr>
      <w:r>
        <w:rPr>
          <w:rFonts w:ascii="Arial" w:cs="Arial" w:eastAsia="Arial" w:hAnsi="Arial"/>
          <w:sz w:val="16"/>
          <w:szCs w:val="16"/>
          <w:color w:val="auto"/>
        </w:rPr>
        <w:t>Net operating income expressed as an annualized return on average tangible assets was .64% in the second quarter of 2009, compared with 1.10% in the year-earlier quarter and .50% in the initial 2009 quarter. Net operating income expressed as an annualized return on average tangible common equity was 12.08% in the recently completed quarter, compared with 22.20% and 9.36% in the quarters ended June 30, 2008 and March 31, 2009, respectively. For the first half of 2009, net operating income represented an annualized return on average tangible assets and average tangible common stockholders’ equity of .57% and 10.76%, respectively, compared with 1.25% and 25.04%, respectively, in the six-month period ended June 30, 2008.</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Reconciliations of GAAP amounts with corresponding non-GAAP amounts are provided in table 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Taxable-equivalent Net Interest Income</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Taxable-equivalent net interest income rose 3% to $507 million in the second quarter of 2009 from $492 million in the corresponding quarter of 2008. That improvement was the result of higher average earning assets, which increased to $59.3 billion in the recent quarter from $58.5 billion in the second quarter of 2008, and a 4 basis point (hundredths of one percent) improvement in the Company’s net interest margin, or taxable-equivalent net interest income expressed as an annualized percentage of average earning assets. Taxable-equivalent net interest income totaled $453 million in the first quarter of 2009. The recent quarter’s significant improvement from the immediately preceding quarter resulted from a 24 basis point widening of the net interest margin and a rise in average earning assets of $1.8 billion. The improvement in net interest margin was largely attributable to declines in the rates paid on deposits and long-term borrowings. The higher level of earning assets in the recent quarter was the result of assets obtained in the Provident transaction, which at the acquisition date totaled approximately $5.1 billion.</w:t>
      </w:r>
    </w:p>
    <w:p>
      <w:pPr>
        <w:spacing w:after="0" w:line="71" w:lineRule="exact"/>
        <w:rPr>
          <w:sz w:val="20"/>
          <w:szCs w:val="20"/>
          <w:color w:val="auto"/>
        </w:rPr>
      </w:pPr>
    </w:p>
    <w:p>
      <w:pPr>
        <w:ind w:right="420" w:firstLine="225"/>
        <w:spacing w:after="0" w:line="342" w:lineRule="auto"/>
        <w:rPr>
          <w:sz w:val="20"/>
          <w:szCs w:val="20"/>
          <w:color w:val="auto"/>
        </w:rPr>
      </w:pPr>
      <w:r>
        <w:rPr>
          <w:rFonts w:ascii="Arial" w:cs="Arial" w:eastAsia="Arial" w:hAnsi="Arial"/>
          <w:sz w:val="16"/>
          <w:szCs w:val="16"/>
          <w:color w:val="auto"/>
        </w:rPr>
        <w:t>For the first half of 2009, taxable-equivalent net interest income was $960 million, 2% below $977 million in the corresponding period of 2008. That decline was largely attributable to a 7 basis point narrowing of the Company’s net interest margin due to a lower contribution of interest-free funds.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Average loans and leases rose $1.0 billion, or 2%, to $50.6 billion in the second quarter of 2009 from $49.5 billion in the similar 2008 quarter, and were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$1.7 billion, or 4%, higher than the $48.8 billion averaged in the first quarter of 2009. Included in average loans and leases in the recent quarter were loans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obtained in the Provident acquisition, which added approximately $1.7 billion to the average loan and lease total. Commercial loans and leases averaged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$14.1 billion in the second quarter of 2009, up $266 million or 2% from $13.8 billion in the year-earlier quarter. Such loans and leases acquired from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Provident added approximately $300 million to the recent quarter’s average total. Average commercial real estate loans were $19.7 billion in the recent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quarter, $1.2 billion or 7% higher than $18.5 billion in 2008’s second quarter, and reflected loans obtained from Provident averaging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$700 million in the recent quarter. Average outstanding residential real estate loans declined $764 million, or 13%, to $5.3 billion in the second quarter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2009, as compared with the $6.0 billion averaged in the year-earlier quarter. Included in that portfolio were loans held for sale, which averaged $720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the recent quarter, compared with $728 million in the second quarter of 2008, and loans acquired from Provident, which averaged $100 million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recent quarter. The decline in average residential real estate loans from 2008’s second quarter to the recent quarter was largely attributable to securitization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transactions in June and July 2008, which aggregated $875 million and resulted in the transfer of balances from loans to investment securities. A similar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securitization in March 2009 was completed aggregating $141 million. In each of those transactions residential real estate loans were securitized into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mortgage-backed securities guaranteed by the Federal National Mortgage Association (“Fannie Mae”), which are now held in the Company’s available-for-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sale investment securities portfolio. The securitizations were completed to improve the Company’s liquidity, because investment securities may be more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easily pledged as collateral for borrowings, and to enhance regulatory capital ratios, because Fannie Mae guaranteed securities have a lower risk rating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whole loans for regulatory capital purposes. Average consumer loans rose 3% or $301 million from the year-earlier period. That growth was due to loans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related to the Provident acquisition, which averaged $600 million (largely home equity loans and lines of credit), partially offset by a decline in average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automobile loans and leases.</w:t>
      </w:r>
    </w:p>
    <w:p>
      <w:pPr>
        <w:spacing w:after="0" w:line="103" w:lineRule="exact"/>
        <w:rPr>
          <w:sz w:val="20"/>
          <w:szCs w:val="20"/>
          <w:color w:val="auto"/>
        </w:rPr>
      </w:pPr>
    </w:p>
    <w:p>
      <w:pPr>
        <w:ind w:right="140" w:firstLine="222"/>
        <w:spacing w:after="0" w:line="259" w:lineRule="auto"/>
        <w:rPr>
          <w:sz w:val="20"/>
          <w:szCs w:val="20"/>
          <w:color w:val="auto"/>
        </w:rPr>
      </w:pPr>
      <w:r>
        <w:rPr>
          <w:rFonts w:ascii="Arial" w:cs="Arial" w:eastAsia="Arial" w:hAnsi="Arial"/>
          <w:sz w:val="18"/>
          <w:szCs w:val="18"/>
          <w:color w:val="auto"/>
        </w:rPr>
        <w:t>The predominant factor contributing to the growth in average loans outstanding from $48.8 billion in 2009’s initial quarter to $50.6 billion in the second quarter of 2009 was the addition of the Provident loans. Excluding the impact of the acquired loans, total average loans outstanding were little changed from the first quarter to the second quarter of 2009. The accompanying table summarizes quarterly changes in the major components of the loan and lease portfolio.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AVERAGE LOANS AND LEASES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of unearned discount)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20" w:type="dxa"/>
            <w:vAlign w:val="bottom"/>
            <w:gridSpan w:val="3"/>
          </w:tcPr>
          <w:p>
            <w:pPr>
              <w:ind w:left="560"/>
              <w:spacing w:after="0"/>
              <w:rPr>
                <w:sz w:val="20"/>
                <w:szCs w:val="20"/>
                <w:color w:val="auto"/>
              </w:rPr>
            </w:pPr>
            <w:r>
              <w:rPr>
                <w:rFonts w:ascii="Arial" w:cs="Arial" w:eastAsia="Arial" w:hAnsi="Arial"/>
                <w:sz w:val="14"/>
                <w:szCs w:val="14"/>
                <w:color w:val="auto"/>
                <w:w w:val="89"/>
              </w:rPr>
              <w:t>Percent increase</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20" w:type="dxa"/>
            <w:vAlign w:val="bottom"/>
            <w:gridSpan w:val="3"/>
          </w:tcPr>
          <w:p>
            <w:pPr>
              <w:ind w:left="580"/>
              <w:spacing w:after="0" w:line="149" w:lineRule="exact"/>
              <w:rPr>
                <w:sz w:val="20"/>
                <w:szCs w:val="20"/>
                <w:color w:val="auto"/>
              </w:rPr>
            </w:pPr>
            <w:r>
              <w:rPr>
                <w:rFonts w:ascii="Arial" w:cs="Arial" w:eastAsia="Arial" w:hAnsi="Arial"/>
                <w:sz w:val="14"/>
                <w:szCs w:val="14"/>
                <w:color w:val="auto"/>
                <w:w w:val="93"/>
              </w:rPr>
              <w:t>(decrease) from</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w w:val="90"/>
              </w:rPr>
              <w:t>2nd Qtr.</w:t>
            </w:r>
          </w:p>
        </w:tc>
        <w:tc>
          <w:tcPr>
            <w:tcW w:w="15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2nd Qtr.</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1"/>
              </w:rPr>
              <w:t>1st Qtr.</w:t>
            </w:r>
          </w:p>
        </w:tc>
        <w:tc>
          <w:tcPr>
            <w:tcW w:w="0" w:type="dxa"/>
            <w:vAlign w:val="bottom"/>
          </w:tcPr>
          <w:p>
            <w:pPr>
              <w:spacing w:after="0"/>
              <w:rPr>
                <w:sz w:val="1"/>
                <w:szCs w:val="1"/>
                <w:color w:val="auto"/>
              </w:rPr>
            </w:pPr>
          </w:p>
        </w:tc>
      </w:tr>
      <w:tr>
        <w:trPr>
          <w:trHeight w:val="167"/>
        </w:trPr>
        <w:tc>
          <w:tcPr>
            <w:tcW w:w="37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2009</w:t>
            </w:r>
          </w:p>
        </w:tc>
        <w:tc>
          <w:tcPr>
            <w:tcW w:w="680" w:type="dxa"/>
            <w:vAlign w:val="bottom"/>
          </w:tcPr>
          <w:p>
            <w:pPr>
              <w:spacing w:after="0"/>
              <w:rPr>
                <w:sz w:val="14"/>
                <w:szCs w:val="14"/>
                <w:color w:val="auto"/>
              </w:rPr>
            </w:pP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2008</w:t>
            </w:r>
          </w:p>
        </w:tc>
        <w:tc>
          <w:tcPr>
            <w:tcW w:w="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etc.</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14,067</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Real estate – commercial</w:t>
            </w: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19,719</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Real estate – consumer</w:t>
            </w: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5,262</w:t>
            </w:r>
          </w:p>
        </w:tc>
        <w:tc>
          <w:tcPr>
            <w:tcW w:w="6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Consumer</w:t>
            </w: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Automobile</w:t>
            </w: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w:t>
            </w:r>
          </w:p>
        </w:tc>
        <w:tc>
          <w:tcPr>
            <w:tcW w:w="6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740" w:type="dxa"/>
            <w:vAlign w:val="bottom"/>
          </w:tcPr>
          <w:p>
            <w:pPr>
              <w:ind w:left="220"/>
              <w:spacing w:after="0"/>
              <w:rPr>
                <w:sz w:val="20"/>
                <w:szCs w:val="20"/>
                <w:color w:val="auto"/>
              </w:rPr>
            </w:pPr>
            <w:r>
              <w:rPr>
                <w:rFonts w:ascii="Arial" w:cs="Arial" w:eastAsia="Arial" w:hAnsi="Arial"/>
                <w:sz w:val="18"/>
                <w:szCs w:val="18"/>
                <w:color w:val="auto"/>
              </w:rPr>
              <w:t>Home equity lines</w:t>
            </w: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5,218</w:t>
            </w:r>
          </w:p>
        </w:tc>
        <w:tc>
          <w:tcPr>
            <w:tcW w:w="68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Home equity loans</w:t>
            </w: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981</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3740" w:type="dxa"/>
            <w:vAlign w:val="bottom"/>
          </w:tcPr>
          <w:p>
            <w:pPr>
              <w:ind w:left="220"/>
              <w:spacing w:after="0"/>
              <w:rPr>
                <w:sz w:val="20"/>
                <w:szCs w:val="20"/>
                <w:color w:val="auto"/>
              </w:rPr>
            </w:pPr>
            <w:r>
              <w:rPr>
                <w:rFonts w:ascii="Arial" w:cs="Arial" w:eastAsia="Arial" w:hAnsi="Arial"/>
                <w:sz w:val="18"/>
                <w:szCs w:val="18"/>
                <w:color w:val="auto"/>
              </w:rPr>
              <w:t>Other</w:t>
            </w:r>
          </w:p>
        </w:tc>
        <w:tc>
          <w:tcPr>
            <w:tcW w:w="4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2,113</w:t>
            </w:r>
          </w:p>
        </w:tc>
        <w:tc>
          <w:tcPr>
            <w:tcW w:w="1520" w:type="dxa"/>
            <w:vAlign w:val="bottom"/>
            <w:gridSpan w:val="3"/>
          </w:tcPr>
          <w:p>
            <w:pPr>
              <w:jc w:val="right"/>
              <w:ind w:right="8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consumer</w:t>
            </w:r>
          </w:p>
        </w:tc>
        <w:tc>
          <w:tcPr>
            <w:tcW w:w="40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11,506</w:t>
            </w:r>
          </w:p>
        </w:tc>
        <w:tc>
          <w:tcPr>
            <w:tcW w:w="68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40" w:type="dxa"/>
            <w:vAlign w:val="bottom"/>
          </w:tcPr>
          <w:p>
            <w:pPr>
              <w:ind w:left="620"/>
              <w:spacing w:after="0"/>
              <w:rPr>
                <w:sz w:val="20"/>
                <w:szCs w:val="20"/>
                <w:color w:val="auto"/>
              </w:rPr>
            </w:pPr>
            <w:r>
              <w:rPr>
                <w:rFonts w:ascii="Arial" w:cs="Arial" w:eastAsia="Arial" w:hAnsi="Arial"/>
                <w:sz w:val="18"/>
                <w:szCs w:val="18"/>
                <w:color w:val="auto"/>
              </w:rPr>
              <w:t>Total</w:t>
            </w:r>
          </w:p>
        </w:tc>
        <w:tc>
          <w:tcPr>
            <w:tcW w:w="40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50,554</w:t>
            </w:r>
          </w:p>
        </w:tc>
        <w:tc>
          <w:tcPr>
            <w:tcW w:w="680" w:type="dxa"/>
            <w:vAlign w:val="bottom"/>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080" w:type="dxa"/>
            <w:vAlign w:val="bottom"/>
            <w:vMerge w:val="restart"/>
          </w:tcPr>
          <w:p>
            <w:pPr>
              <w:jc w:val="right"/>
              <w:ind w:right="1830"/>
              <w:spacing w:after="0"/>
              <w:rPr>
                <w:sz w:val="20"/>
                <w:szCs w:val="20"/>
                <w:color w:val="auto"/>
              </w:rPr>
            </w:pPr>
            <w:r>
              <w:rPr>
                <w:rFonts w:ascii="Arial" w:cs="Arial" w:eastAsia="Arial" w:hAnsi="Arial"/>
                <w:sz w:val="18"/>
                <w:szCs w:val="18"/>
                <w:color w:val="auto"/>
              </w:rPr>
              <w:t>- 49 -</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74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740" w:type="dxa"/>
            <w:vAlign w:val="bottom"/>
            <w:tcBorders>
              <w:bottom w:val="single" w:sz="8" w:color="808080"/>
            </w:tcBorders>
          </w:tcPr>
          <w:p>
            <w:pPr>
              <w:spacing w:after="0"/>
              <w:rPr>
                <w:sz w:val="19"/>
                <w:szCs w:val="19"/>
                <w:color w:val="auto"/>
              </w:rPr>
            </w:pPr>
          </w:p>
        </w:tc>
        <w:tc>
          <w:tcPr>
            <w:tcW w:w="40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For the first two quarters of 2009, average loans and leases totaled $49.7 billion, 1% above $49.0 billion in the first six months of 2008. Increases in average balances of commercial loans and leases and commercial real estate loans were partially offset by declines in average residential real estate loans outstanding due largely to the securitization transactions already noted. Acquired Provident loans added approximately $850 million to average loan and lease balances in the first half of 2009.</w:t>
      </w:r>
    </w:p>
    <w:p>
      <w:pPr>
        <w:spacing w:after="0" w:line="79" w:lineRule="exact"/>
        <w:rPr>
          <w:sz w:val="20"/>
          <w:szCs w:val="20"/>
          <w:color w:val="auto"/>
        </w:rPr>
      </w:pPr>
    </w:p>
    <w:p>
      <w:pPr>
        <w:ind w:right="60" w:firstLine="222"/>
        <w:spacing w:after="0" w:line="273" w:lineRule="auto"/>
        <w:rPr>
          <w:sz w:val="20"/>
          <w:szCs w:val="20"/>
          <w:color w:val="auto"/>
        </w:rPr>
      </w:pPr>
      <w:r>
        <w:rPr>
          <w:rFonts w:ascii="Arial" w:cs="Arial" w:eastAsia="Arial" w:hAnsi="Arial"/>
          <w:sz w:val="17"/>
          <w:szCs w:val="17"/>
          <w:color w:val="auto"/>
        </w:rPr>
        <w:t>The investment securities portfolio averaged $8.5 billion in each of the first and second quarters of 2009, compared with $8.8 billion in the second quarter of 2008. The decline in such securities from the second quarter of 2008 to the recent quarter largely reflects paydowns of mortgage-backed securities, partially offset by the Fannie Mae mortgage-backed securities created in the securitization transactions already noted and by investment securities obtained in the Provident transaction. Securities obtained in the Provident transaction increased average investment securities balances in the recent quarter by approximately $450 million. As compared with the initial quarter of 2009, the impact of the already noted March 2009 securitization and the acquired Provident investment securities was offset by paydowns of mortgage-backed securities.</w:t>
      </w:r>
    </w:p>
    <w:p>
      <w:pPr>
        <w:spacing w:after="0" w:line="70"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The investment securities portfolio is largely comprised of residential and commercial mortgage-backed securities and CMOs, debt securities issued by municipalities, debt and preferred equity securities issued by government-sponsored agencies and certain financial institutions, and shorter-term U.S. Treasury and federal agency notes. When purchasing investment securities, the Company considers its overall interest-rate risk profile as well as the adequacy of expected returns relative to the risks assumed, including prepayments. In managing its investment securities portfolio, the Company occasionally sells investment securities as a result of changes in interest rates and spreads, actual or anticipated prepayments, credit risk associated with a particular security, or as a result of restructuring its investment securities portfolio following completion of a business combination.</w:t>
      </w:r>
    </w:p>
    <w:p>
      <w:pPr>
        <w:spacing w:after="0" w:line="70" w:lineRule="exact"/>
        <w:rPr>
          <w:sz w:val="20"/>
          <w:szCs w:val="20"/>
          <w:color w:val="auto"/>
        </w:rPr>
      </w:pPr>
    </w:p>
    <w:p>
      <w:pPr>
        <w:ind w:right="60" w:firstLine="222"/>
        <w:spacing w:after="0" w:line="287" w:lineRule="auto"/>
        <w:rPr>
          <w:sz w:val="20"/>
          <w:szCs w:val="20"/>
          <w:color w:val="auto"/>
        </w:rPr>
      </w:pPr>
      <w:r>
        <w:rPr>
          <w:rFonts w:ascii="Arial" w:cs="Arial" w:eastAsia="Arial" w:hAnsi="Arial"/>
          <w:sz w:val="16"/>
          <w:szCs w:val="16"/>
          <w:color w:val="auto"/>
        </w:rPr>
        <w:t>The Company regularly reviews its investment securities for declines in value below amortized cost that might be characterized as “other than temporary.” As previously noted, an other-than-temporary impairment charge of $25 million (pre-tax) was recognized in the second quarter of 2009 related to certain privately issued CMOs and CDOs held in the Company’s available-for-sale investment securities portfolio. During 2009’s first quarter, the Company recognized other-than-temporary impairment charges of $32 million (pre-tax) related to certain privately issued CMOs. Those securities, which are collateralized by residential real estate loans, are also held in the Company’s available-for-sale investment securities portfolio. In the second quarter of 2008, an other-than-temporary impairment charge of $6 million was recognized on one CMO backed by option adjustable rate residential mortgages. Weak economic conditions, rising unemployment and declining real estate values are significant factors contributing to the recognition of the other-than-temporary impairment charges. As of June 30, 2009 and December 31, 2008, the Company concluded that the remaining declines associated with the rest of the investment securities portfolio were temporary in nature. That conclusion was based on management’s assessment of future cash flows associated with individual investment securities as of each respective date. A further discussion of fair values of investment securities is included herein under the heading “Capital.” Additional information about the investment securities portfolio is included in notes 3 and 10 of Notes to Financial Statements.</w:t>
      </w:r>
    </w:p>
    <w:p>
      <w:pPr>
        <w:spacing w:after="0" w:line="65" w:lineRule="exact"/>
        <w:rPr>
          <w:sz w:val="20"/>
          <w:szCs w:val="20"/>
          <w:color w:val="auto"/>
        </w:rPr>
      </w:pPr>
    </w:p>
    <w:p>
      <w:pPr>
        <w:jc w:val="both"/>
        <w:ind w:right="80" w:firstLine="225"/>
        <w:spacing w:after="0" w:line="312" w:lineRule="auto"/>
        <w:rPr>
          <w:sz w:val="20"/>
          <w:szCs w:val="20"/>
          <w:color w:val="auto"/>
        </w:rPr>
      </w:pPr>
      <w:r>
        <w:rPr>
          <w:rFonts w:ascii="Arial" w:cs="Arial" w:eastAsia="Arial" w:hAnsi="Arial"/>
          <w:sz w:val="16"/>
          <w:szCs w:val="16"/>
          <w:color w:val="auto"/>
        </w:rPr>
        <w:t>Other earning assets include deposits at banks, trading account assets, federal funds sold and agreements to resell securities. Those other earning assets in the aggregate averaged $235 million in the recent quarter, compared with $173 million and $195 million in the second quarter of 2008 and the first quarter of 2009, respectively. The amounts of investment securities and other earning assets held by the Company are influenced by such factors as demand for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loans, which generally yield more than investment securities and other earning assets, ongoing repayments, the level of deposits, and management of balance sheet size and resulting capital ratios.</w:t>
      </w:r>
    </w:p>
    <w:p>
      <w:pPr>
        <w:spacing w:after="0" w:line="62" w:lineRule="exact"/>
        <w:rPr>
          <w:sz w:val="20"/>
          <w:szCs w:val="20"/>
          <w:color w:val="auto"/>
        </w:rPr>
      </w:pPr>
    </w:p>
    <w:p>
      <w:pPr>
        <w:ind w:right="80" w:firstLine="215"/>
        <w:spacing w:after="0" w:line="264" w:lineRule="auto"/>
        <w:rPr>
          <w:sz w:val="20"/>
          <w:szCs w:val="20"/>
          <w:color w:val="auto"/>
        </w:rPr>
      </w:pPr>
      <w:r>
        <w:rPr>
          <w:rFonts w:ascii="Arial" w:cs="Arial" w:eastAsia="Arial" w:hAnsi="Arial"/>
          <w:sz w:val="18"/>
          <w:szCs w:val="18"/>
          <w:color w:val="auto"/>
        </w:rPr>
        <w:t>As a result of the changes described herein, average earning assets totaled $59.3 billion in the second quarter of 2009, compared with $58.5 billion in the similar quarter of 2008. Average earning assets were $57.5 billion in the initial quarter of 2009, and aggregated $58.4 billion and $58.1 billion during the six-month periods ended June 30, 2009 and 2008, respectively.</w:t>
      </w:r>
    </w:p>
    <w:p>
      <w:pPr>
        <w:spacing w:after="0" w:line="73" w:lineRule="exact"/>
        <w:rPr>
          <w:sz w:val="20"/>
          <w:szCs w:val="20"/>
          <w:color w:val="auto"/>
        </w:rPr>
      </w:pPr>
    </w:p>
    <w:p>
      <w:pPr>
        <w:ind w:firstLine="222"/>
        <w:spacing w:after="0" w:line="269" w:lineRule="auto"/>
        <w:rPr>
          <w:sz w:val="20"/>
          <w:szCs w:val="20"/>
          <w:color w:val="auto"/>
        </w:rPr>
      </w:pPr>
      <w:r>
        <w:rPr>
          <w:rFonts w:ascii="Arial" w:cs="Arial" w:eastAsia="Arial" w:hAnsi="Arial"/>
          <w:sz w:val="17"/>
          <w:szCs w:val="17"/>
          <w:color w:val="auto"/>
        </w:rPr>
        <w:t>The most significant source of funding for the Company is core deposits, which are comprised of noninterest-bearing deposits, nonbrokered interest-bearing transaction accounts, nonbrokered savings deposits and nonbrokered domestic time deposits under $100,000. The Company’s branch network is its principal source of core deposits, which generally carry lower interest rates than wholesale funds of comparable maturities. Certificates of deposit under $100,000 generated on a nationwide basis by M&amp;T Bank, National Association (“M&amp;T Bank, N.A.”), a wholly owned bank subsidiary of M&amp;T, are also included in core deposits. Average core deposits aggregated $38.2 billion in the second quarter of 2009, compared with $31.6 billion in the second quarter of 2008 and $34.7 billion in the initial 2009 quarter. The acquisition of Provident added approximately $1.4 billion to average core deposits in the second quarter of 2009. Excluding the impact of deposits obtained in the Provident transaction, the growth in core deposits since the second quarter of 2008 was due, in part, to a lower interest rate environment and to the continuing recessionary environment in the U.S., and its impact on the attractiveness of alternative investments to the Company’s customers. During the declining interest rate environment, over the last twelve months the Company has also experienced a shift in customer savings trends, as average time deposits have continued to decline, while average noninterest-bearing deposits and savings deposits have increased. The following table provides an analysis of quarterly changes in the components of average core deposits. For the six-month periods ended June 30, 2009 and 2008, core deposits averaged $36.5 billion and $31.1 billion,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AVERAGE CORE DEPOSITS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gridSpan w:val="3"/>
          </w:tcPr>
          <w:p>
            <w:pPr>
              <w:ind w:left="580"/>
              <w:spacing w:after="0"/>
              <w:rPr>
                <w:sz w:val="20"/>
                <w:szCs w:val="20"/>
                <w:color w:val="auto"/>
              </w:rPr>
            </w:pPr>
            <w:r>
              <w:rPr>
                <w:rFonts w:ascii="Arial" w:cs="Arial" w:eastAsia="Arial" w:hAnsi="Arial"/>
                <w:sz w:val="14"/>
                <w:szCs w:val="14"/>
                <w:color w:val="auto"/>
                <w:w w:val="91"/>
              </w:rPr>
              <w:t>Percent increase</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9"/>
        </w:trPr>
        <w:tc>
          <w:tcPr>
            <w:tcW w:w="7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60" w:type="dxa"/>
            <w:vAlign w:val="bottom"/>
            <w:gridSpan w:val="3"/>
          </w:tcPr>
          <w:p>
            <w:pPr>
              <w:ind w:left="600"/>
              <w:spacing w:after="0" w:line="149" w:lineRule="exact"/>
              <w:rPr>
                <w:sz w:val="20"/>
                <w:szCs w:val="20"/>
                <w:color w:val="auto"/>
              </w:rPr>
            </w:pPr>
            <w:r>
              <w:rPr>
                <w:rFonts w:ascii="Arial" w:cs="Arial" w:eastAsia="Arial" w:hAnsi="Arial"/>
                <w:sz w:val="14"/>
                <w:szCs w:val="14"/>
                <w:color w:val="auto"/>
                <w:w w:val="95"/>
              </w:rPr>
              <w:t>(decrease) from</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7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spacing w:after="0" w:line="149" w:lineRule="exact"/>
              <w:rPr>
                <w:sz w:val="20"/>
                <w:szCs w:val="20"/>
                <w:color w:val="auto"/>
              </w:rPr>
            </w:pPr>
            <w:r>
              <w:rPr>
                <w:rFonts w:ascii="Arial" w:cs="Arial" w:eastAsia="Arial" w:hAnsi="Arial"/>
                <w:sz w:val="14"/>
                <w:szCs w:val="14"/>
                <w:color w:val="auto"/>
              </w:rPr>
              <w:t>2nd Qtr.</w:t>
            </w:r>
          </w:p>
        </w:tc>
        <w:tc>
          <w:tcPr>
            <w:tcW w:w="1560" w:type="dxa"/>
            <w:vAlign w:val="bottom"/>
            <w:gridSpan w:val="3"/>
          </w:tcPr>
          <w:p>
            <w:pPr>
              <w:jc w:val="center"/>
              <w:ind w:right="900"/>
              <w:spacing w:after="0" w:line="149" w:lineRule="exact"/>
              <w:rPr>
                <w:sz w:val="20"/>
                <w:szCs w:val="20"/>
                <w:color w:val="auto"/>
              </w:rPr>
            </w:pPr>
            <w:r>
              <w:rPr>
                <w:rFonts w:ascii="Arial" w:cs="Arial" w:eastAsia="Arial" w:hAnsi="Arial"/>
                <w:sz w:val="14"/>
                <w:szCs w:val="14"/>
                <w:color w:val="auto"/>
                <w:w w:val="90"/>
              </w:rPr>
              <w:t>2nd Qtr.</w:t>
            </w: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1"/>
              </w:rPr>
              <w:t>1st Qtr.</w:t>
            </w:r>
          </w:p>
        </w:tc>
      </w:tr>
      <w:tr>
        <w:trPr>
          <w:trHeight w:val="167"/>
        </w:trPr>
        <w:tc>
          <w:tcPr>
            <w:tcW w:w="7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2009</w:t>
            </w:r>
          </w:p>
        </w:tc>
        <w:tc>
          <w:tcPr>
            <w:tcW w:w="680" w:type="dxa"/>
            <w:vAlign w:val="bottom"/>
          </w:tcPr>
          <w:p>
            <w:pPr>
              <w:spacing w:after="0"/>
              <w:rPr>
                <w:sz w:val="14"/>
                <w:szCs w:val="14"/>
                <w:color w:val="auto"/>
              </w:rPr>
            </w:pPr>
          </w:p>
        </w:tc>
        <w:tc>
          <w:tcPr>
            <w:tcW w:w="66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color w:val="auto"/>
              </w:rPr>
              <w:t>2008</w:t>
            </w:r>
          </w:p>
        </w:tc>
        <w:tc>
          <w:tcPr>
            <w:tcW w:w="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color w:val="auto"/>
              </w:rPr>
              <w:t>2009</w:t>
            </w:r>
          </w:p>
        </w:tc>
        <w:tc>
          <w:tcPr>
            <w:tcW w:w="220" w:type="dxa"/>
            <w:vAlign w:val="bottom"/>
          </w:tcPr>
          <w:p>
            <w:pPr>
              <w:spacing w:after="0"/>
              <w:rPr>
                <w:sz w:val="14"/>
                <w:szCs w:val="14"/>
                <w:color w:val="auto"/>
              </w:rPr>
            </w:pPr>
          </w:p>
        </w:tc>
      </w:tr>
      <w:tr>
        <w:trPr>
          <w:trHeight w:val="210"/>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NOW accounts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503</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Savings deposits</w:t>
            </w: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21,650</w:t>
            </w:r>
          </w:p>
        </w:tc>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Time deposits less than $100,000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5,496</w:t>
            </w: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Noninterest-bearing deposits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10,533</w:t>
            </w:r>
          </w:p>
        </w:tc>
        <w:tc>
          <w:tcPr>
            <w:tcW w:w="680" w:type="dxa"/>
            <w:vAlign w:val="bottom"/>
          </w:tcPr>
          <w:p>
            <w:pPr>
              <w:spacing w:after="0"/>
              <w:rPr>
                <w:sz w:val="18"/>
                <w:szCs w:val="18"/>
                <w:color w:val="auto"/>
              </w:rPr>
            </w:pPr>
          </w:p>
        </w:tc>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r>
      <w:tr>
        <w:trPr>
          <w:trHeight w:val="27"/>
        </w:trPr>
        <w:tc>
          <w:tcPr>
            <w:tcW w:w="7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38,182</w:t>
            </w:r>
          </w:p>
        </w:tc>
        <w:tc>
          <w:tcPr>
            <w:tcW w:w="6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20"/>
        </w:trPr>
        <w:tc>
          <w:tcPr>
            <w:tcW w:w="7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color w:val="auto"/>
        </w:rPr>
        <w:t>Domestic time deposits of $100,000 or more, deposits originated through the Company’s offshore branch office, and brokered deposits provide additional sources of funding for the Company. Domestic time deposits over $100,000, excluding brokered certificates of deposit, averaged $2.7 billion in the second quarter of 2009, compared with $2.2 billion in the year-earlier quarter and $3.0 billion in the first quarter of 2009. Offshore branch deposits, primarily comprised of accounts with balances of $100,000 or more, averaged $1.5 billion, $4.3 billion and $2.5 billion for the three-month periods ended June 30, 2009, June 30, 2008 and March 31, 2009, respectively. Average brokered time deposits aggregated $697 million in the second quarter of 2009, compared with $1.4 billion in the year-earlier quarter and $435 million in the initial quarter of 2009. Reflected in average brokered time deposits in the recent quarter were deposits obtained in the Provident transaction, which added approximately $500 million to the quarter’s average. In connection with the Company’s management of interest rate risk, interest rate swap agreements have been entered into under which the Company receives a fixed rate of interest and pays a variable rate and that have notional</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amounts and terms substantially similar to the amounts and terms of $25 million of brokered time deposits. The Company also had brokered NOW and brokered money-market deposit accounts, which in the aggregate averaged $842 million during the second quarter of 2009, compared with $124 million and $894 million during the similar quarter of 2008 and the first quarter of 2009, respectively. The substantial increase in such average brokered deposit balances in the two most recent quarters as compared with the second quarter of 2008 was the result of demand for such deposits, largely resulting from the uncertain economic markets and the desire of brokerage firms to earn reasonable yields while ensuring that customer deposits were fully insured. Offshore branch deposits and brokered deposits have been used by the Company as alternatives to short-term borrowings. Additional amounts of offshore branch deposits or brokered deposits may be added in the future depending on market conditions, including demand by customers and other investors for such deposits, and the cost of funds available from alternative sources at the time.</w:t>
      </w:r>
    </w:p>
    <w:p>
      <w:pPr>
        <w:spacing w:after="0" w:line="71" w:lineRule="exact"/>
        <w:rPr>
          <w:sz w:val="20"/>
          <w:szCs w:val="20"/>
          <w:color w:val="auto"/>
        </w:rPr>
      </w:pPr>
    </w:p>
    <w:p>
      <w:pPr>
        <w:ind w:right="420" w:firstLine="222"/>
        <w:spacing w:after="0" w:line="291" w:lineRule="auto"/>
        <w:rPr>
          <w:sz w:val="20"/>
          <w:szCs w:val="20"/>
          <w:color w:val="auto"/>
        </w:rPr>
      </w:pPr>
      <w:r>
        <w:rPr>
          <w:rFonts w:ascii="Arial" w:cs="Arial" w:eastAsia="Arial" w:hAnsi="Arial"/>
          <w:sz w:val="16"/>
          <w:szCs w:val="16"/>
          <w:color w:val="auto"/>
        </w:rPr>
        <w:t>The Company also uses borrowings from banks, securities dealers, various Federal Home Loan Banks (“FHLBs”), the Federal Reserve and others as sources of funding. Short-term borrowings averaged $3.2 billion in the recent quarter, compared with $6.9 billion in the second quarter of 2008 and</w:t>
      </w:r>
    </w:p>
    <w:p>
      <w:pPr>
        <w:spacing w:after="0"/>
        <w:rPr>
          <w:sz w:val="20"/>
          <w:szCs w:val="20"/>
          <w:color w:val="auto"/>
        </w:rPr>
      </w:pPr>
      <w:r>
        <w:rPr>
          <w:rFonts w:ascii="Arial" w:cs="Arial" w:eastAsia="Arial" w:hAnsi="Arial"/>
          <w:sz w:val="16"/>
          <w:szCs w:val="16"/>
          <w:color w:val="auto"/>
        </w:rPr>
        <w:t>$3.5 billion in the first quarter of 2009. Beginning in the second quarter of 2008, the Company has actively sought to increase the average maturity of its non-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deposit sources of funds and to reduce short-term borrowings. Included in average short-term borrowings were unsecured federal funds borrowings, which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generally mature daily, that averaged $1.6 billion, $5.0 billion and $1.8 billion in the second quarters of 2009 and 2008, and the first quarter of 2009,</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respectively. Overnight federal funds borrowings have historically represented the largest component of short-term borrowings and are obtained from a wide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variety of banks and other financial institutions. Average short-term borrowings during the recent quarter included $902 million of borrowings from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FHLBs of New York and Atlanta, compared with $729 million in the year-earlier quarter and $1.0 billion in the first quarter of 2009. Also included in short-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term borrowings were secured borrowings with the Federal Reserve through their Term Auction Facility (“TAF”). Borrowings under the TAF averaged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$604 million, $423 million and $467 million in the three-month periods ended June 30, 2009, June 30, 2008 and March 31, 2009, respectively. Outstanding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borrowings under the TAF at June 30, 2009 totaled $1.0 billion. Additionally, in the second quarter of 2008 short-term borrowings included a $500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revolving asset-backed structured borrowing secured by automobile loans. That borrowing was repaid during the final quarter of 2008. All of the available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amount of that structured borrowing was in use during 2008’s second quarter.</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Long-term borrowings averaged $11.5 billion in the second quarter of 2009, compared with $11.4 billion in the corresponding quarter of 2008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$11.6 billion in the first quarter of 2009. Included in average long-term borrowings were amounts borrowed from the FHLBs of $6.5 billion in each 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second quarters of 2009 and 2008, compared with $6.7 billion in the first quarter of 2009, and subordinated capital notes of $1.9 billion in each of those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quarters. Junior subordinated debentures associated with trust preferred securities that were included in average long-term borrowings were $1.1 billion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each of the quarters ended June 30, 2009, June 30, 2008 and March 31, 2009. Information regarding trust preferred securities and the related junior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subordinated debentures is provided in note 4 of Notes to Financial Statements. Also included in long-term borrowings were agreements to repurchase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securities, which averaged $1.6 billion during each of the second quarters of 2009 and 2008 and the first quarter of 2009. The agreements have various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repurchase dates through 2017, however, the contractual maturities of the underlying securities extend beyond such repurchase dates.</w:t>
      </w:r>
    </w:p>
    <w:p>
      <w:pPr>
        <w:spacing w:after="0" w:line="103"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Changes in the composition of the Company’s earning assets and interest-bearing liabilities as discussed herein, as well as changes in interest rates and spreads, can impact net interest income. Net interest spread, or the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difference between the taxable-equivalent yield on earning assets and the rate paid on interest-bearing liabilities, was 3.15% in the second quarter of 2009, compared with 3.02% in the year-earlier quarter. The yield on earning assets during the recent quarter was 4.62%, down 104 basis points from 5.66% in the second quarter of 2008, while the rate paid on interest-bearing liabilities decreased 117 basis points to 1.47% from 2.64% in the second quarter of 2008. In the first quarter of 2009, the net interest spread was 2.91%, the yield on earning assets was 4.65% and the rate paid on interest-bearing liabilities was 1.74%. As compared with the second quarter of 2008, the declines in rates resulted from the Federal Reserve lowering its benchmark overnight federal funds target rate throughout 2008 seven times, such that, at March 31 and June 30, 2009, the Federal Reserve’s target rate for overnight federal funds was expressed as a range from 0% to .25%. The 13 basis point improvement in spread from the second quarter of 2008 to the recent quarter was due, in part, to more significant declines in borrowing rates than in rates earned on assets. The 24 basis point improvement in spread from the first quarter of 2009 to the second 2009 quarter was largely attributable to declines in the rates paid on deposits and long-term borrowings. For the first half of 2009, the net interest spread was 3.02%, an increase of 4 basis points from the similar 2008 period. The yield on earning assets and the rate paid on interest-bearing liabilities were 4.63% and 1.61%, respectively, in the first six months of 2009, compared with 5.93% and 2.95%, respectively, in the corresponding period of 2008.</w:t>
      </w:r>
    </w:p>
    <w:p>
      <w:pPr>
        <w:spacing w:after="0" w:line="65" w:lineRule="exact"/>
        <w:rPr>
          <w:sz w:val="20"/>
          <w:szCs w:val="20"/>
          <w:color w:val="auto"/>
        </w:rPr>
      </w:pPr>
    </w:p>
    <w:p>
      <w:pPr>
        <w:ind w:right="40" w:firstLine="225"/>
        <w:spacing w:after="0" w:line="269" w:lineRule="auto"/>
        <w:rPr>
          <w:sz w:val="20"/>
          <w:szCs w:val="20"/>
          <w:color w:val="auto"/>
        </w:rPr>
      </w:pPr>
      <w:r>
        <w:rPr>
          <w:rFonts w:ascii="Arial" w:cs="Arial" w:eastAsia="Arial" w:hAnsi="Arial"/>
          <w:sz w:val="17"/>
          <w:szCs w:val="17"/>
          <w:color w:val="auto"/>
        </w:rPr>
        <w:t>Net interest-free funds consist largely of noninterest-bearing demand deposits and stockholders’ equity, partially offset by bank owned life insurance and non-earning assets, including goodwill and core deposit and other intangible assets. Net interest-free funds averaged $11.3 billion in the second quarter of 2009, compared with $8.1 billion in the similar 2008 quarter and $9.5 billion in the first quarter of 2009. The increase in net interest free funds in the recent quarter as compared with the year-earlier period and the first quarter of 2009 was largely the result of higher average balances of noninterest-bearing deposits and stockholders’ equity. In connection with the acquisition of Provident, the Company added noninterest-bearing deposits of $939 million on May 23, 2009. During the first six months of 2009 and 2008, average net interest-free funds aggregated $10.4 billion and $7.9 billion, respectively. Goodwill and core deposit and other intangible assets averaged $3.5 billion in the recent quarter, compared with $3.4 billion during the quarters ended June 30, 2008 and March 31, 2009. As already noted, goodwill and core deposit intangible resulting from the Provident transaction totaled $332 million and $63 million, respectively, on the acquisition date. The cash surrender value of bank owned life insurance averaged $1.3 billion during the recent quarter, compared with $1.2 billion during each of the quarters ended June 30, 2008 and March 31, 2009. Increases in the cash surrender value of bank owned life insurance are not included in interest income, but rather are recorded in “other revenues from operations.”</w:t>
      </w:r>
    </w:p>
    <w:p>
      <w:pPr>
        <w:spacing w:after="0" w:line="75"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The contribution of net interest-free funds to net interest margin was .28% in the two most recent quarters, compared with .37% in the second quarter of 2008. That contribution for the first half of the year was .29% in 2009 and .40% in 2008. The decline in the contribution to net interest margin ascribed to net interest-free funds in the 2009 periods as compared with the 2008 periods resulted largely from the impact of lower interest rates on interest-bearing liabilities used to value such contribution.</w:t>
      </w:r>
    </w:p>
    <w:p>
      <w:pPr>
        <w:spacing w:after="0" w:line="79" w:lineRule="exact"/>
        <w:rPr>
          <w:sz w:val="20"/>
          <w:szCs w:val="20"/>
          <w:color w:val="auto"/>
        </w:rPr>
      </w:pPr>
    </w:p>
    <w:p>
      <w:pPr>
        <w:ind w:right="300" w:firstLine="225"/>
        <w:spacing w:after="0" w:line="257" w:lineRule="auto"/>
        <w:rPr>
          <w:sz w:val="20"/>
          <w:szCs w:val="20"/>
          <w:color w:val="auto"/>
        </w:rPr>
      </w:pPr>
      <w:r>
        <w:rPr>
          <w:rFonts w:ascii="Arial" w:cs="Arial" w:eastAsia="Arial" w:hAnsi="Arial"/>
          <w:sz w:val="18"/>
          <w:szCs w:val="18"/>
          <w:color w:val="auto"/>
        </w:rPr>
        <w:t>Reflecting the changes to the net interest spread and the contribution of interest-free funds as described herein, the Company’s net interest margin was 3.43% in the recent quarter, improved from 3.39% in the corresponding 2008 quarter and 3.19% in the first quarter of 2009. During the first six months of 2009 and 2008, the net interest margin was 3.31% and 3.38%, respectively. Future changes in market interest rates or spreads, as well as changes in the composition of the Company’s portfolios of earning assets and interest-bearing liabilities that result in reductions in spreads, could adversely impact the Company’s net interest income and net interest margin.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Management assesses the potential impact of future changes in interest rates and spreads by projecting net interest income under several interest rate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scenarios. In managing interest rate risk, the Company has utilized interest rate swap agreements to modify the repricing characteristics of certain portions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its portfolios of earning assets and interest-bearing liabilities. Periodic settlement amounts arising from these agreements are generally reflected in either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yields earned on assets or the rates paid on interest-bearing liabilities. The notional amount of interest rate swap agreements entered into for interest rate risk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management purposes was approximately $1.1 billion at each of June 30, 2009, March 31, 2009 and December 31, 2008, compared with $1.2 billion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30, 2008. Under the terms of those swap agreements, the Company received payments based on the outstanding notional amount of the swap agreements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 fixed rates and made payments at variable rates. Those swap agreements were designated as fair value hedges of certain fixed rate time deposits and long-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term borrowings. There were no interest rate swap agreements designated as cash flow hedges at those respective dates.</w:t>
      </w:r>
    </w:p>
    <w:p>
      <w:pPr>
        <w:spacing w:after="0" w:line="103" w:lineRule="exact"/>
        <w:rPr>
          <w:sz w:val="20"/>
          <w:szCs w:val="20"/>
          <w:color w:val="auto"/>
        </w:rPr>
      </w:pPr>
    </w:p>
    <w:p>
      <w:pPr>
        <w:ind w:right="180" w:firstLine="222"/>
        <w:spacing w:after="0" w:line="270" w:lineRule="auto"/>
        <w:rPr>
          <w:sz w:val="20"/>
          <w:szCs w:val="20"/>
          <w:color w:val="auto"/>
        </w:rPr>
      </w:pPr>
      <w:r>
        <w:rPr>
          <w:rFonts w:ascii="Arial" w:cs="Arial" w:eastAsia="Arial" w:hAnsi="Arial"/>
          <w:sz w:val="17"/>
          <w:szCs w:val="17"/>
          <w:color w:val="auto"/>
        </w:rPr>
        <w:t>The estimated aggregate fair value of interest rate swap agreements designated as fair value hedges represented gains of approximately $64 million, $125 million and $146 million at June 30, 2009, March 31, 2009 and December 31, 2008, respectively, and a loss of $8 million at June 30, 2008. The significant rise in fair value of those interest rate swap agreements since June 30, 2008 resulted from sharply lower interest rates at those later dates. The decline in fair value at the recent quarter-end as compared with March 31, 2009 was attributable to higher interest rates at the end of 2009’s second quarter. The fair values of such swap agreements were substantially offset by changes in the fair values of the hedged items. As a result, the amounts of hedge ineffectiveness recognized during the three- and six-month periods ended June 30, 2009 and 2008 were not material to the Company’s results of operations. The changes in the fair values of the interest rate swap agreements and the hedged items result from the effects of changing interest rates. The Company’s credit exposure with respect to the estimated fair value as of June 30, 2009 of interest rate swap agreements used for managing interest rate risk has been substantially mitigated through master netting arrangements with trading account interest rate contracts with the same counterparties as well as counterparty postings of $39 million of collateral with the Company.</w:t>
      </w:r>
    </w:p>
    <w:p>
      <w:pPr>
        <w:spacing w:after="0" w:line="70"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The weighted-average rates to be received and paid under interest rate swap agreements currently in effect were 6.30% and 2.54%, respectively, at June 30, 2009. The average notional amounts of interest rate swap agreements entered into for interest rate risk management purposes, the related effect on net interest income and margin, and the weighted-average interest rates paid or received on those swap agreements are presented in the accompanying table. Additional information about the Company’s use of interest rate swap agreements and other derivatives is included in note 9 of Notes to Financial Statements.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INTEREST RATE SWAP AGREEMENTS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4"/>
                <w:szCs w:val="14"/>
                <w:color w:val="auto"/>
              </w:rPr>
              <w:t>Three months ended June 30</w:t>
            </w:r>
          </w:p>
        </w:tc>
        <w:tc>
          <w:tcPr>
            <w:tcW w:w="5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color w:val="auto"/>
              </w:rPr>
              <w:t>2009</w:t>
            </w:r>
          </w:p>
        </w:tc>
        <w:tc>
          <w:tcPr>
            <w:tcW w:w="680" w:type="dxa"/>
            <w:vAlign w:val="bottom"/>
            <w:tcBorders>
              <w:bottom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color w:val="auto"/>
                <w:w w:val="96"/>
              </w:rPr>
              <w:t>2008</w:t>
            </w:r>
          </w:p>
        </w:tc>
        <w:tc>
          <w:tcPr>
            <w:tcW w:w="6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right"/>
              <w:ind w:right="820"/>
              <w:spacing w:after="0" w:line="142" w:lineRule="exact"/>
              <w:rPr>
                <w:sz w:val="20"/>
                <w:szCs w:val="20"/>
                <w:color w:val="auto"/>
              </w:rPr>
            </w:pPr>
            <w:r>
              <w:rPr>
                <w:rFonts w:ascii="Arial" w:cs="Arial" w:eastAsia="Arial" w:hAnsi="Arial"/>
                <w:sz w:val="14"/>
                <w:szCs w:val="14"/>
                <w:color w:val="auto"/>
              </w:rPr>
              <w:t>Amount</w:t>
            </w:r>
          </w:p>
        </w:tc>
        <w:tc>
          <w:tcPr>
            <w:tcW w:w="680" w:type="dxa"/>
            <w:vAlign w:val="bottom"/>
          </w:tcPr>
          <w:p>
            <w:pPr>
              <w:ind w:left="120"/>
              <w:spacing w:after="0" w:line="142" w:lineRule="exact"/>
              <w:rPr>
                <w:sz w:val="20"/>
                <w:szCs w:val="20"/>
                <w:color w:val="auto"/>
              </w:rPr>
            </w:pPr>
            <w:r>
              <w:rPr>
                <w:rFonts w:ascii="Arial" w:cs="Arial" w:eastAsia="Arial" w:hAnsi="Arial"/>
                <w:sz w:val="14"/>
                <w:szCs w:val="14"/>
                <w:color w:val="auto"/>
              </w:rPr>
              <w:t>Rate (a)</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60"/>
              <w:spacing w:after="0" w:line="142" w:lineRule="exact"/>
              <w:rPr>
                <w:sz w:val="20"/>
                <w:szCs w:val="20"/>
                <w:color w:val="auto"/>
              </w:rPr>
            </w:pPr>
            <w:r>
              <w:rPr>
                <w:rFonts w:ascii="Arial" w:cs="Arial" w:eastAsia="Arial" w:hAnsi="Arial"/>
                <w:sz w:val="14"/>
                <w:szCs w:val="14"/>
                <w:color w:val="auto"/>
              </w:rPr>
              <w:t>Amount</w:t>
            </w:r>
          </w:p>
        </w:tc>
        <w:tc>
          <w:tcPr>
            <w:tcW w:w="580" w:type="dxa"/>
            <w:vAlign w:val="bottom"/>
          </w:tcPr>
          <w:p>
            <w:pPr>
              <w:spacing w:after="0"/>
              <w:rPr>
                <w:sz w:val="12"/>
                <w:szCs w:val="12"/>
                <w:color w:val="auto"/>
              </w:rPr>
            </w:pPr>
          </w:p>
        </w:tc>
        <w:tc>
          <w:tcPr>
            <w:tcW w:w="680" w:type="dxa"/>
            <w:vAlign w:val="bottom"/>
          </w:tcPr>
          <w:p>
            <w:pPr>
              <w:ind w:left="120"/>
              <w:spacing w:after="0" w:line="142" w:lineRule="exact"/>
              <w:rPr>
                <w:sz w:val="20"/>
                <w:szCs w:val="20"/>
                <w:color w:val="auto"/>
              </w:rPr>
            </w:pPr>
            <w:r>
              <w:rPr>
                <w:rFonts w:ascii="Arial" w:cs="Arial" w:eastAsia="Arial" w:hAnsi="Arial"/>
                <w:sz w:val="14"/>
                <w:szCs w:val="14"/>
                <w:color w:val="auto"/>
              </w:rPr>
              <w:t>Rate (a)</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w:t>
            </w:r>
          </w:p>
        </w:tc>
        <w:tc>
          <w:tcPr>
            <w:tcW w:w="20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(9,519)</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(4,901)</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Net interest income/margin</w:t>
            </w:r>
          </w:p>
        </w:tc>
        <w:tc>
          <w:tcPr>
            <w:tcW w:w="20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9,519</w:t>
            </w:r>
          </w:p>
        </w:tc>
        <w:tc>
          <w:tcPr>
            <w:tcW w:w="640" w:type="dxa"/>
            <w:vAlign w:val="bottom"/>
          </w:tcPr>
          <w:p>
            <w:pPr>
              <w:spacing w:after="0"/>
              <w:rPr>
                <w:sz w:val="19"/>
                <w:szCs w:val="19"/>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.07%</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4,901</w:t>
            </w:r>
          </w:p>
        </w:tc>
        <w:tc>
          <w:tcPr>
            <w:tcW w:w="80" w:type="dxa"/>
            <w:vAlign w:val="bottom"/>
          </w:tcPr>
          <w:p>
            <w:pPr>
              <w:spacing w:after="0"/>
              <w:rPr>
                <w:sz w:val="19"/>
                <w:szCs w:val="19"/>
                <w:color w:val="auto"/>
              </w:rPr>
            </w:pP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1,087,461</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1,126,582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8"/>
                <w:szCs w:val="18"/>
                <w:color w:val="auto"/>
              </w:rPr>
              <w:t>Rate received(b)</w:t>
            </w: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gridSpan w:val="2"/>
            <w:vMerge w:val="restart"/>
          </w:tcPr>
          <w:p>
            <w:pPr>
              <w:jc w:val="right"/>
              <w:ind w:right="540"/>
              <w:spacing w:after="0"/>
              <w:rPr>
                <w:sz w:val="20"/>
                <w:szCs w:val="20"/>
                <w:color w:val="auto"/>
              </w:rPr>
            </w:pPr>
            <w:r>
              <w:rPr>
                <w:rFonts w:ascii="Arial" w:cs="Arial" w:eastAsia="Arial" w:hAnsi="Arial"/>
                <w:sz w:val="18"/>
                <w:szCs w:val="18"/>
                <w:color w:val="auto"/>
              </w:rPr>
              <w:t>6.42%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line="20" w:lineRule="exact"/>
              <w:rPr>
                <w:sz w:val="1"/>
                <w:szCs w:val="1"/>
                <w:color w:val="auto"/>
              </w:rPr>
            </w:pPr>
          </w:p>
        </w:tc>
      </w:tr>
      <w:tr>
        <w:trPr>
          <w:trHeight w:val="210"/>
        </w:trPr>
        <w:tc>
          <w:tcPr>
            <w:tcW w:w="4200" w:type="dxa"/>
            <w:vAlign w:val="bottom"/>
            <w:gridSpan w:val="2"/>
            <w:vMerge w:val="continue"/>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Rate paid(b)</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color w:val="auto"/>
              </w:rPr>
              <w:t>Six months ended June 30</w:t>
            </w:r>
          </w:p>
        </w:tc>
        <w:tc>
          <w:tcPr>
            <w:tcW w:w="5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color w:val="auto"/>
              </w:rPr>
              <w:t>2009</w:t>
            </w:r>
          </w:p>
        </w:tc>
        <w:tc>
          <w:tcPr>
            <w:tcW w:w="680" w:type="dxa"/>
            <w:vAlign w:val="bottom"/>
            <w:tcBorders>
              <w:bottom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color w:val="auto"/>
                <w:w w:val="96"/>
              </w:rPr>
              <w:t>2008</w:t>
            </w:r>
          </w:p>
        </w:tc>
        <w:tc>
          <w:tcPr>
            <w:tcW w:w="6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right"/>
              <w:ind w:right="820"/>
              <w:spacing w:after="0" w:line="142" w:lineRule="exact"/>
              <w:rPr>
                <w:sz w:val="20"/>
                <w:szCs w:val="20"/>
                <w:color w:val="auto"/>
              </w:rPr>
            </w:pPr>
            <w:r>
              <w:rPr>
                <w:rFonts w:ascii="Arial" w:cs="Arial" w:eastAsia="Arial" w:hAnsi="Arial"/>
                <w:sz w:val="14"/>
                <w:szCs w:val="14"/>
                <w:color w:val="auto"/>
              </w:rPr>
              <w:t>Amount</w:t>
            </w:r>
          </w:p>
        </w:tc>
        <w:tc>
          <w:tcPr>
            <w:tcW w:w="680" w:type="dxa"/>
            <w:vAlign w:val="bottom"/>
          </w:tcPr>
          <w:p>
            <w:pPr>
              <w:ind w:left="120"/>
              <w:spacing w:after="0" w:line="142" w:lineRule="exact"/>
              <w:rPr>
                <w:sz w:val="20"/>
                <w:szCs w:val="20"/>
                <w:color w:val="auto"/>
              </w:rPr>
            </w:pPr>
            <w:r>
              <w:rPr>
                <w:rFonts w:ascii="Arial" w:cs="Arial" w:eastAsia="Arial" w:hAnsi="Arial"/>
                <w:sz w:val="14"/>
                <w:szCs w:val="14"/>
                <w:color w:val="auto"/>
              </w:rPr>
              <w:t>Rate (a)</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60"/>
              <w:spacing w:after="0" w:line="142" w:lineRule="exact"/>
              <w:rPr>
                <w:sz w:val="20"/>
                <w:szCs w:val="20"/>
                <w:color w:val="auto"/>
              </w:rPr>
            </w:pPr>
            <w:r>
              <w:rPr>
                <w:rFonts w:ascii="Arial" w:cs="Arial" w:eastAsia="Arial" w:hAnsi="Arial"/>
                <w:sz w:val="14"/>
                <w:szCs w:val="14"/>
                <w:color w:val="auto"/>
              </w:rPr>
              <w:t>Amount</w:t>
            </w:r>
          </w:p>
        </w:tc>
        <w:tc>
          <w:tcPr>
            <w:tcW w:w="580" w:type="dxa"/>
            <w:vAlign w:val="bottom"/>
          </w:tcPr>
          <w:p>
            <w:pPr>
              <w:spacing w:after="0"/>
              <w:rPr>
                <w:sz w:val="12"/>
                <w:szCs w:val="12"/>
                <w:color w:val="auto"/>
              </w:rPr>
            </w:pPr>
          </w:p>
        </w:tc>
        <w:tc>
          <w:tcPr>
            <w:tcW w:w="680" w:type="dxa"/>
            <w:vAlign w:val="bottom"/>
          </w:tcPr>
          <w:p>
            <w:pPr>
              <w:ind w:left="120"/>
              <w:spacing w:after="0" w:line="142" w:lineRule="exact"/>
              <w:rPr>
                <w:sz w:val="20"/>
                <w:szCs w:val="20"/>
                <w:color w:val="auto"/>
              </w:rPr>
            </w:pPr>
            <w:r>
              <w:rPr>
                <w:rFonts w:ascii="Arial" w:cs="Arial" w:eastAsia="Arial" w:hAnsi="Arial"/>
                <w:sz w:val="14"/>
                <w:szCs w:val="14"/>
                <w:color w:val="auto"/>
              </w:rPr>
              <w:t>Rate (a)</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w:t>
            </w:r>
          </w:p>
        </w:tc>
        <w:tc>
          <w:tcPr>
            <w:tcW w:w="20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(16,934)</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(6,341)</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Net interest income/margin</w:t>
            </w:r>
          </w:p>
        </w:tc>
        <w:tc>
          <w:tcPr>
            <w:tcW w:w="20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16,934</w:t>
            </w:r>
          </w:p>
        </w:tc>
        <w:tc>
          <w:tcPr>
            <w:tcW w:w="640" w:type="dxa"/>
            <w:vAlign w:val="bottom"/>
          </w:tcPr>
          <w:p>
            <w:pPr>
              <w:spacing w:after="0"/>
              <w:rPr>
                <w:sz w:val="19"/>
                <w:szCs w:val="19"/>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.06%</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6,341</w:t>
            </w:r>
          </w:p>
        </w:tc>
        <w:tc>
          <w:tcPr>
            <w:tcW w:w="80" w:type="dxa"/>
            <w:vAlign w:val="bottom"/>
          </w:tcPr>
          <w:p>
            <w:pPr>
              <w:spacing w:after="0"/>
              <w:rPr>
                <w:sz w:val="19"/>
                <w:szCs w:val="19"/>
                <w:color w:val="auto"/>
              </w:rPr>
            </w:pP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1,097,296</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1,425,840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8"/>
                <w:szCs w:val="18"/>
                <w:color w:val="auto"/>
              </w:rPr>
              <w:t>Rate received(b)</w:t>
            </w: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gridSpan w:val="2"/>
            <w:vMerge w:val="restart"/>
          </w:tcPr>
          <w:p>
            <w:pPr>
              <w:jc w:val="right"/>
              <w:ind w:right="540"/>
              <w:spacing w:after="0"/>
              <w:rPr>
                <w:sz w:val="20"/>
                <w:szCs w:val="20"/>
                <w:color w:val="auto"/>
              </w:rPr>
            </w:pPr>
            <w:r>
              <w:rPr>
                <w:rFonts w:ascii="Arial" w:cs="Arial" w:eastAsia="Arial" w:hAnsi="Arial"/>
                <w:sz w:val="18"/>
                <w:szCs w:val="18"/>
                <w:color w:val="auto"/>
              </w:rPr>
              <w:t>6.38%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line="20" w:lineRule="exact"/>
              <w:rPr>
                <w:sz w:val="1"/>
                <w:szCs w:val="1"/>
                <w:color w:val="auto"/>
              </w:rPr>
            </w:pPr>
          </w:p>
        </w:tc>
      </w:tr>
      <w:tr>
        <w:trPr>
          <w:trHeight w:val="210"/>
        </w:trPr>
        <w:tc>
          <w:tcPr>
            <w:tcW w:w="4200" w:type="dxa"/>
            <w:vAlign w:val="bottom"/>
            <w:gridSpan w:val="2"/>
            <w:vMerge w:val="continue"/>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Rate paid(b)</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Computed as an annualized percentage of average earning assets or interest-bearing liabilities.</w:t>
      </w:r>
    </w:p>
    <w:p>
      <w:pPr>
        <w:spacing w:after="0" w:line="76" w:lineRule="exact"/>
        <w:rPr>
          <w:rFonts w:ascii="Arial" w:cs="Arial" w:eastAsia="Arial" w:hAnsi="Arial"/>
          <w:sz w:val="18"/>
          <w:szCs w:val="18"/>
          <w:b w:val="1"/>
          <w:bCs w:val="1"/>
          <w:i w:val="1"/>
          <w:iCs w:val="1"/>
          <w:color w:val="auto"/>
        </w:rPr>
      </w:pPr>
    </w:p>
    <w:p>
      <w:pPr>
        <w:ind w:left="460" w:hanging="452"/>
        <w:spacing w:after="0"/>
        <w:tabs>
          <w:tab w:leader="none" w:pos="46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Weighted-average rate paid or received on interest rate swap agreements in effect during the period.</w:t>
      </w:r>
    </w:p>
    <w:p>
      <w:pPr>
        <w:spacing w:after="0" w:line="117" w:lineRule="exact"/>
        <w:rPr>
          <w:sz w:val="20"/>
          <w:szCs w:val="20"/>
          <w:color w:val="auto"/>
        </w:rPr>
      </w:pPr>
    </w:p>
    <w:p>
      <w:pPr>
        <w:ind w:right="120" w:firstLine="215"/>
        <w:spacing w:after="0" w:line="293" w:lineRule="auto"/>
        <w:rPr>
          <w:sz w:val="20"/>
          <w:szCs w:val="20"/>
          <w:color w:val="auto"/>
        </w:rPr>
      </w:pPr>
      <w:r>
        <w:rPr>
          <w:rFonts w:ascii="Arial" w:cs="Arial" w:eastAsia="Arial" w:hAnsi="Arial"/>
          <w:sz w:val="16"/>
          <w:szCs w:val="16"/>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other corporate purposes. Liquidity risk arises whenever the maturities of financial instruments included in assets and liabilities differ. M&amp;T’s banking subsidiaries have access to additional funding sources through borrowings from the FHLB of New York, lines of credit with the Federal Reserve Bank of New York, and other available borrowing facilities. The Company has, from time to time, issued subordinated capital notes to provide liquidity and enhance regulatory capital ratios. Such notes qualify for inclusion in the Company’s total capital as defined by Federal regulators.</w:t>
      </w:r>
    </w:p>
    <w:p>
      <w:pPr>
        <w:spacing w:after="0" w:line="57" w:lineRule="exact"/>
        <w:rPr>
          <w:sz w:val="20"/>
          <w:szCs w:val="20"/>
          <w:color w:val="auto"/>
        </w:rPr>
      </w:pPr>
    </w:p>
    <w:p>
      <w:pPr>
        <w:ind w:right="60" w:firstLine="222"/>
        <w:spacing w:after="0" w:line="285" w:lineRule="auto"/>
        <w:rPr>
          <w:sz w:val="20"/>
          <w:szCs w:val="20"/>
          <w:color w:val="auto"/>
        </w:rPr>
      </w:pPr>
      <w:r>
        <w:rPr>
          <w:rFonts w:ascii="Arial" w:cs="Arial" w:eastAsia="Arial" w:hAnsi="Arial"/>
          <w:sz w:val="16"/>
          <w:szCs w:val="16"/>
          <w:color w:val="auto"/>
        </w:rPr>
        <w:t>The Company has informal and sometimes reciprocal sources of funding available through various arrangements for unsecured short-term borrowings from a wide group of banks and other financial institutions. Over-night federal funds borrowings were $817 million, $1.6 billion and $809 million at June 30, 2009, June 30, 2008 and December 31, 2008, respectively. In general, these borrowings were unsecured and matured on the following business day. As already noted, offshore branch deposits and brokered certificates of deposit have been used by the Company as alternatives to short-term borrowings. Offshore branch deposits also generally mature on the next business day and totaled $1.1 billion at June 30, 2009, $5.8 billion at June 30, 2008 and</w:t>
      </w:r>
    </w:p>
    <w:p>
      <w:pPr>
        <w:spacing w:after="0" w:line="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$4.0 billion at December 31, 2008. Outstanding brokered time deposits at June 30, 2009, June 30, 2008 and December 31, 2008 were $1.2 billion, $1.5 billion and $487 million, respectively. Such deposits at June 30, 2009 included $1.1 billion of brokered time deposits obtained in the acquisition of Provident. At June 30, 2009, the weighted-average remaining term to maturity of brokered time deposits was 23 months. Certain of these brokered time deposits have provisions that allow for early redemption.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2"/>
        <w:spacing w:after="0" w:line="293" w:lineRule="auto"/>
        <w:rPr>
          <w:sz w:val="20"/>
          <w:szCs w:val="20"/>
          <w:color w:val="auto"/>
        </w:rPr>
      </w:pPr>
      <w:r>
        <w:rPr>
          <w:rFonts w:ascii="Arial" w:cs="Arial" w:eastAsia="Arial" w:hAnsi="Arial"/>
          <w:sz w:val="16"/>
          <w:szCs w:val="16"/>
          <w:color w:val="auto"/>
        </w:rPr>
        <w:t>The Company’s ability to obtain funding from these or other sources could be negatively impacted should the Company experience a substantial deterioration in its financial condition or its debt ratings, or should the availability of short-term funding become restricted due to a disruption in the financial markets. The Company attempts to quantify such credit-event risk by modeling scenarios that estimate the liquidity impact resulting from a short-term ratings downgrade over various grading levels. Such impact is estimated by attempting to measure the effect on available unsecured lines of credit, available capacity from secured borrowing sources and securitizable assets. In addition to deposits and borrowings, other sources of liquidity include maturities of investment securities and other earning assets, repayments of loans and investment securities, and cash generated from operations, such as fees collected for services.</w:t>
      </w:r>
    </w:p>
    <w:p>
      <w:pPr>
        <w:spacing w:after="0" w:line="57"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Certain customers of the Company obtain financing through the issuance of variable rate demand bonds (“VRDBs”). The VRDBs are generally enhanced by letters of credit provided by M&amp;T Bank. M&amp;T Bank oftentimes acts as remarketing agent for the VRDBs and, at its discretion, may from time-to-time own some of the VRDBs while such instruments are remarketed. When this occurs, the VRDBs are classified as trading assets in the Company’s consolidated balance sheet. Nevertheless, M&amp;T Bank is not contractually obligated to purchase the VRDBs. The value of VRDBs in the Company’s trading account totaled $74 million and $21 million at June 30, 2009 and 2008, respectively, and $29 million at December 31, 2008. The total amount of VRDBs outstanding backed by M&amp;T Bank letters of credit was $1.9 billion at each of June 30, 2009 and December 31, 2008, compared with $1.7 billion at June 30, 2008. M&amp;T Bank also serves as remarketing agent for most of those bonds.</w:t>
      </w:r>
    </w:p>
    <w:p>
      <w:pPr>
        <w:spacing w:after="0" w:line="70" w:lineRule="exact"/>
        <w:rPr>
          <w:sz w:val="20"/>
          <w:szCs w:val="20"/>
          <w:color w:val="auto"/>
        </w:rPr>
      </w:pPr>
    </w:p>
    <w:p>
      <w:pPr>
        <w:ind w:right="220" w:firstLine="222"/>
        <w:spacing w:after="0" w:line="255" w:lineRule="auto"/>
        <w:rPr>
          <w:sz w:val="20"/>
          <w:szCs w:val="20"/>
          <w:color w:val="auto"/>
        </w:rPr>
      </w:pPr>
      <w:r>
        <w:rPr>
          <w:rFonts w:ascii="Arial" w:cs="Arial" w:eastAsia="Arial" w:hAnsi="Arial"/>
          <w:sz w:val="18"/>
          <w:szCs w:val="18"/>
          <w:color w:val="auto"/>
        </w:rPr>
        <w:t>The Company enters into contractual obligations in the normal course of business which require future cash payments. Such obligations include, among others, payments related to deposits, borrowings, leases and other contractual commitments.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information relating to these commitments is provided in note 11 of Notes to Financial Statements.</w:t>
      </w:r>
    </w:p>
    <w:p>
      <w:pPr>
        <w:spacing w:after="0" w:line="85"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color w:val="auto"/>
        </w:rPr>
        <w:t>M&amp;T’s primary source of funds to pay for operating expenses, shareholder dividends and treasury stock repurchases has historically been the receipt of dividends from its banking subsidiaries, which are subject to various regulatory limitations. Dividends from any banking subsidiary to M&amp;T are limited by the amount of earnings of the banking subsidiary in the current year and the two preceding years. For purposes of that test, at June 30, 2009 approximately $863 million was available for payment of dividends to M&amp;T from banking subsidiaries without prior regulatory approval. These historic sources of cash flow have been augmented in the past by the issuance of trust preferred securities and senior notes payable. Information regarding trust preferred securities and the related junior subordinated debentures is included in note 4 of Notes to Financial Statements. M&amp;T also maintains a $30 million line of credit with an unaffiliated commercial bank, of which there were no borrowings outstanding at June 30, 2009 or at December 31, 2008.</w:t>
      </w:r>
    </w:p>
    <w:p>
      <w:pPr>
        <w:spacing w:after="0" w:line="59"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Management closely monitors the Company’s liquidity position on an ongoing basis for compliance with internal policies and believes that available sources of liquidity are adequate to meet funding needs anticipated in the normal course of business. Management does not anticipate engaging in any activities, either currently or in the long-term, for which adequate funding would not be available and would therefore result in a significant strain on liquidity at either M&amp;T or its subsidiary banks.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288" w:lineRule="auto"/>
        <w:rPr>
          <w:sz w:val="20"/>
          <w:szCs w:val="20"/>
          <w:color w:val="auto"/>
        </w:rPr>
      </w:pPr>
      <w:r>
        <w:rPr>
          <w:rFonts w:ascii="Arial" w:cs="Arial" w:eastAsia="Arial" w:hAnsi="Arial"/>
          <w:sz w:val="16"/>
          <w:szCs w:val="16"/>
          <w:color w:val="auto"/>
        </w:rPr>
        <w:t>Market risk is the risk of loss from adverse changes in the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hedge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w:t>
      </w:r>
    </w:p>
    <w:p>
      <w:pPr>
        <w:spacing w:after="0" w:line="61" w:lineRule="exact"/>
        <w:rPr>
          <w:sz w:val="20"/>
          <w:szCs w:val="20"/>
          <w:color w:val="auto"/>
        </w:rPr>
      </w:pPr>
    </w:p>
    <w:p>
      <w:pPr>
        <w:ind w:right="20" w:firstLine="222"/>
        <w:spacing w:after="0" w:line="269" w:lineRule="auto"/>
        <w:rPr>
          <w:sz w:val="20"/>
          <w:szCs w:val="20"/>
          <w:color w:val="auto"/>
        </w:rPr>
      </w:pPr>
      <w:r>
        <w:rPr>
          <w:rFonts w:ascii="Arial" w:cs="Arial" w:eastAsia="Arial" w:hAnsi="Arial"/>
          <w:sz w:val="17"/>
          <w:szCs w:val="17"/>
          <w:color w:val="auto"/>
        </w:rPr>
        <w:t>The Company’s Risk Management Committee, which includes members of senior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market-implied forward interest rates over the subsequent twelve months are generally used to determine a base interest rate scenario for the net interest income simulation. That calculated base net interest income is then compared to the income calculated under the varying interest rate scenarios. The model considers the impact of ongoing lending and deposit-gathering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 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72" w:lineRule="exact"/>
        <w:rPr>
          <w:sz w:val="20"/>
          <w:szCs w:val="20"/>
          <w:color w:val="auto"/>
        </w:rPr>
      </w:pPr>
    </w:p>
    <w:p>
      <w:pPr>
        <w:ind w:right="280" w:firstLine="222"/>
        <w:spacing w:after="0" w:line="342" w:lineRule="auto"/>
        <w:rPr>
          <w:sz w:val="20"/>
          <w:szCs w:val="20"/>
          <w:color w:val="auto"/>
        </w:rPr>
      </w:pPr>
      <w:r>
        <w:rPr>
          <w:rFonts w:ascii="Arial" w:cs="Arial" w:eastAsia="Arial" w:hAnsi="Arial"/>
          <w:sz w:val="16"/>
          <w:szCs w:val="16"/>
          <w:color w:val="auto"/>
        </w:rPr>
        <w:t>The accompanying table as of June 30, 2009 and December 31, 2008 displays the estimated impact on net interest income from non-trading financial instruments in the base scenario described above resulting from parallel changes in interest rates across repricing categories during the first modeling year.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SENSITIVITY OF NET INTEREST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CHANGES IN INTEREST RATES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80" w:type="dxa"/>
            <w:vAlign w:val="bottom"/>
            <w:gridSpan w:val="3"/>
          </w:tcPr>
          <w:p>
            <w:pPr>
              <w:jc w:val="right"/>
              <w:ind w:right="679"/>
              <w:spacing w:after="0"/>
              <w:rPr>
                <w:sz w:val="20"/>
                <w:szCs w:val="20"/>
                <w:color w:val="auto"/>
              </w:rPr>
            </w:pPr>
            <w:r>
              <w:rPr>
                <w:rFonts w:ascii="Arial" w:cs="Arial" w:eastAsia="Arial" w:hAnsi="Arial"/>
                <w:sz w:val="14"/>
                <w:szCs w:val="14"/>
                <w:color w:val="auto"/>
              </w:rPr>
              <w:t>Calculated increase (decrease)</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80" w:type="dxa"/>
            <w:vAlign w:val="bottom"/>
            <w:gridSpan w:val="3"/>
          </w:tcPr>
          <w:p>
            <w:pPr>
              <w:jc w:val="right"/>
              <w:ind w:right="659"/>
              <w:spacing w:after="0" w:line="149" w:lineRule="exact"/>
              <w:rPr>
                <w:sz w:val="20"/>
                <w:szCs w:val="20"/>
                <w:color w:val="auto"/>
              </w:rPr>
            </w:pPr>
            <w:r>
              <w:rPr>
                <w:rFonts w:ascii="Arial" w:cs="Arial" w:eastAsia="Arial" w:hAnsi="Arial"/>
                <w:sz w:val="14"/>
                <w:szCs w:val="14"/>
                <w:color w:val="auto"/>
              </w:rPr>
              <w:t>in projected net interest income</w:t>
            </w:r>
          </w:p>
        </w:tc>
      </w:tr>
      <w:tr>
        <w:trPr>
          <w:trHeight w:val="167"/>
        </w:trPr>
        <w:tc>
          <w:tcPr>
            <w:tcW w:w="3460" w:type="dxa"/>
            <w:vAlign w:val="bottom"/>
            <w:gridSpan w:val="2"/>
          </w:tcPr>
          <w:p>
            <w:pPr>
              <w:spacing w:after="0"/>
              <w:rPr>
                <w:sz w:val="20"/>
                <w:szCs w:val="20"/>
                <w:color w:val="auto"/>
              </w:rPr>
            </w:pPr>
            <w:r>
              <w:rPr>
                <w:rFonts w:ascii="Arial" w:cs="Arial" w:eastAsia="Arial" w:hAnsi="Arial"/>
                <w:sz w:val="14"/>
                <w:szCs w:val="14"/>
                <w:color w:val="auto"/>
              </w:rPr>
              <w:t>Changes in interest rates</w:t>
            </w:r>
          </w:p>
        </w:tc>
        <w:tc>
          <w:tcPr>
            <w:tcW w:w="4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jc w:val="right"/>
              <w:ind w:right="144"/>
              <w:spacing w:after="0"/>
              <w:rPr>
                <w:sz w:val="20"/>
                <w:szCs w:val="20"/>
                <w:color w:val="auto"/>
              </w:rPr>
            </w:pPr>
            <w:r>
              <w:rPr>
                <w:rFonts w:ascii="Arial" w:cs="Arial" w:eastAsia="Arial" w:hAnsi="Arial"/>
                <w:sz w:val="14"/>
                <w:szCs w:val="14"/>
                <w:color w:val="auto"/>
              </w:rPr>
              <w:t>June 30, 2009</w:t>
            </w:r>
          </w:p>
        </w:tc>
        <w:tc>
          <w:tcPr>
            <w:tcW w:w="500" w:type="dxa"/>
            <w:vAlign w:val="bottom"/>
          </w:tcPr>
          <w:p>
            <w:pPr>
              <w:spacing w:after="0"/>
              <w:rPr>
                <w:sz w:val="14"/>
                <w:szCs w:val="14"/>
                <w:color w:val="auto"/>
              </w:rPr>
            </w:pPr>
          </w:p>
        </w:tc>
        <w:tc>
          <w:tcPr>
            <w:tcW w:w="1540" w:type="dxa"/>
            <w:vAlign w:val="bottom"/>
          </w:tcPr>
          <w:p>
            <w:pPr>
              <w:jc w:val="right"/>
              <w:ind w:right="119"/>
              <w:spacing w:after="0"/>
              <w:rPr>
                <w:sz w:val="20"/>
                <w:szCs w:val="20"/>
                <w:color w:val="auto"/>
              </w:rPr>
            </w:pPr>
            <w:r>
              <w:rPr>
                <w:rFonts w:ascii="Arial" w:cs="Arial" w:eastAsia="Arial" w:hAnsi="Arial"/>
                <w:sz w:val="14"/>
                <w:szCs w:val="14"/>
                <w:color w:val="auto"/>
              </w:rPr>
              <w:t>December 31, 2008</w:t>
            </w:r>
          </w:p>
        </w:tc>
      </w:tr>
      <w:tr>
        <w:trPr>
          <w:trHeight w:val="210"/>
        </w:trPr>
        <w:tc>
          <w:tcPr>
            <w:tcW w:w="20" w:type="dxa"/>
            <w:vAlign w:val="bottom"/>
          </w:tcPr>
          <w:p>
            <w:pPr>
              <w:spacing w:after="0"/>
              <w:rPr>
                <w:sz w:val="18"/>
                <w:szCs w:val="18"/>
                <w:color w:val="auto"/>
              </w:rPr>
            </w:pPr>
          </w:p>
        </w:tc>
        <w:tc>
          <w:tcPr>
            <w:tcW w:w="3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 basis points</w:t>
            </w:r>
          </w:p>
        </w:tc>
        <w:tc>
          <w:tcPr>
            <w:tcW w:w="41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264"/>
              <w:spacing w:after="0"/>
              <w:rPr>
                <w:sz w:val="20"/>
                <w:szCs w:val="20"/>
                <w:color w:val="auto"/>
              </w:rPr>
            </w:pPr>
            <w:r>
              <w:rPr>
                <w:rFonts w:ascii="Arial" w:cs="Arial" w:eastAsia="Arial" w:hAnsi="Arial"/>
                <w:sz w:val="18"/>
                <w:szCs w:val="18"/>
                <w:color w:val="auto"/>
              </w:rPr>
              <w:t>$ 46,496</w:t>
            </w:r>
          </w:p>
        </w:tc>
        <w:tc>
          <w:tcPr>
            <w:tcW w:w="50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ind w:right="399"/>
              <w:spacing w:after="0"/>
              <w:rPr>
                <w:sz w:val="20"/>
                <w:szCs w:val="20"/>
                <w:color w:val="auto"/>
              </w:rPr>
            </w:pPr>
            <w:r>
              <w:rPr>
                <w:rFonts w:ascii="Arial" w:cs="Arial" w:eastAsia="Arial" w:hAnsi="Arial"/>
                <w:sz w:val="18"/>
                <w:szCs w:val="18"/>
                <w:color w:val="auto"/>
              </w:rPr>
              <w:t>33,516</w:t>
            </w: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+100 basis points</w:t>
            </w:r>
          </w:p>
        </w:tc>
        <w:tc>
          <w:tcPr>
            <w:tcW w:w="5920" w:type="dxa"/>
            <w:vAlign w:val="bottom"/>
            <w:gridSpan w:val="3"/>
          </w:tcPr>
          <w:p>
            <w:pPr>
              <w:jc w:val="right"/>
              <w:ind w:right="264"/>
              <w:spacing w:after="0"/>
              <w:rPr>
                <w:sz w:val="20"/>
                <w:szCs w:val="20"/>
                <w:color w:val="auto"/>
              </w:rPr>
            </w:pPr>
            <w:r>
              <w:rPr>
                <w:rFonts w:ascii="Arial" w:cs="Arial" w:eastAsia="Arial" w:hAnsi="Arial"/>
                <w:sz w:val="18"/>
                <w:szCs w:val="18"/>
                <w:color w:val="auto"/>
              </w:rPr>
              <w:t>24,869</w:t>
            </w:r>
          </w:p>
        </w:tc>
        <w:tc>
          <w:tcPr>
            <w:tcW w:w="2040" w:type="dxa"/>
            <w:vAlign w:val="bottom"/>
            <w:gridSpan w:val="2"/>
          </w:tcPr>
          <w:p>
            <w:pPr>
              <w:jc w:val="right"/>
              <w:ind w:right="399"/>
              <w:spacing w:after="0"/>
              <w:rPr>
                <w:sz w:val="20"/>
                <w:szCs w:val="20"/>
                <w:color w:val="auto"/>
              </w:rPr>
            </w:pPr>
            <w:r>
              <w:rPr>
                <w:rFonts w:ascii="Arial" w:cs="Arial" w:eastAsia="Arial" w:hAnsi="Arial"/>
                <w:sz w:val="18"/>
                <w:szCs w:val="18"/>
                <w:color w:val="auto"/>
              </w:rPr>
              <w:t>9,726</w:t>
            </w: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-100 basis points</w:t>
            </w:r>
          </w:p>
        </w:tc>
        <w:tc>
          <w:tcPr>
            <w:tcW w:w="5920" w:type="dxa"/>
            <w:vAlign w:val="bottom"/>
            <w:gridSpan w:val="3"/>
            <w:shd w:val="clear" w:color="auto" w:fill="CCEEFF"/>
          </w:tcPr>
          <w:p>
            <w:pPr>
              <w:jc w:val="right"/>
              <w:ind w:right="204"/>
              <w:spacing w:after="0"/>
              <w:rPr>
                <w:sz w:val="20"/>
                <w:szCs w:val="20"/>
                <w:color w:val="auto"/>
              </w:rPr>
            </w:pPr>
            <w:r>
              <w:rPr>
                <w:rFonts w:ascii="Arial" w:cs="Arial" w:eastAsia="Arial" w:hAnsi="Arial"/>
                <w:sz w:val="18"/>
                <w:szCs w:val="18"/>
                <w:color w:val="auto"/>
              </w:rPr>
              <w:t>(17,866)</w:t>
            </w:r>
          </w:p>
        </w:tc>
        <w:tc>
          <w:tcPr>
            <w:tcW w:w="2040" w:type="dxa"/>
            <w:vAlign w:val="bottom"/>
            <w:gridSpan w:val="2"/>
            <w:shd w:val="clear" w:color="auto" w:fill="CCEEFF"/>
          </w:tcPr>
          <w:p>
            <w:pPr>
              <w:jc w:val="right"/>
              <w:ind w:right="339"/>
              <w:spacing w:after="0"/>
              <w:rPr>
                <w:sz w:val="20"/>
                <w:szCs w:val="20"/>
                <w:color w:val="auto"/>
              </w:rPr>
            </w:pPr>
            <w:r>
              <w:rPr>
                <w:rFonts w:ascii="Arial" w:cs="Arial" w:eastAsia="Arial" w:hAnsi="Arial"/>
                <w:sz w:val="18"/>
                <w:szCs w:val="18"/>
                <w:color w:val="auto"/>
              </w:rPr>
              <w:t>(33,281)</w:t>
            </w:r>
          </w:p>
        </w:tc>
      </w:tr>
      <w:tr>
        <w:trPr>
          <w:trHeight w:val="230"/>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-200 basis points</w:t>
            </w:r>
          </w:p>
        </w:tc>
        <w:tc>
          <w:tcPr>
            <w:tcW w:w="5920" w:type="dxa"/>
            <w:vAlign w:val="bottom"/>
            <w:gridSpan w:val="3"/>
          </w:tcPr>
          <w:p>
            <w:pPr>
              <w:jc w:val="right"/>
              <w:ind w:right="204"/>
              <w:spacing w:after="0"/>
              <w:rPr>
                <w:sz w:val="20"/>
                <w:szCs w:val="20"/>
                <w:color w:val="auto"/>
              </w:rPr>
            </w:pPr>
            <w:r>
              <w:rPr>
                <w:rFonts w:ascii="Arial" w:cs="Arial" w:eastAsia="Arial" w:hAnsi="Arial"/>
                <w:sz w:val="18"/>
                <w:szCs w:val="18"/>
                <w:color w:val="auto"/>
              </w:rPr>
              <w:t>(25,686)</w:t>
            </w:r>
          </w:p>
        </w:tc>
        <w:tc>
          <w:tcPr>
            <w:tcW w:w="2040" w:type="dxa"/>
            <w:vAlign w:val="bottom"/>
            <w:gridSpan w:val="2"/>
          </w:tcPr>
          <w:p>
            <w:pPr>
              <w:jc w:val="right"/>
              <w:ind w:right="339"/>
              <w:spacing w:after="0"/>
              <w:rPr>
                <w:sz w:val="20"/>
                <w:szCs w:val="20"/>
                <w:color w:val="auto"/>
              </w:rPr>
            </w:pPr>
            <w:r>
              <w:rPr>
                <w:rFonts w:ascii="Arial" w:cs="Arial" w:eastAsia="Arial" w:hAnsi="Arial"/>
                <w:sz w:val="18"/>
                <w:szCs w:val="18"/>
                <w:color w:val="auto"/>
              </w:rPr>
              <w:t>(34,177)</w:t>
            </w:r>
          </w:p>
        </w:tc>
      </w:tr>
      <w:tr>
        <w:trPr>
          <w:trHeight w:val="391"/>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180" w:type="dxa"/>
            <w:vAlign w:val="bottom"/>
          </w:tcPr>
          <w:p>
            <w:pPr>
              <w:jc w:val="right"/>
              <w:ind w:right="1650"/>
              <w:spacing w:after="0"/>
              <w:rPr>
                <w:sz w:val="20"/>
                <w:szCs w:val="20"/>
                <w:color w:val="auto"/>
              </w:rPr>
            </w:pPr>
            <w:r>
              <w:rPr>
                <w:rFonts w:ascii="Arial" w:cs="Arial" w:eastAsia="Arial" w:hAnsi="Arial"/>
                <w:sz w:val="18"/>
                <w:szCs w:val="18"/>
                <w:color w:val="auto"/>
              </w:rPr>
              <w:t>- 57 -</w:t>
            </w: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3440" w:type="dxa"/>
            <w:vAlign w:val="bottom"/>
            <w:tcBorders>
              <w:bottom w:val="single" w:sz="8" w:color="808080"/>
            </w:tcBorders>
          </w:tcPr>
          <w:p>
            <w:pPr>
              <w:spacing w:after="0"/>
              <w:rPr>
                <w:sz w:val="19"/>
                <w:szCs w:val="19"/>
                <w:color w:val="auto"/>
              </w:rPr>
            </w:pPr>
          </w:p>
        </w:tc>
        <w:tc>
          <w:tcPr>
            <w:tcW w:w="4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5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2"/>
        <w:spacing w:after="0" w:line="288" w:lineRule="auto"/>
        <w:rPr>
          <w:sz w:val="20"/>
          <w:szCs w:val="20"/>
          <w:color w:val="auto"/>
        </w:rPr>
      </w:pPr>
      <w:r>
        <w:rPr>
          <w:rFonts w:ascii="Arial" w:cs="Arial" w:eastAsia="Arial" w:hAnsi="Arial"/>
          <w:sz w:val="16"/>
          <w:szCs w:val="16"/>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held for non-trading purposes, loan and deposit volumes and pricing, and deposit maturities. In the scenarios presented, the Company also assumed gradual changes in interest rates during a twelve-month period of 100 and 200 basis points, as compared with the assumed base scenario. In the event that a 100 or 200 basis point rate change cannot be achieved, the applicable rate changes are limited to lesser amounts such that interest rates cannot be less than zero.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 In light of the uncertainties and assumptions associated with the process, the amounts presented in the table are not considered significant to the Company’s past or projected net interest income.</w:t>
      </w:r>
    </w:p>
    <w:p>
      <w:pPr>
        <w:spacing w:after="0" w:line="61"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Changes in fair value of the Company’s financial instruments can also result from a lack of trading activity for similar instruments in the financial markets. That impact is most notable on the values assigned to the Company’s investment securities. Information about the fair valuation of such securities is presented herein under the heading “Capital” and in notes 3 and 10 of Notes to Financial Statements.</w:t>
      </w:r>
    </w:p>
    <w:p>
      <w:pPr>
        <w:spacing w:after="0" w:line="73" w:lineRule="exact"/>
        <w:rPr>
          <w:sz w:val="20"/>
          <w:szCs w:val="20"/>
          <w:color w:val="auto"/>
        </w:rPr>
      </w:pPr>
    </w:p>
    <w:p>
      <w:pPr>
        <w:ind w:right="80" w:firstLine="222"/>
        <w:spacing w:after="0" w:line="270" w:lineRule="auto"/>
        <w:rPr>
          <w:sz w:val="20"/>
          <w:szCs w:val="20"/>
          <w:color w:val="auto"/>
        </w:rPr>
      </w:pPr>
      <w:r>
        <w:rPr>
          <w:rFonts w:ascii="Arial" w:cs="Arial" w:eastAsia="Arial" w:hAnsi="Arial"/>
          <w:sz w:val="17"/>
          <w:szCs w:val="17"/>
          <w:color w:val="auto"/>
        </w:rPr>
        <w:t>The Company engages in trading activities to meet the financial needs of customers, to fund the Company’s obligations under certain deferred compensation plans and, to a limited extent, to profit from perceived market opportunities. Financial instruments utilized in trading activities consist predominantly of interest rate contracts, such as swap agreements, and forward and futures contracts related to foreign currencies, but have also included forward and futures contracts related to mortgage-backed securities and investments in U.S. Treasury and other government securities, mortgage-backed securities and mutual funds, and as previously described, a limited number of VRDBs. The Company generally mitigates the foreign currency and interest rate risk associated with trading activities by entering into offsetting trading positions. The amounts of gross and net trading positions, as well as the type of trading activities conducted by the Company, are subject to a well-defined series of potential loss exposure limits established by management and approved by M&amp;T’s Board of Directors. However, as with any non-government guaranteed financial instrument, the Company is exposed to credit risk associated with counterparties to the Company’s trading activities.</w:t>
      </w:r>
    </w:p>
    <w:p>
      <w:pPr>
        <w:spacing w:after="0" w:line="7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notional amounts of interest rate contracts entered into for trading purposes totaled $14.9 billion at June 30, 2009, compared with $13.5 billion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$14.6 billion at June 30, 2008 and December 31, 2008, respectively. The notional amounts of foreign currency and other option and futures contracts entered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into for trading purposes aggregated $681 million, $973 million and $713 million at June 30, 2009, June 30, 2008 and December 31, 2008, respectively.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Although the notional amounts of these trading contracts are not recorded in the consolidated balance sheet, the fair values of all financial instruments used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trading activities are recorded in the consolidated balance sheet. The fair values of all trading account assets and liabilities totaled $495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$354 million, respectively, at June 30, 2009, $243 million and $148 million, respectively, at June 30, 2008, and $618 million and $521 million,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2008. The rise in the fair value of both trading assets and trading liabilities at June 30, 2009 and December 31, 2008 as compared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30, 2008 was largely due to the impact of lower interest rates on the fair values of interest rate swap</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agreements held in the trading portfolio. Included in trading account assets were assets related to deferred compensation plans totaling $31 million at June 30, 2009, $43 million at June 30, 2008 and $33 million at December 31, 2008. Changes in the fair value of such assets are recorded as “trading account and foreign exchange gains” in the consolidated statement of income. Included in “other liabilities” in the consolidated balance sheet at June 30, 2009 were</w:t>
      </w:r>
    </w:p>
    <w:p>
      <w:pPr>
        <w:ind w:right="40"/>
        <w:spacing w:after="0" w:line="277" w:lineRule="auto"/>
        <w:rPr>
          <w:sz w:val="20"/>
          <w:szCs w:val="20"/>
          <w:color w:val="auto"/>
        </w:rPr>
      </w:pPr>
      <w:r>
        <w:rPr>
          <w:rFonts w:ascii="Arial" w:cs="Arial" w:eastAsia="Arial" w:hAnsi="Arial"/>
          <w:sz w:val="17"/>
          <w:szCs w:val="17"/>
          <w:color w:val="auto"/>
        </w:rPr>
        <w:t>$35 million of liabilities related to deferred compensation plans, while at June 30, 2008 and at December 31, 2008, $45 million and $38 million, respectively, of such liabilities related to deferred compensation plans. Changes in the balances of such liabilities due to the valuation of allocated investment options to which the liabilities are indexed are recorded in “other costs of operations” in the consolidated statement of income.</w:t>
      </w:r>
    </w:p>
    <w:p>
      <w:pPr>
        <w:spacing w:after="0" w:line="65" w:lineRule="exact"/>
        <w:rPr>
          <w:sz w:val="20"/>
          <w:szCs w:val="20"/>
          <w:color w:val="auto"/>
        </w:rPr>
      </w:pPr>
    </w:p>
    <w:p>
      <w:pPr>
        <w:jc w:val="both"/>
        <w:ind w:right="320" w:firstLine="225"/>
        <w:spacing w:after="0" w:line="259" w:lineRule="auto"/>
        <w:rPr>
          <w:sz w:val="20"/>
          <w:szCs w:val="20"/>
          <w:color w:val="auto"/>
        </w:rPr>
      </w:pPr>
      <w:r>
        <w:rPr>
          <w:rFonts w:ascii="Arial" w:cs="Arial" w:eastAsia="Arial" w:hAnsi="Arial"/>
          <w:sz w:val="18"/>
          <w:szCs w:val="18"/>
          <w:color w:val="auto"/>
        </w:rPr>
        <w:t>Given the Company’s policies, limits and positions, management believes that the potential loss exposure to the Company resulting from market risk associated with trading activities was not material, however, as previously noted, the Company is exposed to credit risk associated with counterparties to transactions related to the Company’s trading activities. Additional information about the Company’s use of derivative financial instruments in its trading activities is included in note 9 of Notes to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Credit Losses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maintains an allowance for credit losses that in management’s judgment is adequate to absorb losses inherent in the loan and lease portfolio. A provision for credit losses is recorded to adjust the level of the allowance as deemed necessary by management. The provision for credit losses in the second quarter of 2009 was $147 million, compared with $100 million in the year-earlier quarter and $158 million in the first quarter of 2009. For the six-month periods ended June 30, 2009 and 2008, the provision for credit losses was $305 million and $160 million, respectively. The higher levels of the provision in the 2009 periods as compared with the 2008 periods reflect a pronounced downturn in the residential real estate market and the deteriorating state of the U.S. economy, which has been in recession since late-2007.</w:t>
      </w:r>
    </w:p>
    <w:p>
      <w:pPr>
        <w:spacing w:after="0" w:line="85" w:lineRule="exact"/>
        <w:rPr>
          <w:sz w:val="20"/>
          <w:szCs w:val="20"/>
          <w:color w:val="auto"/>
        </w:rPr>
      </w:pPr>
    </w:p>
    <w:p>
      <w:pPr>
        <w:ind w:firstLine="215"/>
        <w:spacing w:after="0" w:line="271" w:lineRule="auto"/>
        <w:rPr>
          <w:sz w:val="20"/>
          <w:szCs w:val="20"/>
          <w:color w:val="auto"/>
        </w:rPr>
      </w:pPr>
      <w:r>
        <w:rPr>
          <w:rFonts w:ascii="Arial" w:cs="Arial" w:eastAsia="Arial" w:hAnsi="Arial"/>
          <w:sz w:val="17"/>
          <w:szCs w:val="17"/>
          <w:color w:val="auto"/>
        </w:rPr>
        <w:t>As already noted, loans acquired in connection with the Provident transaction were recorded at fair value with no carry over of Provident’s previously recorded allowance for credit losses. Determining the fair value of the acquired loans required estimating cash flows expected to be collected on the loans and discounting those cash flows at current interest rates. The excess of cash flows expected at acquisition over the estimated fair value is recognized as interest income over the remaining lives of the loans. The difference between contractually required payments at acquisition and the cash flows expected to be collected at acquisition reflects estimated future credit losses and other contractually required payments that the Company does not expect to collect. Subsequent decreases to the expected cash flows will require the Company to evaluate the need for an additional allowance for credit losses and could lead to charge-offs of acquired loan balances. Subsequent increases in expected cash flows will result in additional interest income to be recognized over the then remaining lives of the loans.</w:t>
      </w:r>
    </w:p>
    <w:p>
      <w:pPr>
        <w:spacing w:after="0" w:line="71" w:lineRule="exact"/>
        <w:rPr>
          <w:sz w:val="20"/>
          <w:szCs w:val="20"/>
          <w:color w:val="auto"/>
        </w:rPr>
      </w:pPr>
    </w:p>
    <w:p>
      <w:pPr>
        <w:jc w:val="both"/>
        <w:ind w:right="40" w:firstLine="225"/>
        <w:spacing w:after="0" w:line="302" w:lineRule="auto"/>
        <w:rPr>
          <w:sz w:val="20"/>
          <w:szCs w:val="20"/>
          <w:color w:val="auto"/>
        </w:rPr>
      </w:pPr>
      <w:r>
        <w:rPr>
          <w:rFonts w:ascii="Arial" w:cs="Arial" w:eastAsia="Arial" w:hAnsi="Arial"/>
          <w:sz w:val="16"/>
          <w:szCs w:val="16"/>
          <w:color w:val="auto"/>
        </w:rPr>
        <w:t>Net loan charge-offs were $138 million in the second quarter of 2009, compared with $99 million in the year-earlier quarter and $100 million in the initial 2009 quarter. Net charge-offs as an annualized percentage of average loans and leases were 1.09% in the recent quarter, compared with .81% and .83% in the quarters ended June 30, 2008 and March 31, 2009, respectively. Net charge-offs for the six-month period ended June 30 aggregated $238 million in 2009 and $145 million in 2008, representing .96% and .59%, respectively, of average loans and leases. A summary of net charge–offs by loan type follows.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NET CHARGE-OFFS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LOAN/LEASE TYPE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8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9"/>
              </w:rPr>
              <w:t>2009</w:t>
            </w:r>
          </w:p>
        </w:tc>
        <w:tc>
          <w:tcPr>
            <w:tcW w:w="6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7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jc w:val="center"/>
              <w:spacing w:after="0" w:line="123" w:lineRule="exact"/>
              <w:rPr>
                <w:sz w:val="20"/>
                <w:szCs w:val="20"/>
                <w:color w:val="auto"/>
              </w:rPr>
            </w:pPr>
            <w:r>
              <w:rPr>
                <w:rFonts w:ascii="Arial" w:cs="Arial" w:eastAsia="Arial" w:hAnsi="Arial"/>
                <w:sz w:val="14"/>
                <w:szCs w:val="14"/>
                <w:color w:val="auto"/>
                <w:w w:val="94"/>
              </w:rPr>
              <w:t>Year</w:t>
            </w:r>
          </w:p>
        </w:tc>
        <w:tc>
          <w:tcPr>
            <w:tcW w:w="100" w:type="dxa"/>
            <w:vAlign w:val="bottom"/>
          </w:tcPr>
          <w:p>
            <w:pPr>
              <w:spacing w:after="0"/>
              <w:rPr>
                <w:sz w:val="10"/>
                <w:szCs w:val="10"/>
                <w:color w:val="auto"/>
              </w:rPr>
            </w:pPr>
          </w:p>
        </w:tc>
      </w:tr>
      <w:tr>
        <w:trPr>
          <w:trHeight w:val="167"/>
        </w:trPr>
        <w:tc>
          <w:tcPr>
            <w:tcW w:w="78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w w:val="91"/>
              </w:rPr>
              <w:t>1st Qtr.</w:t>
            </w:r>
          </w:p>
        </w:tc>
        <w:tc>
          <w:tcPr>
            <w:tcW w:w="680" w:type="dxa"/>
            <w:vAlign w:val="bottom"/>
            <w:gridSpan w:val="3"/>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2nd Qtr.</w:t>
            </w:r>
          </w:p>
        </w:tc>
        <w:tc>
          <w:tcPr>
            <w:tcW w:w="6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to-date</w:t>
            </w:r>
          </w:p>
        </w:tc>
        <w:tc>
          <w:tcPr>
            <w:tcW w:w="100" w:type="dxa"/>
            <w:vAlign w:val="bottom"/>
          </w:tcPr>
          <w:p>
            <w:pPr>
              <w:spacing w:after="0"/>
              <w:rPr>
                <w:sz w:val="14"/>
                <w:szCs w:val="14"/>
                <w:color w:val="auto"/>
              </w:rPr>
            </w:pPr>
          </w:p>
        </w:tc>
      </w:tr>
      <w:tr>
        <w:trPr>
          <w:trHeight w:val="21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etc.</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22,301</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48,025</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70,326</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Real estate: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22,399</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27,511</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49,910</w:t>
            </w:r>
          </w:p>
        </w:tc>
      </w:tr>
      <w:tr>
        <w:trPr>
          <w:trHeight w:val="216"/>
        </w:trPr>
        <w:tc>
          <w:tcPr>
            <w:tcW w:w="7880" w:type="dxa"/>
            <w:vAlign w:val="bottom"/>
          </w:tcPr>
          <w:p>
            <w:pPr>
              <w:ind w:left="220"/>
              <w:spacing w:after="0"/>
              <w:rPr>
                <w:sz w:val="20"/>
                <w:szCs w:val="20"/>
                <w:color w:val="auto"/>
              </w:rPr>
            </w:pPr>
            <w:r>
              <w:rPr>
                <w:rFonts w:ascii="Arial" w:cs="Arial" w:eastAsia="Arial" w:hAnsi="Arial"/>
                <w:sz w:val="18"/>
                <w:szCs w:val="18"/>
                <w:color w:val="auto"/>
              </w:rPr>
              <w:t>Residential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19,702</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60" w:type="dxa"/>
            <w:vAlign w:val="bottom"/>
            <w:gridSpan w:val="3"/>
          </w:tcPr>
          <w:p>
            <w:pPr>
              <w:jc w:val="right"/>
              <w:ind w:right="660"/>
              <w:spacing w:after="0"/>
              <w:rPr>
                <w:sz w:val="20"/>
                <w:szCs w:val="20"/>
                <w:color w:val="auto"/>
              </w:rPr>
            </w:pPr>
            <w:r>
              <w:rPr>
                <w:rFonts w:ascii="Arial" w:cs="Arial" w:eastAsia="Arial" w:hAnsi="Arial"/>
                <w:sz w:val="18"/>
                <w:szCs w:val="18"/>
                <w:color w:val="auto"/>
              </w:rPr>
              <w:t>31,460</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51,162</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35,531</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30,610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66,141</w:t>
            </w:r>
          </w:p>
        </w:tc>
      </w:tr>
      <w:tr>
        <w:trPr>
          <w:trHeight w:val="223"/>
        </w:trPr>
        <w:tc>
          <w:tcPr>
            <w:tcW w:w="788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99,933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137,606</w:t>
            </w:r>
          </w:p>
        </w:tc>
        <w:tc>
          <w:tcPr>
            <w:tcW w:w="6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237,539</w:t>
            </w:r>
          </w:p>
        </w:tc>
        <w:tc>
          <w:tcPr>
            <w:tcW w:w="100" w:type="dxa"/>
            <w:vAlign w:val="bottom"/>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7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9"/>
              </w:rPr>
              <w:t>2008</w:t>
            </w:r>
          </w:p>
        </w:tc>
        <w:tc>
          <w:tcPr>
            <w:tcW w:w="6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3"/>
        </w:trPr>
        <w:tc>
          <w:tcPr>
            <w:tcW w:w="7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jc w:val="center"/>
              <w:spacing w:after="0" w:line="123" w:lineRule="exact"/>
              <w:rPr>
                <w:sz w:val="20"/>
                <w:szCs w:val="20"/>
                <w:color w:val="auto"/>
              </w:rPr>
            </w:pPr>
            <w:r>
              <w:rPr>
                <w:rFonts w:ascii="Arial" w:cs="Arial" w:eastAsia="Arial" w:hAnsi="Arial"/>
                <w:sz w:val="14"/>
                <w:szCs w:val="14"/>
                <w:color w:val="auto"/>
                <w:w w:val="94"/>
              </w:rPr>
              <w:t>Year</w:t>
            </w:r>
          </w:p>
        </w:tc>
        <w:tc>
          <w:tcPr>
            <w:tcW w:w="100" w:type="dxa"/>
            <w:vAlign w:val="bottom"/>
          </w:tcPr>
          <w:p>
            <w:pPr>
              <w:spacing w:after="0"/>
              <w:rPr>
                <w:sz w:val="10"/>
                <w:szCs w:val="10"/>
                <w:color w:val="auto"/>
              </w:rPr>
            </w:pPr>
          </w:p>
        </w:tc>
      </w:tr>
      <w:tr>
        <w:trPr>
          <w:trHeight w:val="167"/>
        </w:trPr>
        <w:tc>
          <w:tcPr>
            <w:tcW w:w="7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w w:val="95"/>
              </w:rPr>
              <w:t>1st Qtr.</w:t>
            </w:r>
          </w:p>
        </w:tc>
        <w:tc>
          <w:tcPr>
            <w:tcW w:w="6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2nd Qtr.</w:t>
            </w:r>
          </w:p>
        </w:tc>
        <w:tc>
          <w:tcPr>
            <w:tcW w:w="6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to-date</w:t>
            </w:r>
          </w:p>
        </w:tc>
        <w:tc>
          <w:tcPr>
            <w:tcW w:w="100" w:type="dxa"/>
            <w:vAlign w:val="bottom"/>
          </w:tcPr>
          <w:p>
            <w:pPr>
              <w:spacing w:after="0"/>
              <w:rPr>
                <w:sz w:val="14"/>
                <w:szCs w:val="14"/>
                <w:color w:val="auto"/>
              </w:rPr>
            </w:pPr>
          </w:p>
        </w:tc>
      </w:tr>
      <w:tr>
        <w:trPr>
          <w:trHeight w:val="21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etc.</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4,377</w:t>
            </w:r>
          </w:p>
        </w:tc>
        <w:tc>
          <w:tcPr>
            <w:tcW w:w="6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20,284</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24,661</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Real estate: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4,380</w:t>
            </w:r>
          </w:p>
        </w:tc>
        <w:tc>
          <w:tcPr>
            <w:tcW w:w="6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39,559</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43,939</w:t>
            </w:r>
          </w:p>
        </w:tc>
      </w:tr>
      <w:tr>
        <w:trPr>
          <w:trHeight w:val="216"/>
        </w:trPr>
        <w:tc>
          <w:tcPr>
            <w:tcW w:w="7880" w:type="dxa"/>
            <w:vAlign w:val="bottom"/>
          </w:tcPr>
          <w:p>
            <w:pPr>
              <w:ind w:left="220"/>
              <w:spacing w:after="0"/>
              <w:rPr>
                <w:sz w:val="20"/>
                <w:szCs w:val="20"/>
                <w:color w:val="auto"/>
              </w:rPr>
            </w:pPr>
            <w:r>
              <w:rPr>
                <w:rFonts w:ascii="Arial" w:cs="Arial" w:eastAsia="Arial" w:hAnsi="Arial"/>
                <w:sz w:val="18"/>
                <w:szCs w:val="18"/>
                <w:color w:val="auto"/>
              </w:rPr>
              <w:t>Residential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15,097</w:t>
            </w:r>
          </w:p>
        </w:tc>
        <w:tc>
          <w:tcPr>
            <w:tcW w:w="640" w:type="dxa"/>
            <w:vAlign w:val="bottom"/>
          </w:tcPr>
          <w:p>
            <w:pPr>
              <w:spacing w:after="0"/>
              <w:rPr>
                <w:sz w:val="18"/>
                <w:szCs w:val="18"/>
                <w:color w:val="auto"/>
              </w:rPr>
            </w:pPr>
          </w:p>
        </w:tc>
        <w:tc>
          <w:tcPr>
            <w:tcW w:w="1360" w:type="dxa"/>
            <w:vAlign w:val="bottom"/>
            <w:gridSpan w:val="3"/>
          </w:tcPr>
          <w:p>
            <w:pPr>
              <w:jc w:val="right"/>
              <w:ind w:right="660"/>
              <w:spacing w:after="0"/>
              <w:rPr>
                <w:sz w:val="20"/>
                <w:szCs w:val="20"/>
                <w:color w:val="auto"/>
              </w:rPr>
            </w:pPr>
            <w:r>
              <w:rPr>
                <w:rFonts w:ascii="Arial" w:cs="Arial" w:eastAsia="Arial" w:hAnsi="Arial"/>
                <w:sz w:val="18"/>
                <w:szCs w:val="18"/>
                <w:color w:val="auto"/>
              </w:rPr>
              <w:t>12,490</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27,587</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21,961</w:t>
            </w:r>
          </w:p>
        </w:tc>
        <w:tc>
          <w:tcPr>
            <w:tcW w:w="6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26,888</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48,849</w:t>
            </w:r>
          </w:p>
        </w:tc>
      </w:tr>
      <w:tr>
        <w:trPr>
          <w:trHeight w:val="223"/>
        </w:trPr>
        <w:tc>
          <w:tcPr>
            <w:tcW w:w="78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45,815</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99,221</w:t>
            </w:r>
          </w:p>
        </w:tc>
        <w:tc>
          <w:tcPr>
            <w:tcW w:w="6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145,036</w:t>
            </w:r>
          </w:p>
        </w:tc>
        <w:tc>
          <w:tcPr>
            <w:tcW w:w="100" w:type="dxa"/>
            <w:vAlign w:val="bottom"/>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225"/>
        <w:spacing w:after="0" w:line="288" w:lineRule="auto"/>
        <w:rPr>
          <w:sz w:val="20"/>
          <w:szCs w:val="20"/>
          <w:color w:val="auto"/>
        </w:rPr>
      </w:pPr>
      <w:r>
        <w:rPr>
          <w:rFonts w:ascii="Arial" w:cs="Arial" w:eastAsia="Arial" w:hAnsi="Arial"/>
          <w:sz w:val="16"/>
          <w:szCs w:val="16"/>
          <w:color w:val="auto"/>
        </w:rPr>
        <w:t>Net charge-offs of commercial loans and leases in the recent quarter reflect a $33 million partial charge-off of an unsecured loan to a single customer in the commercial real estate sector. That charge-off amount was determined by reference to bid prices for debt instruments issued by that customer. Included in net charge-offs of commercial real estate loans were net charge-offs of loans to residential homebuilders and developers of $17 million, $38 million and</w:t>
      </w:r>
    </w:p>
    <w:p>
      <w:pPr>
        <w:spacing w:after="0" w:line="286" w:lineRule="auto"/>
        <w:rPr>
          <w:sz w:val="20"/>
          <w:szCs w:val="20"/>
          <w:color w:val="auto"/>
        </w:rPr>
      </w:pPr>
      <w:r>
        <w:rPr>
          <w:rFonts w:ascii="Arial" w:cs="Arial" w:eastAsia="Arial" w:hAnsi="Arial"/>
          <w:sz w:val="16"/>
          <w:szCs w:val="16"/>
          <w:color w:val="auto"/>
        </w:rPr>
        <w:t>$22 million for the quarters ended June 30, 2009, June 30, 2008 and March 31, 2009, respectively. Included in net charge-offs of residential real estate loans were net charge-offs of Alt-A first mortgage loans of $14 million in the second quarter of 2009, compared with $10 million and $13 million during the quarters ended June 30, 2008 and March 31, 2009, respectively. Also reflected in residential real estate loan charge-offs were charge-offs of construction loans of $12 million in the second quarter of 2009, compared with $1 million in each of the quarters ended June 30, 2008 and March 31, 2009. That recent quarter increase reflected updated property appraisals and the delinquency status of the loans. It is the Company’s policy to charge off the excess of residential real estate loan balances over the net realizable value of the property collateralizing the loan when a loan is 150 days delinquent. Included in net charge-offs of consumer loans and leases were net charge-offs during the quarters ended June 30, 2009, June 30, 2008 and March 31, 2009, respectively, of: indirect automobile loans of $14 million, $11 million and $17 million; recreational vehicle loans of $6 million, $5 million and $7 million; and home equity loans and lines of credit, including Alt-A second lien loans, of $9 million in each of the those three-month periods. Including both first and second lien mortgages, net charge-offs of Alt-A loans totaled $16 million in each of the two most recent quarters, and $15 million for the quarter ended June 30, 2008.</w:t>
      </w:r>
    </w:p>
    <w:p>
      <w:pPr>
        <w:spacing w:after="0" w:line="62" w:lineRule="exact"/>
        <w:rPr>
          <w:sz w:val="20"/>
          <w:szCs w:val="20"/>
          <w:color w:val="auto"/>
        </w:rPr>
      </w:pPr>
    </w:p>
    <w:p>
      <w:pPr>
        <w:ind w:right="220" w:firstLine="225"/>
        <w:spacing w:after="0" w:line="279" w:lineRule="auto"/>
        <w:rPr>
          <w:sz w:val="20"/>
          <w:szCs w:val="20"/>
          <w:color w:val="auto"/>
        </w:rPr>
      </w:pPr>
      <w:r>
        <w:rPr>
          <w:rFonts w:ascii="Arial" w:cs="Arial" w:eastAsia="Arial" w:hAnsi="Arial"/>
          <w:sz w:val="17"/>
          <w:szCs w:val="17"/>
          <w:color w:val="auto"/>
        </w:rPr>
        <w:t>Nonaccrual loans totaled $1.1 billion or 2.11% of total loans and leases outstanding at June 30, 2009, compared with $568 million or 1.16% at June 30, 2008, $755 million or 1.54% at December 31, 2008, and $1.0 billion or 2.05% at March 31, 2009. Major factors contributing to the rise in nonaccrual loans from June 30, 2008 were an $83 million increase in residential real estate loans, a $124 million rise in loans to builders and developers of residential real estate, and a $204 million increase in commercial loans and leases. The continuing turbulence in the residential</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real estate market place has resulted in deteriorating real estate values and increased delinquencies, both for loans to consumers and loans to builders and developers of residential real estate. Additionally, the recessionary state of the U.S. economy has resulted in generally higher levels of nonaccrual loans. The rise in nonaccrual loans from December 31, 2008 to June 30, 2009 was largely due to a $27 million increase in residential real estate loans; a $129 million increase in commercial real estate loans, including a $76 million increase in loans to residential real estate builders and developers; and a $180 million increase in commercial loans, including $74 million to a single borrower that operates retirement communities.</w:t>
      </w:r>
    </w:p>
    <w:p>
      <w:pPr>
        <w:spacing w:after="0" w:line="64" w:lineRule="exact"/>
        <w:rPr>
          <w:sz w:val="20"/>
          <w:szCs w:val="20"/>
          <w:color w:val="auto"/>
        </w:rPr>
      </w:pPr>
    </w:p>
    <w:p>
      <w:pPr>
        <w:ind w:right="120" w:firstLine="215"/>
        <w:spacing w:after="0" w:line="291" w:lineRule="auto"/>
        <w:rPr>
          <w:sz w:val="20"/>
          <w:szCs w:val="20"/>
          <w:color w:val="auto"/>
        </w:rPr>
      </w:pPr>
      <w:r>
        <w:rPr>
          <w:rFonts w:ascii="Arial" w:cs="Arial" w:eastAsia="Arial" w:hAnsi="Arial"/>
          <w:sz w:val="16"/>
          <w:szCs w:val="16"/>
          <w:color w:val="auto"/>
        </w:rPr>
        <w:t>Accruing loans past due 90 days or more were $155 million or .29% of total loans and leases at June 30, 2009, compared with $94 million or .19% a year earlier, $159 million or .32% at December 31, 2008 and $143 million or .29% at March 31, 2009. Those loans included $144 million, $89 million,</w:t>
      </w:r>
    </w:p>
    <w:p>
      <w:pPr>
        <w:spacing w:after="0" w:line="287" w:lineRule="auto"/>
        <w:rPr>
          <w:sz w:val="20"/>
          <w:szCs w:val="20"/>
          <w:color w:val="auto"/>
        </w:rPr>
      </w:pPr>
      <w:r>
        <w:rPr>
          <w:rFonts w:ascii="Arial" w:cs="Arial" w:eastAsia="Arial" w:hAnsi="Arial"/>
          <w:sz w:val="16"/>
          <w:szCs w:val="16"/>
          <w:color w:val="auto"/>
        </w:rPr>
        <w:t>$114 million and $127 million at June 30, 2009, June 30, 2008, December 31, 2008 and March 31, 2009, respectively, of loans guaranteed by government-related entities. Such guaranteed loans included one-to-four family residential mortgage loans serviced by the Company that were repurchased to reduce servicing costs, including a requirement to advance principal and interest payments that had not been received from individual mortgagors. Despite the loans being purchased by the Company, the insurance or guarantee by the applicable government-related entity remains in force. The outstanding principal balances of the repurchased loans are fully guaranteed by government–related entities and totaled $138 million, $78 million, $108 million and $122 million at June 30, 2009, June 30, 2008, December 31, 2008 and March 31, 2009, respectively. Loans past due 90 days or more and accruing interest that were guaranteed by government-related entities also included foreign commercial and industrial loans supported by the Export-Import Bank of the United States that totaled $3 million at each of March 31 and June 30, 2009, compared with $10 million at June 30, 2008 and $5 million at December 31, 2008.</w:t>
      </w:r>
    </w:p>
    <w:p>
      <w:pPr>
        <w:spacing w:after="0" w:line="62" w:lineRule="exact"/>
        <w:rPr>
          <w:sz w:val="20"/>
          <w:szCs w:val="20"/>
          <w:color w:val="auto"/>
        </w:rPr>
      </w:pPr>
    </w:p>
    <w:p>
      <w:pPr>
        <w:ind w:right="220" w:firstLine="215"/>
        <w:spacing w:after="0" w:line="264" w:lineRule="auto"/>
        <w:rPr>
          <w:sz w:val="20"/>
          <w:szCs w:val="20"/>
          <w:color w:val="auto"/>
        </w:rPr>
      </w:pPr>
      <w:r>
        <w:rPr>
          <w:rFonts w:ascii="Arial" w:cs="Arial" w:eastAsia="Arial" w:hAnsi="Arial"/>
          <w:sz w:val="18"/>
          <w:szCs w:val="18"/>
          <w:color w:val="auto"/>
        </w:rPr>
        <w:t>Acquired impaired loans accounted for in accordance with Statement of Position 03-3 are also generally delinquent in payments, but the Company continues to accrue interest income on such loans based on the estimated expected cash flows associated with the loans. The carrying amount of such loans was $98 million at June 30, 2009, or approximately .2% of total loans.</w:t>
      </w:r>
    </w:p>
    <w:p>
      <w:pPr>
        <w:spacing w:after="0" w:line="73"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In an effort to assist borrowers, the Company modified the terms of select loans secured by residential real estate. The modified loans were largely from the Company’s portfolio of Alt-A loans and aggregated $259 million at June 30, 2009. Of that total, $107 million of such loans were included in nonaccrual loans at June 30, 2009. After a period of demonstrated performance, those loans may begin to accrue interest. The remaining $152 million of modified residential real estate loans have demonstrated payment capability consistent with the modified terms and, accordingly, were classified as renegotiated loans and were accruing interest at June 30, 2009. Loan modifications included such actions as the extension of loan maturity dates (generally from thirty to forty years) and the lowering of interest rates and monthly payments. The objective of the modifications was to increase loan repayments by customers and thereby reduce net charge-offs. In accordance with GAAP, the modified loans are included in impaired loans for purposes of determining the allowance for credit losses. Modified residential real estate loans totaled $162 million as of December 31, 2008, of which $93 million were in nonaccrual status and $69 million were classified as renegotiated loans and were accruing interest at that date.</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Commercial loans and leases classified as nonaccrual aggregated $294 million at June 30, 2009, $90 million at June 30, 2008, $114 million at December 31, 2008 and $236 million at March 31, 2009. The rise in such loans in 2009 reflects a $74 million relationship to a single borrower that operates retirement communities and a $48 million loan to a single customer in the commercial real estate sector.</w:t>
      </w:r>
    </w:p>
    <w:p>
      <w:pPr>
        <w:spacing w:after="0" w:line="73" w:lineRule="exact"/>
        <w:rPr>
          <w:sz w:val="20"/>
          <w:szCs w:val="20"/>
          <w:color w:val="auto"/>
        </w:rPr>
      </w:pPr>
    </w:p>
    <w:p>
      <w:pPr>
        <w:ind w:right="160" w:firstLine="225"/>
        <w:spacing w:after="0" w:line="273" w:lineRule="auto"/>
        <w:rPr>
          <w:sz w:val="20"/>
          <w:szCs w:val="20"/>
          <w:color w:val="auto"/>
        </w:rPr>
      </w:pPr>
      <w:r>
        <w:rPr>
          <w:rFonts w:ascii="Arial" w:cs="Arial" w:eastAsia="Arial" w:hAnsi="Arial"/>
          <w:sz w:val="17"/>
          <w:szCs w:val="17"/>
          <w:color w:val="auto"/>
        </w:rPr>
        <w:t>Nonaccrual commercial real estate loans totaled $448 million at June 30, 2009, $227 million at June 30, 2008, $319 million at December 31, 2008 and $396 million at March 31, 2009. The rise in such loans at June 30, 2009 as compared with the end of 2008’s second quarter includes the addition of $124 million of loans to residential homebuilders and developers, reflecting the impact of the downturn in the residential real estate market, including declining real estate values. The increase from the end of 2008 to June 30, 2009 was due, in part, to the net addition of $76 million of loans to residential homebuilders and developers. Information about the location of nonaccrual and charged–off loans to residential real estate builders and developers as of and for the three-month period ended June 30, 2009 is presented in the accompanying table.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RESIDENTIAL BUILDER AND DEVELOPER LOANS, NET OF UNEARNED DISCOUNT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4"/>
          </w:tcPr>
          <w:p>
            <w:pPr>
              <w:jc w:val="center"/>
              <w:ind w:right="300"/>
              <w:spacing w:after="0"/>
              <w:rPr>
                <w:sz w:val="20"/>
                <w:szCs w:val="20"/>
                <w:color w:val="auto"/>
              </w:rPr>
            </w:pPr>
            <w:r>
              <w:rPr>
                <w:rFonts w:ascii="Arial" w:cs="Arial" w:eastAsia="Arial" w:hAnsi="Arial"/>
                <w:sz w:val="14"/>
                <w:szCs w:val="14"/>
                <w:color w:val="auto"/>
                <w:w w:val="90"/>
              </w:rPr>
              <w:t>Quarter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4"/>
          </w:tcPr>
          <w:p>
            <w:pPr>
              <w:ind w:left="260"/>
              <w:spacing w:after="0"/>
              <w:rPr>
                <w:sz w:val="20"/>
                <w:szCs w:val="20"/>
                <w:color w:val="auto"/>
              </w:rPr>
            </w:pPr>
            <w:r>
              <w:rPr>
                <w:rFonts w:ascii="Arial" w:cs="Arial" w:eastAsia="Arial" w:hAnsi="Arial"/>
                <w:sz w:val="14"/>
                <w:szCs w:val="14"/>
                <w:color w:val="auto"/>
              </w:rPr>
              <w:t>June 30, 2009</w:t>
            </w: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4"/>
          </w:tcPr>
          <w:p>
            <w:pPr>
              <w:jc w:val="center"/>
              <w:ind w:right="280"/>
              <w:spacing w:after="0"/>
              <w:rPr>
                <w:sz w:val="20"/>
                <w:szCs w:val="20"/>
                <w:color w:val="auto"/>
              </w:rPr>
            </w:pPr>
            <w:r>
              <w:rPr>
                <w:rFonts w:ascii="Arial" w:cs="Arial" w:eastAsia="Arial" w:hAnsi="Arial"/>
                <w:sz w:val="14"/>
                <w:szCs w:val="14"/>
                <w:color w:val="auto"/>
                <w:w w:val="90"/>
              </w:rPr>
              <w:t>June 30, 2009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940" w:type="dxa"/>
            <w:vAlign w:val="bottom"/>
            <w:tcBorders>
              <w:top w:val="single" w:sz="8" w:color="auto"/>
              <w:bottom w:val="single" w:sz="8" w:color="auto"/>
            </w:tcBorders>
            <w:gridSpan w:val="4"/>
          </w:tcPr>
          <w:p>
            <w:pPr>
              <w:ind w:left="600"/>
              <w:spacing w:after="0" w:line="142" w:lineRule="exact"/>
              <w:rPr>
                <w:sz w:val="20"/>
                <w:szCs w:val="20"/>
                <w:color w:val="auto"/>
              </w:rPr>
            </w:pPr>
            <w:r>
              <w:rPr>
                <w:rFonts w:ascii="Arial" w:cs="Arial" w:eastAsia="Arial" w:hAnsi="Arial"/>
                <w:sz w:val="14"/>
                <w:szCs w:val="14"/>
                <w:color w:val="auto"/>
              </w:rPr>
              <w:t>Nonaccrual</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880" w:type="dxa"/>
            <w:vAlign w:val="bottom"/>
            <w:tcBorders>
              <w:top w:val="single" w:sz="8" w:color="auto"/>
              <w:bottom w:val="single" w:sz="8" w:color="auto"/>
            </w:tcBorders>
            <w:gridSpan w:val="3"/>
          </w:tcPr>
          <w:p>
            <w:pPr>
              <w:jc w:val="center"/>
              <w:ind w:right="59"/>
              <w:spacing w:after="0" w:line="142" w:lineRule="exact"/>
              <w:rPr>
                <w:sz w:val="20"/>
                <w:szCs w:val="20"/>
                <w:color w:val="auto"/>
              </w:rPr>
            </w:pPr>
            <w:r>
              <w:rPr>
                <w:rFonts w:ascii="Arial" w:cs="Arial" w:eastAsia="Arial" w:hAnsi="Arial"/>
                <w:sz w:val="14"/>
                <w:szCs w:val="14"/>
                <w:color w:val="auto"/>
                <w:w w:val="93"/>
              </w:rPr>
              <w:t>Net charge-offs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jc w:val="center"/>
              <w:spacing w:after="0" w:line="123" w:lineRule="exact"/>
              <w:rPr>
                <w:sz w:val="20"/>
                <w:szCs w:val="20"/>
                <w:color w:val="auto"/>
              </w:rPr>
            </w:pPr>
            <w:r>
              <w:rPr>
                <w:rFonts w:ascii="Arial" w:cs="Arial" w:eastAsia="Arial" w:hAnsi="Arial"/>
                <w:sz w:val="14"/>
                <w:szCs w:val="14"/>
                <w:color w:val="auto"/>
                <w:w w:val="98"/>
              </w:rPr>
              <w:t>Annualized</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9"/>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0"/>
              </w:rPr>
              <w:t>Percent of</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10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2"/>
              </w:rPr>
              <w:t>Outstanding</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1"/>
              </w:rPr>
              <w:t>outstanding</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outstanding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color w:val="auto"/>
                <w:w w:val="89"/>
              </w:rPr>
              <w:t>balances</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w w:val="86"/>
              </w:rPr>
              <w:t>Balances</w:t>
            </w:r>
          </w:p>
        </w:tc>
        <w:tc>
          <w:tcPr>
            <w:tcW w:w="140" w:type="dxa"/>
            <w:vAlign w:val="bottom"/>
          </w:tcPr>
          <w:p>
            <w:pPr>
              <w:spacing w:after="0"/>
              <w:rPr>
                <w:sz w:val="14"/>
                <w:szCs w:val="14"/>
                <w:color w:val="auto"/>
              </w:rPr>
            </w:pPr>
          </w:p>
        </w:tc>
        <w:tc>
          <w:tcPr>
            <w:tcW w:w="520" w:type="dxa"/>
            <w:vAlign w:val="bottom"/>
            <w:vMerge w:val="restart"/>
          </w:tcPr>
          <w:p>
            <w:pPr>
              <w:ind w:left="160"/>
              <w:spacing w:after="0"/>
              <w:rPr>
                <w:sz w:val="20"/>
                <w:szCs w:val="20"/>
                <w:color w:val="auto"/>
              </w:rPr>
            </w:pPr>
            <w:r>
              <w:rPr>
                <w:rFonts w:ascii="Arial" w:cs="Arial" w:eastAsia="Arial" w:hAnsi="Arial"/>
                <w:sz w:val="14"/>
                <w:szCs w:val="14"/>
                <w:color w:val="auto"/>
                <w:w w:val="73"/>
              </w:rPr>
              <w:t>(dollars</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balances</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Balances</w:t>
            </w:r>
          </w:p>
        </w:tc>
        <w:tc>
          <w:tcPr>
            <w:tcW w:w="6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balances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140" w:type="dxa"/>
            <w:vAlign w:val="bottom"/>
            <w:gridSpan w:val="2"/>
          </w:tcPr>
          <w:p>
            <w:pPr>
              <w:jc w:val="right"/>
              <w:ind w:right="260"/>
              <w:spacing w:after="0" w:line="142" w:lineRule="exact"/>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New York</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611,465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17,233</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2.82%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Pennsylvania</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249,338</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7,198</w:t>
            </w:r>
          </w:p>
        </w:tc>
        <w:tc>
          <w:tcPr>
            <w:tcW w:w="140" w:type="dxa"/>
            <w:vAlign w:val="bottom"/>
          </w:tcPr>
          <w:p>
            <w:pPr>
              <w:spacing w:after="0"/>
              <w:rPr>
                <w:sz w:val="18"/>
                <w:szCs w:val="18"/>
                <w:color w:val="auto"/>
              </w:rPr>
            </w:pPr>
          </w:p>
        </w:tc>
        <w:tc>
          <w:tcPr>
            <w:tcW w:w="1660" w:type="dxa"/>
            <w:vAlign w:val="bottom"/>
            <w:gridSpan w:val="3"/>
          </w:tcPr>
          <w:p>
            <w:pPr>
              <w:jc w:val="right"/>
              <w:ind w:right="460"/>
              <w:spacing w:after="0"/>
              <w:rPr>
                <w:sz w:val="20"/>
                <w:szCs w:val="20"/>
                <w:color w:val="auto"/>
              </w:rPr>
            </w:pPr>
            <w:r>
              <w:rPr>
                <w:rFonts w:ascii="Arial" w:cs="Arial" w:eastAsia="Arial" w:hAnsi="Arial"/>
                <w:sz w:val="18"/>
                <w:szCs w:val="18"/>
                <w:color w:val="auto"/>
              </w:rPr>
              <w:t>2.89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Mid-Atlantic</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982,941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188,668</w:t>
            </w:r>
          </w:p>
        </w:tc>
        <w:tc>
          <w:tcPr>
            <w:tcW w:w="1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19.19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15,806</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Other</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285,117</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72,300</w:t>
            </w:r>
          </w:p>
        </w:tc>
        <w:tc>
          <w:tcPr>
            <w:tcW w:w="1660" w:type="dxa"/>
            <w:vAlign w:val="bottom"/>
            <w:gridSpan w:val="3"/>
          </w:tcPr>
          <w:p>
            <w:pPr>
              <w:jc w:val="right"/>
              <w:ind w:right="460"/>
              <w:spacing w:after="0"/>
              <w:rPr>
                <w:sz w:val="20"/>
                <w:szCs w:val="20"/>
                <w:color w:val="auto"/>
              </w:rPr>
            </w:pPr>
            <w:r>
              <w:rPr>
                <w:rFonts w:ascii="Arial" w:cs="Arial" w:eastAsia="Arial" w:hAnsi="Arial"/>
                <w:sz w:val="18"/>
                <w:szCs w:val="18"/>
                <w:color w:val="auto"/>
              </w:rPr>
              <w:t>25.36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1,409</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9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2,128,861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285,399</w:t>
            </w:r>
          </w:p>
        </w:tc>
        <w:tc>
          <w:tcPr>
            <w:tcW w:w="1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13.41%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17,335</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Residential real estate loans classified as nonaccrual were $283 million at June 30, 2009, $200 million at June 30, 2008, $256 million at December 31, 2008 and $298 million at March 31, 2009. Declining property values and higher levels of delinquencies have contributed to the rise in residential real estate loans classified as nonaccrual and to the level of charge-offs, largely in the Company’s Alt-A loans. Included in residential real estate loans classified as nonaccrual were Alt-A loans, which totaled $124 million, $106 million, $125 million and $138 million at June 30, 2009, June 30, 2008, December 31, 2008 and March 31, 2009, respectively. Residential real estate loans past due 90 days or more and accruing interest totaled $138 million at June 30, 2009, compared with $78 million a year-earlier, and $108 million and $122 million at December 31, 2008 and March 31, 2009, respectively. A substantial portion of such amounts relate to guaranteed loans repurchased from government-related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entities. Information about the location of nonaccrual and charged–off residential real estate loans as of and for the quarter ended June 30, 2009 is presented in the accompanying table.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SELECTED RESIDENTIAL REAL ESTATE-RELATED LOAN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4"/>
          </w:tcPr>
          <w:p>
            <w:pPr>
              <w:jc w:val="center"/>
              <w:ind w:right="300"/>
              <w:spacing w:after="0"/>
              <w:rPr>
                <w:sz w:val="20"/>
                <w:szCs w:val="20"/>
                <w:color w:val="auto"/>
              </w:rPr>
            </w:pPr>
            <w:r>
              <w:rPr>
                <w:rFonts w:ascii="Arial" w:cs="Arial" w:eastAsia="Arial" w:hAnsi="Arial"/>
                <w:sz w:val="14"/>
                <w:szCs w:val="14"/>
                <w:color w:val="auto"/>
                <w:w w:val="90"/>
              </w:rPr>
              <w:t>Quarter ended</w:t>
            </w:r>
          </w:p>
        </w:tc>
        <w:tc>
          <w:tcPr>
            <w:tcW w:w="0" w:type="dxa"/>
            <w:vAlign w:val="bottom"/>
          </w:tcPr>
          <w:p>
            <w:pPr>
              <w:spacing w:after="0"/>
              <w:rPr>
                <w:sz w:val="1"/>
                <w:szCs w:val="1"/>
                <w:color w:val="auto"/>
              </w:rPr>
            </w:pPr>
          </w:p>
        </w:tc>
      </w:tr>
      <w:tr>
        <w:trPr>
          <w:trHeight w:val="167"/>
        </w:trPr>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4"/>
          </w:tcPr>
          <w:p>
            <w:pPr>
              <w:ind w:left="260"/>
              <w:spacing w:after="0"/>
              <w:rPr>
                <w:sz w:val="20"/>
                <w:szCs w:val="20"/>
                <w:color w:val="auto"/>
              </w:rPr>
            </w:pPr>
            <w:r>
              <w:rPr>
                <w:rFonts w:ascii="Arial" w:cs="Arial" w:eastAsia="Arial" w:hAnsi="Arial"/>
                <w:sz w:val="14"/>
                <w:szCs w:val="14"/>
                <w:color w:val="auto"/>
              </w:rPr>
              <w:t>June 30, 2009</w:t>
            </w: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4"/>
          </w:tcPr>
          <w:p>
            <w:pPr>
              <w:jc w:val="center"/>
              <w:ind w:right="280"/>
              <w:spacing w:after="0"/>
              <w:rPr>
                <w:sz w:val="20"/>
                <w:szCs w:val="20"/>
                <w:color w:val="auto"/>
              </w:rPr>
            </w:pPr>
            <w:r>
              <w:rPr>
                <w:rFonts w:ascii="Arial" w:cs="Arial" w:eastAsia="Arial" w:hAnsi="Arial"/>
                <w:sz w:val="14"/>
                <w:szCs w:val="14"/>
                <w:color w:val="auto"/>
                <w:w w:val="90"/>
              </w:rPr>
              <w:t>June 30, 2009</w:t>
            </w: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940" w:type="dxa"/>
            <w:vAlign w:val="bottom"/>
            <w:tcBorders>
              <w:top w:val="single" w:sz="8" w:color="auto"/>
              <w:bottom w:val="single" w:sz="8" w:color="auto"/>
            </w:tcBorders>
            <w:gridSpan w:val="4"/>
          </w:tcPr>
          <w:p>
            <w:pPr>
              <w:ind w:left="600"/>
              <w:spacing w:after="0" w:line="142" w:lineRule="exact"/>
              <w:rPr>
                <w:sz w:val="20"/>
                <w:szCs w:val="20"/>
                <w:color w:val="auto"/>
              </w:rPr>
            </w:pPr>
            <w:r>
              <w:rPr>
                <w:rFonts w:ascii="Arial" w:cs="Arial" w:eastAsia="Arial" w:hAnsi="Arial"/>
                <w:sz w:val="14"/>
                <w:szCs w:val="14"/>
                <w:color w:val="auto"/>
              </w:rPr>
              <w:t>Nonaccrual</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880" w:type="dxa"/>
            <w:vAlign w:val="bottom"/>
            <w:tcBorders>
              <w:top w:val="single" w:sz="8" w:color="auto"/>
              <w:bottom w:val="single" w:sz="8" w:color="auto"/>
            </w:tcBorders>
            <w:gridSpan w:val="3"/>
          </w:tcPr>
          <w:p>
            <w:pPr>
              <w:jc w:val="center"/>
              <w:ind w:right="52"/>
              <w:spacing w:after="0" w:line="142" w:lineRule="exact"/>
              <w:rPr>
                <w:sz w:val="20"/>
                <w:szCs w:val="20"/>
                <w:color w:val="auto"/>
              </w:rPr>
            </w:pPr>
            <w:r>
              <w:rPr>
                <w:rFonts w:ascii="Arial" w:cs="Arial" w:eastAsia="Arial" w:hAnsi="Arial"/>
                <w:sz w:val="14"/>
                <w:szCs w:val="14"/>
                <w:color w:val="auto"/>
                <w:w w:val="93"/>
              </w:rPr>
              <w:t>Net charge-offs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5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jc w:val="center"/>
              <w:spacing w:after="0" w:line="123" w:lineRule="exact"/>
              <w:rPr>
                <w:sz w:val="20"/>
                <w:szCs w:val="20"/>
                <w:color w:val="auto"/>
              </w:rPr>
            </w:pPr>
            <w:r>
              <w:rPr>
                <w:rFonts w:ascii="Arial" w:cs="Arial" w:eastAsia="Arial" w:hAnsi="Arial"/>
                <w:sz w:val="14"/>
                <w:szCs w:val="14"/>
                <w:color w:val="auto"/>
                <w:w w:val="98"/>
              </w:rPr>
              <w:t>Annualized</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9"/>
              </w:rPr>
              <w:t>percent of</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0"/>
              </w:rPr>
              <w:t>Percent of</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6"/>
              </w:rPr>
              <w:t>average</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Outstanding</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1"/>
              </w:rPr>
              <w:t>outstanding</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outstanding</w:t>
            </w:r>
          </w:p>
        </w:tc>
        <w:tc>
          <w:tcPr>
            <w:tcW w:w="0" w:type="dxa"/>
            <w:vAlign w:val="bottom"/>
          </w:tcPr>
          <w:p>
            <w:pPr>
              <w:spacing w:after="0"/>
              <w:rPr>
                <w:sz w:val="1"/>
                <w:szCs w:val="1"/>
                <w:color w:val="auto"/>
              </w:rPr>
            </w:pPr>
          </w:p>
        </w:tc>
      </w:tr>
      <w:tr>
        <w:trPr>
          <w:trHeight w:val="167"/>
        </w:trPr>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w w:val="96"/>
              </w:rPr>
              <w:t>balances</w:t>
            </w:r>
          </w:p>
        </w:tc>
        <w:tc>
          <w:tcPr>
            <w:tcW w:w="280" w:type="dxa"/>
            <w:vAlign w:val="bottom"/>
            <w:gridSpan w:val="2"/>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86"/>
              </w:rPr>
              <w:t>Balances</w:t>
            </w:r>
          </w:p>
        </w:tc>
        <w:tc>
          <w:tcPr>
            <w:tcW w:w="140" w:type="dxa"/>
            <w:vAlign w:val="bottom"/>
          </w:tcPr>
          <w:p>
            <w:pPr>
              <w:spacing w:after="0"/>
              <w:rPr>
                <w:sz w:val="14"/>
                <w:szCs w:val="14"/>
                <w:color w:val="auto"/>
              </w:rPr>
            </w:pPr>
          </w:p>
        </w:tc>
        <w:tc>
          <w:tcPr>
            <w:tcW w:w="520" w:type="dxa"/>
            <w:vAlign w:val="bottom"/>
            <w:vMerge w:val="restart"/>
          </w:tcPr>
          <w:p>
            <w:pPr>
              <w:ind w:left="160"/>
              <w:spacing w:after="0"/>
              <w:rPr>
                <w:sz w:val="20"/>
                <w:szCs w:val="20"/>
                <w:color w:val="auto"/>
              </w:rPr>
            </w:pPr>
            <w:r>
              <w:rPr>
                <w:rFonts w:ascii="Arial" w:cs="Arial" w:eastAsia="Arial" w:hAnsi="Arial"/>
                <w:sz w:val="14"/>
                <w:szCs w:val="14"/>
                <w:color w:val="auto"/>
                <w:w w:val="73"/>
              </w:rPr>
              <w:t>(dollars</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balances</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Balances</w:t>
            </w:r>
          </w:p>
        </w:tc>
        <w:tc>
          <w:tcPr>
            <w:tcW w:w="6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balances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140" w:type="dxa"/>
            <w:vAlign w:val="bottom"/>
            <w:gridSpan w:val="2"/>
          </w:tcPr>
          <w:p>
            <w:pPr>
              <w:jc w:val="right"/>
              <w:ind w:right="260"/>
              <w:spacing w:after="0" w:line="142" w:lineRule="exact"/>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1,785,359</w:t>
            </w:r>
          </w:p>
        </w:tc>
        <w:tc>
          <w:tcPr>
            <w:tcW w:w="2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33,770</w:t>
            </w:r>
          </w:p>
        </w:tc>
        <w:tc>
          <w:tcPr>
            <w:tcW w:w="1660" w:type="dxa"/>
            <w:vAlign w:val="bottom"/>
            <w:gridSpan w:val="3"/>
          </w:tcPr>
          <w:p>
            <w:pPr>
              <w:jc w:val="right"/>
              <w:ind w:right="320"/>
              <w:spacing w:after="0"/>
              <w:rPr>
                <w:sz w:val="20"/>
                <w:szCs w:val="20"/>
                <w:color w:val="auto"/>
              </w:rPr>
            </w:pPr>
            <w:r>
              <w:rPr>
                <w:rFonts w:ascii="Arial" w:cs="Arial" w:eastAsia="Arial" w:hAnsi="Arial"/>
                <w:sz w:val="18"/>
                <w:szCs w:val="18"/>
                <w:color w:val="auto"/>
              </w:rPr>
              <w:t>1.89%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909</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595,820</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11,469</w:t>
            </w:r>
          </w:p>
        </w:tc>
        <w:tc>
          <w:tcPr>
            <w:tcW w:w="1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1.92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317</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894,822</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36,084</w:t>
            </w:r>
          </w:p>
        </w:tc>
        <w:tc>
          <w:tcPr>
            <w:tcW w:w="1660" w:type="dxa"/>
            <w:vAlign w:val="bottom"/>
            <w:gridSpan w:val="3"/>
          </w:tcPr>
          <w:p>
            <w:pPr>
              <w:jc w:val="right"/>
              <w:ind w:right="460"/>
              <w:spacing w:after="0"/>
              <w:rPr>
                <w:sz w:val="20"/>
                <w:szCs w:val="20"/>
                <w:color w:val="auto"/>
              </w:rPr>
            </w:pPr>
            <w:r>
              <w:rPr>
                <w:rFonts w:ascii="Arial" w:cs="Arial" w:eastAsia="Arial" w:hAnsi="Arial"/>
                <w:sz w:val="18"/>
                <w:szCs w:val="18"/>
                <w:color w:val="auto"/>
              </w:rPr>
              <w:t>4.03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2,073</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1,215,954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53,075</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4.36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2,686</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4,491,955</w:t>
            </w:r>
          </w:p>
        </w:tc>
        <w:tc>
          <w:tcPr>
            <w:tcW w:w="2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134,398</w:t>
            </w:r>
          </w:p>
        </w:tc>
        <w:tc>
          <w:tcPr>
            <w:tcW w:w="14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2.99%</w:t>
            </w:r>
          </w:p>
        </w:tc>
        <w:tc>
          <w:tcPr>
            <w:tcW w:w="2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5,985</w:t>
            </w:r>
          </w:p>
        </w:tc>
        <w:tc>
          <w:tcPr>
            <w:tcW w:w="66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 loans: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31,103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1,444</w:t>
            </w:r>
          </w:p>
        </w:tc>
        <w:tc>
          <w:tcPr>
            <w:tcW w:w="140" w:type="dxa"/>
            <w:vAlign w:val="bottom"/>
          </w:tcPr>
          <w:p>
            <w:pPr>
              <w:spacing w:after="0"/>
              <w:rPr>
                <w:sz w:val="18"/>
                <w:szCs w:val="18"/>
                <w:color w:val="auto"/>
              </w:rPr>
            </w:pPr>
          </w:p>
        </w:tc>
        <w:tc>
          <w:tcPr>
            <w:tcW w:w="1660" w:type="dxa"/>
            <w:vAlign w:val="bottom"/>
            <w:gridSpan w:val="3"/>
          </w:tcPr>
          <w:p>
            <w:pPr>
              <w:jc w:val="right"/>
              <w:ind w:right="320"/>
              <w:spacing w:after="0"/>
              <w:rPr>
                <w:sz w:val="20"/>
                <w:szCs w:val="20"/>
                <w:color w:val="auto"/>
              </w:rPr>
            </w:pPr>
            <w:r>
              <w:rPr>
                <w:rFonts w:ascii="Arial" w:cs="Arial" w:eastAsia="Arial" w:hAnsi="Arial"/>
                <w:sz w:val="18"/>
                <w:szCs w:val="18"/>
                <w:color w:val="auto"/>
              </w:rPr>
              <w:t>4.64%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630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14,610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1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12.99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238</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11,235</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2,858</w:t>
            </w:r>
          </w:p>
        </w:tc>
        <w:tc>
          <w:tcPr>
            <w:tcW w:w="140" w:type="dxa"/>
            <w:vAlign w:val="bottom"/>
          </w:tcPr>
          <w:p>
            <w:pPr>
              <w:spacing w:after="0"/>
              <w:rPr>
                <w:sz w:val="18"/>
                <w:szCs w:val="18"/>
                <w:color w:val="auto"/>
              </w:rPr>
            </w:pPr>
          </w:p>
        </w:tc>
        <w:tc>
          <w:tcPr>
            <w:tcW w:w="1660" w:type="dxa"/>
            <w:vAlign w:val="bottom"/>
            <w:gridSpan w:val="3"/>
          </w:tcPr>
          <w:p>
            <w:pPr>
              <w:jc w:val="right"/>
              <w:ind w:right="460"/>
              <w:spacing w:after="0"/>
              <w:rPr>
                <w:sz w:val="20"/>
                <w:szCs w:val="20"/>
                <w:color w:val="auto"/>
              </w:rPr>
            </w:pPr>
            <w:r>
              <w:rPr>
                <w:rFonts w:ascii="Arial" w:cs="Arial" w:eastAsia="Arial" w:hAnsi="Arial"/>
                <w:sz w:val="18"/>
                <w:szCs w:val="18"/>
                <w:color w:val="auto"/>
              </w:rPr>
              <w:t>25.44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392</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88,138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18,521</w:t>
            </w:r>
          </w:p>
        </w:tc>
        <w:tc>
          <w:tcPr>
            <w:tcW w:w="16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21.01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10,345</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40.56</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145,086</w:t>
            </w:r>
          </w:p>
        </w:tc>
        <w:tc>
          <w:tcPr>
            <w:tcW w:w="2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24,721</w:t>
            </w:r>
          </w:p>
        </w:tc>
        <w:tc>
          <w:tcPr>
            <w:tcW w:w="140" w:type="dxa"/>
            <w:vAlign w:val="bottom"/>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17.04%</w:t>
            </w:r>
          </w:p>
        </w:tc>
        <w:tc>
          <w:tcPr>
            <w:tcW w:w="2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11,605</w:t>
            </w:r>
          </w:p>
        </w:tc>
        <w:tc>
          <w:tcPr>
            <w:tcW w:w="66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27.98%</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Alt-A first mortgages: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116,411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14,120</w:t>
            </w:r>
          </w:p>
        </w:tc>
        <w:tc>
          <w:tcPr>
            <w:tcW w:w="1660" w:type="dxa"/>
            <w:vAlign w:val="bottom"/>
            <w:gridSpan w:val="3"/>
          </w:tcPr>
          <w:p>
            <w:pPr>
              <w:jc w:val="right"/>
              <w:ind w:right="320"/>
              <w:spacing w:after="0"/>
              <w:rPr>
                <w:sz w:val="20"/>
                <w:szCs w:val="20"/>
                <w:color w:val="auto"/>
              </w:rPr>
            </w:pPr>
            <w:r>
              <w:rPr>
                <w:rFonts w:ascii="Arial" w:cs="Arial" w:eastAsia="Arial" w:hAnsi="Arial"/>
                <w:sz w:val="18"/>
                <w:szCs w:val="18"/>
                <w:color w:val="auto"/>
              </w:rPr>
              <w:t>12.13%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492</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32,242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w:t>
            </w:r>
          </w:p>
        </w:tc>
        <w:tc>
          <w:tcPr>
            <w:tcW w:w="1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7.58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149,322</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18,810</w:t>
            </w:r>
          </w:p>
        </w:tc>
        <w:tc>
          <w:tcPr>
            <w:tcW w:w="1660" w:type="dxa"/>
            <w:vAlign w:val="bottom"/>
            <w:gridSpan w:val="3"/>
          </w:tcPr>
          <w:p>
            <w:pPr>
              <w:jc w:val="right"/>
              <w:ind w:right="460"/>
              <w:spacing w:after="0"/>
              <w:rPr>
                <w:sz w:val="20"/>
                <w:szCs w:val="20"/>
                <w:color w:val="auto"/>
              </w:rPr>
            </w:pPr>
            <w:r>
              <w:rPr>
                <w:rFonts w:ascii="Arial" w:cs="Arial" w:eastAsia="Arial" w:hAnsi="Arial"/>
                <w:sz w:val="18"/>
                <w:szCs w:val="18"/>
                <w:color w:val="auto"/>
              </w:rPr>
              <w:t>12.60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1,429</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536,759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88,872</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16.56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11,870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834,734</w:t>
            </w:r>
          </w:p>
        </w:tc>
        <w:tc>
          <w:tcPr>
            <w:tcW w:w="2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124,245</w:t>
            </w:r>
          </w:p>
        </w:tc>
        <w:tc>
          <w:tcPr>
            <w:tcW w:w="14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14.88%</w:t>
            </w:r>
          </w:p>
        </w:tc>
        <w:tc>
          <w:tcPr>
            <w:tcW w:w="2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13,870</w:t>
            </w:r>
          </w:p>
        </w:tc>
        <w:tc>
          <w:tcPr>
            <w:tcW w:w="66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Alt-A junior lien: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3,970</w:t>
            </w:r>
          </w:p>
        </w:tc>
        <w:tc>
          <w:tcPr>
            <w:tcW w:w="2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402</w:t>
            </w:r>
          </w:p>
        </w:tc>
        <w:tc>
          <w:tcPr>
            <w:tcW w:w="1660" w:type="dxa"/>
            <w:vAlign w:val="bottom"/>
            <w:gridSpan w:val="3"/>
          </w:tcPr>
          <w:p>
            <w:pPr>
              <w:jc w:val="right"/>
              <w:ind w:right="320"/>
              <w:spacing w:after="0"/>
              <w:rPr>
                <w:sz w:val="20"/>
                <w:szCs w:val="20"/>
                <w:color w:val="auto"/>
              </w:rPr>
            </w:pPr>
            <w:r>
              <w:rPr>
                <w:rFonts w:ascii="Arial" w:cs="Arial" w:eastAsia="Arial" w:hAnsi="Arial"/>
                <w:sz w:val="18"/>
                <w:szCs w:val="18"/>
                <w:color w:val="auto"/>
              </w:rPr>
              <w:t>10.13%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75</w:t>
            </w:r>
          </w:p>
        </w:tc>
        <w:tc>
          <w:tcPr>
            <w:tcW w:w="6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1,240</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6.21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5,825</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324</w:t>
            </w:r>
          </w:p>
        </w:tc>
        <w:tc>
          <w:tcPr>
            <w:tcW w:w="1660" w:type="dxa"/>
            <w:vAlign w:val="bottom"/>
            <w:gridSpan w:val="3"/>
          </w:tcPr>
          <w:p>
            <w:pPr>
              <w:jc w:val="right"/>
              <w:ind w:right="460"/>
              <w:spacing w:after="0"/>
              <w:rPr>
                <w:sz w:val="20"/>
                <w:szCs w:val="20"/>
                <w:color w:val="auto"/>
              </w:rPr>
            </w:pPr>
            <w:r>
              <w:rPr>
                <w:rFonts w:ascii="Arial" w:cs="Arial" w:eastAsia="Arial" w:hAnsi="Arial"/>
                <w:sz w:val="18"/>
                <w:szCs w:val="18"/>
                <w:color w:val="auto"/>
              </w:rPr>
              <w:t>5.56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191</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23,325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w:t>
            </w:r>
          </w:p>
        </w:tc>
        <w:tc>
          <w:tcPr>
            <w:tcW w:w="1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11.52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1,627</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26.69</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34,360</w:t>
            </w:r>
          </w:p>
        </w:tc>
        <w:tc>
          <w:tcPr>
            <w:tcW w:w="2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3,491</w:t>
            </w:r>
          </w:p>
        </w:tc>
        <w:tc>
          <w:tcPr>
            <w:tcW w:w="14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10.16%</w:t>
            </w:r>
          </w:p>
        </w:tc>
        <w:tc>
          <w:tcPr>
            <w:tcW w:w="2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1,917</w:t>
            </w:r>
          </w:p>
        </w:tc>
        <w:tc>
          <w:tcPr>
            <w:tcW w:w="66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21.48%</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First lien home equity loans: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51,793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1660" w:type="dxa"/>
            <w:vAlign w:val="bottom"/>
            <w:gridSpan w:val="3"/>
          </w:tcPr>
          <w:p>
            <w:pPr>
              <w:jc w:val="right"/>
              <w:ind w:right="320"/>
              <w:spacing w:after="0"/>
              <w:rPr>
                <w:sz w:val="20"/>
                <w:szCs w:val="20"/>
                <w:color w:val="auto"/>
              </w:rPr>
            </w:pPr>
            <w:r>
              <w:rPr>
                <w:rFonts w:ascii="Arial" w:cs="Arial" w:eastAsia="Arial" w:hAnsi="Arial"/>
                <w:sz w:val="18"/>
                <w:szCs w:val="18"/>
                <w:color w:val="auto"/>
              </w:rPr>
              <w:t>.09%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60</w:t>
            </w:r>
          </w:p>
        </w:tc>
        <w:tc>
          <w:tcPr>
            <w:tcW w:w="6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289,987</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1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207,183</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2,168</w:t>
            </w:r>
          </w:p>
        </w:tc>
        <w:tc>
          <w:tcPr>
            <w:tcW w:w="140" w:type="dxa"/>
            <w:vAlign w:val="bottom"/>
          </w:tcPr>
          <w:p>
            <w:pPr>
              <w:spacing w:after="0"/>
              <w:rPr>
                <w:sz w:val="18"/>
                <w:szCs w:val="18"/>
                <w:color w:val="auto"/>
              </w:rPr>
            </w:pPr>
          </w:p>
        </w:tc>
        <w:tc>
          <w:tcPr>
            <w:tcW w:w="1660" w:type="dxa"/>
            <w:vAlign w:val="bottom"/>
            <w:gridSpan w:val="3"/>
          </w:tcPr>
          <w:p>
            <w:pPr>
              <w:jc w:val="right"/>
              <w:ind w:right="460"/>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553,001</w:t>
            </w:r>
          </w:p>
        </w:tc>
        <w:tc>
          <w:tcPr>
            <w:tcW w:w="2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4,197</w:t>
            </w:r>
          </w:p>
        </w:tc>
        <w:tc>
          <w:tcPr>
            <w:tcW w:w="14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.76%</w:t>
            </w:r>
          </w:p>
        </w:tc>
        <w:tc>
          <w:tcPr>
            <w:tcW w:w="2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60</w:t>
            </w:r>
          </w:p>
        </w:tc>
        <w:tc>
          <w:tcPr>
            <w:tcW w:w="66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First lien home equity lines: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669,811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1,228</w:t>
            </w:r>
          </w:p>
        </w:tc>
        <w:tc>
          <w:tcPr>
            <w:tcW w:w="140" w:type="dxa"/>
            <w:vAlign w:val="bottom"/>
          </w:tcPr>
          <w:p>
            <w:pPr>
              <w:spacing w:after="0"/>
              <w:rPr>
                <w:sz w:val="18"/>
                <w:szCs w:val="18"/>
                <w:color w:val="auto"/>
              </w:rPr>
            </w:pPr>
          </w:p>
        </w:tc>
        <w:tc>
          <w:tcPr>
            <w:tcW w:w="1660" w:type="dxa"/>
            <w:vAlign w:val="bottom"/>
            <w:gridSpan w:val="3"/>
          </w:tcPr>
          <w:p>
            <w:pPr>
              <w:jc w:val="right"/>
              <w:ind w:right="320"/>
              <w:spacing w:after="0"/>
              <w:rPr>
                <w:sz w:val="20"/>
                <w:szCs w:val="20"/>
                <w:color w:val="auto"/>
              </w:rPr>
            </w:pPr>
            <w:r>
              <w:rPr>
                <w:rFonts w:ascii="Arial" w:cs="Arial" w:eastAsia="Arial" w:hAnsi="Arial"/>
                <w:sz w:val="18"/>
                <w:szCs w:val="18"/>
                <w:color w:val="auto"/>
              </w:rPr>
              <w:t>.18%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120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457,539</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796</w:t>
            </w:r>
          </w:p>
        </w:tc>
        <w:tc>
          <w:tcPr>
            <w:tcW w:w="16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484,187</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203</w:t>
            </w:r>
          </w:p>
        </w:tc>
        <w:tc>
          <w:tcPr>
            <w:tcW w:w="1660" w:type="dxa"/>
            <w:vAlign w:val="bottom"/>
            <w:gridSpan w:val="3"/>
          </w:tcPr>
          <w:p>
            <w:pPr>
              <w:jc w:val="right"/>
              <w:ind w:right="460"/>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13,562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w:t>
            </w:r>
          </w:p>
        </w:tc>
        <w:tc>
          <w:tcPr>
            <w:tcW w:w="16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1.05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1,625,099</w:t>
            </w:r>
          </w:p>
        </w:tc>
        <w:tc>
          <w:tcPr>
            <w:tcW w:w="2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2,370</w:t>
            </w:r>
          </w:p>
        </w:tc>
        <w:tc>
          <w:tcPr>
            <w:tcW w:w="14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.15%</w:t>
            </w:r>
          </w:p>
        </w:tc>
        <w:tc>
          <w:tcPr>
            <w:tcW w:w="2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120</w:t>
            </w:r>
          </w:p>
        </w:tc>
        <w:tc>
          <w:tcPr>
            <w:tcW w:w="66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Junior lien home equity loans: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137,618</w:t>
            </w:r>
          </w:p>
        </w:tc>
        <w:tc>
          <w:tcPr>
            <w:tcW w:w="2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1,103</w:t>
            </w:r>
          </w:p>
        </w:tc>
        <w:tc>
          <w:tcPr>
            <w:tcW w:w="140" w:type="dxa"/>
            <w:vAlign w:val="bottom"/>
          </w:tcPr>
          <w:p>
            <w:pPr>
              <w:spacing w:after="0"/>
              <w:rPr>
                <w:sz w:val="18"/>
                <w:szCs w:val="18"/>
                <w:color w:val="auto"/>
              </w:rPr>
            </w:pPr>
          </w:p>
        </w:tc>
        <w:tc>
          <w:tcPr>
            <w:tcW w:w="1660" w:type="dxa"/>
            <w:vAlign w:val="bottom"/>
            <w:gridSpan w:val="3"/>
          </w:tcPr>
          <w:p>
            <w:pPr>
              <w:jc w:val="right"/>
              <w:ind w:right="320"/>
              <w:spacing w:after="0"/>
              <w:rPr>
                <w:sz w:val="20"/>
                <w:szCs w:val="20"/>
                <w:color w:val="auto"/>
              </w:rPr>
            </w:pPr>
            <w:r>
              <w:rPr>
                <w:rFonts w:ascii="Arial" w:cs="Arial" w:eastAsia="Arial" w:hAnsi="Arial"/>
                <w:sz w:val="18"/>
                <w:szCs w:val="18"/>
                <w:color w:val="auto"/>
              </w:rPr>
              <w:t>.80%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309</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147,787</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1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217,291</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1,137</w:t>
            </w:r>
          </w:p>
        </w:tc>
        <w:tc>
          <w:tcPr>
            <w:tcW w:w="140" w:type="dxa"/>
            <w:vAlign w:val="bottom"/>
          </w:tcPr>
          <w:p>
            <w:pPr>
              <w:spacing w:after="0"/>
              <w:rPr>
                <w:sz w:val="18"/>
                <w:szCs w:val="18"/>
                <w:color w:val="auto"/>
              </w:rPr>
            </w:pPr>
          </w:p>
        </w:tc>
        <w:tc>
          <w:tcPr>
            <w:tcW w:w="1660" w:type="dxa"/>
            <w:vAlign w:val="bottom"/>
            <w:gridSpan w:val="3"/>
          </w:tcPr>
          <w:p>
            <w:pPr>
              <w:jc w:val="right"/>
              <w:ind w:right="460"/>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10,182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347</w:t>
            </w:r>
          </w:p>
        </w:tc>
        <w:tc>
          <w:tcPr>
            <w:tcW w:w="16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3.41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512,878</w:t>
            </w:r>
          </w:p>
        </w:tc>
        <w:tc>
          <w:tcPr>
            <w:tcW w:w="2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3,882</w:t>
            </w:r>
          </w:p>
        </w:tc>
        <w:tc>
          <w:tcPr>
            <w:tcW w:w="14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.76%</w:t>
            </w:r>
          </w:p>
        </w:tc>
        <w:tc>
          <w:tcPr>
            <w:tcW w:w="2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531</w:t>
            </w:r>
          </w:p>
        </w:tc>
        <w:tc>
          <w:tcPr>
            <w:tcW w:w="66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Junior lien home equity lines: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1,859,016</w:t>
            </w:r>
          </w:p>
        </w:tc>
        <w:tc>
          <w:tcPr>
            <w:tcW w:w="2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10,052</w:t>
            </w:r>
          </w:p>
        </w:tc>
        <w:tc>
          <w:tcPr>
            <w:tcW w:w="1660" w:type="dxa"/>
            <w:vAlign w:val="bottom"/>
            <w:gridSpan w:val="3"/>
          </w:tcPr>
          <w:p>
            <w:pPr>
              <w:jc w:val="right"/>
              <w:ind w:right="320"/>
              <w:spacing w:after="0"/>
              <w:rPr>
                <w:sz w:val="20"/>
                <w:szCs w:val="20"/>
                <w:color w:val="auto"/>
              </w:rPr>
            </w:pPr>
            <w:r>
              <w:rPr>
                <w:rFonts w:ascii="Arial" w:cs="Arial" w:eastAsia="Arial" w:hAnsi="Arial"/>
                <w:sz w:val="18"/>
                <w:szCs w:val="18"/>
                <w:color w:val="auto"/>
              </w:rPr>
              <w:t>.54%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2,723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609,243</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1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339</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1,552,725</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9,976</w:t>
            </w:r>
          </w:p>
        </w:tc>
        <w:tc>
          <w:tcPr>
            <w:tcW w:w="140" w:type="dxa"/>
            <w:vAlign w:val="bottom"/>
          </w:tcPr>
          <w:p>
            <w:pPr>
              <w:spacing w:after="0"/>
              <w:rPr>
                <w:sz w:val="18"/>
                <w:szCs w:val="18"/>
                <w:color w:val="auto"/>
              </w:rPr>
            </w:pPr>
          </w:p>
        </w:tc>
        <w:tc>
          <w:tcPr>
            <w:tcW w:w="1660" w:type="dxa"/>
            <w:vAlign w:val="bottom"/>
            <w:gridSpan w:val="3"/>
          </w:tcPr>
          <w:p>
            <w:pPr>
              <w:jc w:val="right"/>
              <w:ind w:right="460"/>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2,969</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84,041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1.20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303</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4,105,025</w:t>
            </w:r>
          </w:p>
        </w:tc>
        <w:tc>
          <w:tcPr>
            <w:tcW w:w="2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24,083</w:t>
            </w:r>
          </w:p>
        </w:tc>
        <w:tc>
          <w:tcPr>
            <w:tcW w:w="140" w:type="dxa"/>
            <w:vAlign w:val="bottom"/>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.59%</w:t>
            </w:r>
          </w:p>
        </w:tc>
        <w:tc>
          <w:tcPr>
            <w:tcW w:w="2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6,334</w:t>
            </w:r>
          </w:p>
        </w:tc>
        <w:tc>
          <w:tcPr>
            <w:tcW w:w="66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980" w:firstLine="225"/>
        <w:spacing w:after="0" w:line="277" w:lineRule="auto"/>
        <w:rPr>
          <w:sz w:val="20"/>
          <w:szCs w:val="20"/>
          <w:color w:val="auto"/>
        </w:rPr>
      </w:pPr>
      <w:r>
        <w:rPr>
          <w:rFonts w:ascii="Arial" w:cs="Arial" w:eastAsia="Arial" w:hAnsi="Arial"/>
          <w:sz w:val="18"/>
          <w:szCs w:val="18"/>
          <w:color w:val="auto"/>
        </w:rPr>
        <w:t>Nonaccruing consumer loans and leases totaled $86 million at the recent quarter-end, compared with $51 million a year earlier, $66 million at December 31, 2008 and $74 million at March 31, 2009. Included in nonaccrual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923"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consumer loans and leases at June 30, 2009, June 30, 2008, December 31, 2008 and March 31, 2009 were indirect automobile loans of $28 million,</w:t>
      </w:r>
    </w:p>
    <w:p>
      <w:pPr>
        <w:spacing w:after="0" w:line="3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$17 million, $21 million and $26 million, respectively; recreational vehicle loans of $14 million, $11 million, $14 million and $14 million, respectively; and outstanding balances of home equity loans and lines of credit, including Alt-A second lien loans, of $38 million, $20 million, $29 million and $32 million, respectively. Information about the location of nonaccrual and charged–off home equity loans and lines of credit as of and for the quarter ended June 30, 2009 is presented in the accompanying table.</w:t>
      </w:r>
    </w:p>
    <w:p>
      <w:pPr>
        <w:spacing w:after="0" w:line="82" w:lineRule="exact"/>
        <w:rPr>
          <w:sz w:val="20"/>
          <w:szCs w:val="20"/>
          <w:color w:val="auto"/>
        </w:rPr>
      </w:pPr>
    </w:p>
    <w:p>
      <w:pPr>
        <w:ind w:right="120" w:firstLine="225"/>
        <w:spacing w:after="0" w:line="286" w:lineRule="auto"/>
        <w:rPr>
          <w:sz w:val="20"/>
          <w:szCs w:val="20"/>
          <w:color w:val="auto"/>
        </w:rPr>
      </w:pPr>
      <w:r>
        <w:rPr>
          <w:rFonts w:ascii="Arial" w:cs="Arial" w:eastAsia="Arial" w:hAnsi="Arial"/>
          <w:sz w:val="17"/>
          <w:szCs w:val="17"/>
          <w:color w:val="auto"/>
        </w:rPr>
        <w:t>Real estate and other foreclosed assets were $90 million at June 30, 2009, compared with $53 million at June 30, 2008 and $100 million at each of December 31, 2008 and March 31, 2009. The increases from June 30, 2008 resulted from additions related to residential real estate development projects. At June 30, 2009 the Company’s holding of residential real estate-related properties comprised 81% of foreclosed assets.</w:t>
      </w:r>
    </w:p>
    <w:p>
      <w:pPr>
        <w:spacing w:after="0" w:line="57" w:lineRule="exact"/>
        <w:rPr>
          <w:sz w:val="20"/>
          <w:szCs w:val="20"/>
          <w:color w:val="auto"/>
        </w:rPr>
      </w:pPr>
    </w:p>
    <w:p>
      <w:pPr>
        <w:ind w:right="100" w:firstLine="215"/>
        <w:spacing w:after="0" w:line="277" w:lineRule="auto"/>
        <w:rPr>
          <w:sz w:val="20"/>
          <w:szCs w:val="20"/>
          <w:color w:val="auto"/>
        </w:rPr>
      </w:pPr>
      <w:r>
        <w:rPr>
          <w:rFonts w:ascii="Arial" w:cs="Arial" w:eastAsia="Arial" w:hAnsi="Arial"/>
          <w:sz w:val="18"/>
          <w:szCs w:val="18"/>
          <w:color w:val="auto"/>
        </w:rPr>
        <w:t>A comparative summary of nonperforming assets and certain past due loan data and credit quality ratios as of the end of the periods indicated is presented in the accompanying table.</w:t>
      </w:r>
    </w:p>
    <w:p>
      <w:pPr>
        <w:spacing w:after="0" w:line="170" w:lineRule="exact"/>
        <w:rPr>
          <w:sz w:val="20"/>
          <w:szCs w:val="20"/>
          <w:color w:val="auto"/>
        </w:rPr>
      </w:pPr>
    </w:p>
    <w:p>
      <w:pPr>
        <w:ind w:right="4100"/>
        <w:spacing w:after="0" w:line="277" w:lineRule="auto"/>
        <w:rPr>
          <w:sz w:val="20"/>
          <w:szCs w:val="20"/>
          <w:color w:val="auto"/>
        </w:rPr>
      </w:pPr>
      <w:r>
        <w:rPr>
          <w:rFonts w:ascii="Arial" w:cs="Arial" w:eastAsia="Arial" w:hAnsi="Arial"/>
          <w:sz w:val="18"/>
          <w:szCs w:val="18"/>
          <w:color w:val="auto"/>
        </w:rPr>
        <w:t>NONPERFORMING ASSET AND PAST DUE, RENEGOTIATED AND IMPAIRED LOAN DATA Dollars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ind w:left="660"/>
              <w:spacing w:after="0"/>
              <w:rPr>
                <w:sz w:val="20"/>
                <w:szCs w:val="20"/>
                <w:color w:val="auto"/>
              </w:rPr>
            </w:pPr>
            <w:r>
              <w:rPr>
                <w:rFonts w:ascii="Arial" w:cs="Arial" w:eastAsia="Arial" w:hAnsi="Arial"/>
                <w:sz w:val="14"/>
                <w:szCs w:val="14"/>
                <w:color w:val="auto"/>
                <w:w w:val="91"/>
              </w:rPr>
              <w:t>2009 Quarters</w:t>
            </w: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00" w:type="dxa"/>
            <w:vAlign w:val="bottom"/>
            <w:gridSpan w:val="3"/>
          </w:tcPr>
          <w:p>
            <w:pPr>
              <w:jc w:val="center"/>
              <w:ind w:right="400"/>
              <w:spacing w:after="0"/>
              <w:rPr>
                <w:sz w:val="20"/>
                <w:szCs w:val="20"/>
                <w:color w:val="auto"/>
              </w:rPr>
            </w:pPr>
            <w:r>
              <w:rPr>
                <w:rFonts w:ascii="Arial" w:cs="Arial" w:eastAsia="Arial" w:hAnsi="Arial"/>
                <w:sz w:val="14"/>
                <w:szCs w:val="14"/>
                <w:color w:val="auto"/>
                <w:w w:val="91"/>
              </w:rPr>
              <w:t>2008 Quarters</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Second</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First</w:t>
            </w:r>
          </w:p>
        </w:tc>
        <w:tc>
          <w:tcPr>
            <w:tcW w:w="700" w:type="dxa"/>
            <w:vAlign w:val="bottom"/>
          </w:tcPr>
          <w:p>
            <w:pPr>
              <w:spacing w:after="0"/>
              <w:rPr>
                <w:sz w:val="14"/>
                <w:szCs w:val="14"/>
                <w:color w:val="auto"/>
              </w:rPr>
            </w:pPr>
          </w:p>
        </w:tc>
        <w:tc>
          <w:tcPr>
            <w:tcW w:w="7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Fourth</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Third</w:t>
            </w:r>
          </w:p>
        </w:tc>
        <w:tc>
          <w:tcPr>
            <w:tcW w:w="700" w:type="dxa"/>
            <w:vAlign w:val="bottom"/>
          </w:tcPr>
          <w:p>
            <w:pPr>
              <w:spacing w:after="0"/>
              <w:rPr>
                <w:sz w:val="14"/>
                <w:szCs w:val="14"/>
                <w:color w:val="auto"/>
              </w:rPr>
            </w:pPr>
          </w:p>
        </w:tc>
        <w:tc>
          <w:tcPr>
            <w:tcW w:w="7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Second</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1,111,423</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9"/>
              </w:rPr>
              <w:t>1,003,987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755,397</w:t>
            </w:r>
          </w:p>
        </w:tc>
        <w:tc>
          <w:tcPr>
            <w:tcW w:w="38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688,214</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568,460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Real estate and other foreclosed assets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90,461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100,270</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99,617</w:t>
            </w:r>
          </w:p>
        </w:tc>
        <w:tc>
          <w:tcPr>
            <w:tcW w:w="1700" w:type="dxa"/>
            <w:vAlign w:val="bottom"/>
            <w:gridSpan w:val="3"/>
          </w:tcPr>
          <w:p>
            <w:pPr>
              <w:jc w:val="right"/>
              <w:ind w:right="700"/>
              <w:spacing w:after="0"/>
              <w:rPr>
                <w:sz w:val="20"/>
                <w:szCs w:val="20"/>
                <w:color w:val="auto"/>
              </w:rPr>
            </w:pPr>
            <w:r>
              <w:rPr>
                <w:rFonts w:ascii="Arial" w:cs="Arial" w:eastAsia="Arial" w:hAnsi="Arial"/>
                <w:sz w:val="18"/>
                <w:szCs w:val="18"/>
                <w:color w:val="auto"/>
              </w:rPr>
              <w:t>85,305</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52,606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assets</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1,201,884</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9"/>
              </w:rPr>
              <w:t>1,104,257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855,014</w:t>
            </w:r>
          </w:p>
        </w:tc>
        <w:tc>
          <w:tcPr>
            <w:tcW w:w="38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773,519</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621,066</w:t>
            </w:r>
          </w:p>
        </w:tc>
        <w:tc>
          <w:tcPr>
            <w:tcW w:w="0" w:type="dxa"/>
            <w:vAlign w:val="bottom"/>
          </w:tcPr>
          <w:p>
            <w:pPr>
              <w:spacing w:after="0"/>
              <w:rPr>
                <w:sz w:val="1"/>
                <w:szCs w:val="1"/>
                <w:color w:val="auto"/>
              </w:rPr>
            </w:pPr>
          </w:p>
        </w:tc>
      </w:tr>
      <w:tr>
        <w:trPr>
          <w:trHeight w:val="20"/>
        </w:trPr>
        <w:tc>
          <w:tcPr>
            <w:tcW w:w="4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360" w:type="dxa"/>
            <w:vAlign w:val="bottom"/>
            <w:gridSpan w:val="2"/>
          </w:tcPr>
          <w:p>
            <w:pPr>
              <w:spacing w:after="0"/>
              <w:rPr>
                <w:sz w:val="20"/>
                <w:szCs w:val="20"/>
                <w:color w:val="auto"/>
              </w:rPr>
            </w:pPr>
            <w:r>
              <w:rPr>
                <w:rFonts w:ascii="Arial" w:cs="Arial" w:eastAsia="Arial" w:hAnsi="Arial"/>
                <w:sz w:val="18"/>
                <w:szCs w:val="18"/>
                <w:color w:val="auto"/>
              </w:rPr>
              <w:t>Accruing loans past due 90 days or more(a)</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155,125</w:t>
            </w:r>
          </w:p>
        </w:tc>
        <w:tc>
          <w:tcPr>
            <w:tcW w:w="100" w:type="dxa"/>
            <w:vAlign w:val="bottom"/>
          </w:tcPr>
          <w:p>
            <w:pPr>
              <w:spacing w:after="0"/>
              <w:rPr>
                <w:sz w:val="24"/>
                <w:szCs w:val="24"/>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142,842</w:t>
            </w:r>
          </w:p>
        </w:tc>
        <w:tc>
          <w:tcPr>
            <w:tcW w:w="700" w:type="dxa"/>
            <w:vAlign w:val="bottom"/>
          </w:tcPr>
          <w:p>
            <w:pPr>
              <w:jc w:val="right"/>
              <w:spacing w:after="0"/>
              <w:rPr>
                <w:sz w:val="20"/>
                <w:szCs w:val="20"/>
                <w:color w:val="auto"/>
              </w:rPr>
            </w:pPr>
            <w:r>
              <w:rPr>
                <w:rFonts w:ascii="Arial" w:cs="Arial" w:eastAsia="Arial" w:hAnsi="Arial"/>
                <w:sz w:val="18"/>
                <w:szCs w:val="18"/>
                <w:color w:val="auto"/>
              </w:rPr>
              <w:t>158,991</w:t>
            </w:r>
          </w:p>
        </w:tc>
        <w:tc>
          <w:tcPr>
            <w:tcW w:w="380" w:type="dxa"/>
            <w:vAlign w:val="bottom"/>
          </w:tcPr>
          <w:p>
            <w:pPr>
              <w:spacing w:after="0"/>
              <w:rPr>
                <w:sz w:val="24"/>
                <w:szCs w:val="24"/>
                <w:color w:val="auto"/>
              </w:rPr>
            </w:pPr>
          </w:p>
        </w:tc>
        <w:tc>
          <w:tcPr>
            <w:tcW w:w="1700" w:type="dxa"/>
            <w:vAlign w:val="bottom"/>
            <w:gridSpan w:val="3"/>
          </w:tcPr>
          <w:p>
            <w:pPr>
              <w:jc w:val="right"/>
              <w:ind w:right="700"/>
              <w:spacing w:after="0"/>
              <w:rPr>
                <w:sz w:val="20"/>
                <w:szCs w:val="20"/>
                <w:color w:val="auto"/>
              </w:rPr>
            </w:pPr>
            <w:r>
              <w:rPr>
                <w:rFonts w:ascii="Arial" w:cs="Arial" w:eastAsia="Arial" w:hAnsi="Arial"/>
                <w:sz w:val="18"/>
                <w:szCs w:val="18"/>
                <w:color w:val="auto"/>
              </w:rPr>
              <w:t>96,206</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93,894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Renegotiated loans</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170,950</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130,932</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91,575</w:t>
            </w:r>
          </w:p>
        </w:tc>
        <w:tc>
          <w:tcPr>
            <w:tcW w:w="17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21,804</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18,905</w:t>
            </w: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8"/>
                <w:szCs w:val="18"/>
                <w:color w:val="auto"/>
              </w:rPr>
              <w:t>Purchased impaired loans(b):</w:t>
            </w: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36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 customer balance</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170,400</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Carrying amount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97,730</w:t>
            </w:r>
          </w:p>
        </w:tc>
        <w:tc>
          <w:tcPr>
            <w:tcW w:w="10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w w:val="97"/>
              </w:rPr>
              <w:t>Government guaranteed loans included in totals above: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Nonaccrual loans</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38,075</w:t>
            </w:r>
          </w:p>
        </w:tc>
        <w:tc>
          <w:tcPr>
            <w:tcW w:w="10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38,460</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32,506</w:t>
            </w:r>
          </w:p>
        </w:tc>
        <w:tc>
          <w:tcPr>
            <w:tcW w:w="1700" w:type="dxa"/>
            <w:vAlign w:val="bottom"/>
            <w:gridSpan w:val="3"/>
          </w:tcPr>
          <w:p>
            <w:pPr>
              <w:jc w:val="right"/>
              <w:ind w:right="700"/>
              <w:spacing w:after="0"/>
              <w:rPr>
                <w:sz w:val="20"/>
                <w:szCs w:val="20"/>
                <w:color w:val="auto"/>
              </w:rPr>
            </w:pPr>
            <w:r>
              <w:rPr>
                <w:rFonts w:ascii="Arial" w:cs="Arial" w:eastAsia="Arial" w:hAnsi="Arial"/>
                <w:sz w:val="18"/>
                <w:szCs w:val="18"/>
                <w:color w:val="auto"/>
              </w:rPr>
              <w:t>30,075</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24,658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Accruing loans past due 90 days or more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143,886</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127,237</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114,183</w:t>
            </w:r>
          </w:p>
        </w:tc>
        <w:tc>
          <w:tcPr>
            <w:tcW w:w="17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89,945</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89,163</w:t>
            </w: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8"/>
                <w:szCs w:val="18"/>
                <w:color w:val="auto"/>
              </w:rPr>
              <w:t>Nonaccrual loans to total loans and leases, net of</w:t>
            </w: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36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unearned discount</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0"/>
                <w:szCs w:val="20"/>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2.05%</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1.54%</w:t>
            </w:r>
          </w:p>
        </w:tc>
        <w:tc>
          <w:tcPr>
            <w:tcW w:w="1700" w:type="dxa"/>
            <w:vAlign w:val="bottom"/>
            <w:gridSpan w:val="3"/>
          </w:tcPr>
          <w:p>
            <w:pPr>
              <w:jc w:val="right"/>
              <w:ind w:right="540"/>
              <w:spacing w:after="0"/>
              <w:rPr>
                <w:sz w:val="20"/>
                <w:szCs w:val="20"/>
                <w:color w:val="auto"/>
              </w:rPr>
            </w:pPr>
            <w:r>
              <w:rPr>
                <w:rFonts w:ascii="Arial" w:cs="Arial" w:eastAsia="Arial" w:hAnsi="Arial"/>
                <w:sz w:val="18"/>
                <w:szCs w:val="18"/>
                <w:color w:val="auto"/>
              </w:rPr>
              <w:t>1.41%</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Nonperforming assets to total net loans and leases and</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real estate and other foreclosed assets</w:t>
            </w: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2.25%</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1.74%</w:t>
            </w:r>
          </w:p>
        </w:tc>
        <w:tc>
          <w:tcPr>
            <w:tcW w:w="17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1.59%</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tcPr>
          <w:p>
            <w:pPr>
              <w:spacing w:after="0" w:line="201" w:lineRule="exact"/>
              <w:rPr>
                <w:sz w:val="20"/>
                <w:szCs w:val="20"/>
                <w:color w:val="auto"/>
              </w:rPr>
            </w:pPr>
            <w:r>
              <w:rPr>
                <w:rFonts w:ascii="Arial" w:cs="Arial" w:eastAsia="Arial" w:hAnsi="Arial"/>
                <w:sz w:val="18"/>
                <w:szCs w:val="18"/>
                <w:color w:val="auto"/>
                <w:w w:val="99"/>
              </w:rPr>
              <w:t>Accruing loans past due 90 days or more to total loans</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and leases, net of unearned discount</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.29%</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.32%</w:t>
            </w:r>
          </w:p>
        </w:tc>
        <w:tc>
          <w:tcPr>
            <w:tcW w:w="1700" w:type="dxa"/>
            <w:vAlign w:val="bottom"/>
            <w:gridSpan w:val="3"/>
          </w:tcPr>
          <w:p>
            <w:pPr>
              <w:jc w:val="right"/>
              <w:ind w:right="540"/>
              <w:spacing w:after="0"/>
              <w:rPr>
                <w:sz w:val="20"/>
                <w:szCs w:val="20"/>
                <w:color w:val="auto"/>
              </w:rPr>
            </w:pPr>
            <w:r>
              <w:rPr>
                <w:rFonts w:ascii="Arial" w:cs="Arial" w:eastAsia="Arial" w:hAnsi="Arial"/>
                <w:sz w:val="18"/>
                <w:szCs w:val="18"/>
                <w:color w:val="auto"/>
              </w:rPr>
              <w:t>.20%</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Predominantly residential mortgage loans.</w:t>
      </w:r>
    </w:p>
    <w:p>
      <w:pPr>
        <w:spacing w:after="0" w:line="76" w:lineRule="exact"/>
        <w:rPr>
          <w:rFonts w:ascii="Arial" w:cs="Arial" w:eastAsia="Arial" w:hAnsi="Arial"/>
          <w:sz w:val="18"/>
          <w:szCs w:val="18"/>
          <w:i w:val="1"/>
          <w:iCs w:val="1"/>
          <w:color w:val="auto"/>
        </w:rPr>
      </w:pPr>
    </w:p>
    <w:p>
      <w:pPr>
        <w:ind w:left="460" w:hanging="452"/>
        <w:spacing w:after="0"/>
        <w:tabs>
          <w:tab w:leader="none" w:pos="4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Held for investment and accounted for in accordance with SOP 03-3.</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5"/>
        <w:spacing w:after="0" w:line="284" w:lineRule="auto"/>
        <w:rPr>
          <w:sz w:val="20"/>
          <w:szCs w:val="20"/>
          <w:color w:val="auto"/>
        </w:rPr>
      </w:pPr>
      <w:r>
        <w:rPr>
          <w:rFonts w:ascii="Arial" w:cs="Arial" w:eastAsia="Arial" w:hAnsi="Arial"/>
          <w:sz w:val="16"/>
          <w:szCs w:val="16"/>
          <w:color w:val="auto"/>
        </w:rPr>
        <w:t>Management regularly assesses the adequacy of the allowance for credit losses by performing ongoing evaluations of the loan and lease portfolio, including such factors as the differing economic risks associated with each loan category, the financial condition of specific borrowers, the economic environment in which borrowers operate, the level of delinquent loans, the value of any collateral and, where applicable, the existence of any guarantees or indemnifications. Management evaluated the impact of changes in interest rates and overall economic conditions on the ability of borrowers to meet repayment obligations when quantifying the Company’s exposure to credit losses and assessing the adequacy of the Company’s allowance for such losses as of each reporting date. Factors also considered by management when performing its assessment, in addition to general economic conditions and the other factors described above, included, but were not limited to: (i) the impact of declining residential real estate values in the Company’s portfolio of loans to residential real estate builders and developers; (ii) the repayment performance associated with the Company’s portfolio of Alt-A residential mortgage loans;</w:t>
      </w:r>
    </w:p>
    <w:p>
      <w:pPr>
        <w:spacing w:after="0" w:line="1" w:lineRule="exact"/>
        <w:rPr>
          <w:sz w:val="20"/>
          <w:szCs w:val="20"/>
          <w:color w:val="auto"/>
        </w:rPr>
      </w:pPr>
    </w:p>
    <w:p>
      <w:pPr>
        <w:ind w:firstLine="8"/>
        <w:spacing w:after="0" w:line="252" w:lineRule="auto"/>
        <w:tabs>
          <w:tab w:leader="none" w:pos="3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concentration of commercial real estate loans in the Company’s loan portfolio, particularly the large concentration of loans secured by properties in New York State, in general, and in the New York City metropolitan area, in particular; (iv) the amount of commercial and industrial loans to businesses in areas of New York State outside of the New York City metropolitan area and in central Pennsylvania that have historically experienced less economic growth and vitality than the vast majority of other regions of the country; and (v) the size of the Company’s portfolio of loans to individual consumers, which historically have experienced higher net charge-offs as a percentage of loans outstanding than other loan types. The level of the allowance is adjusted based on the results of management’s analysis.</w:t>
      </w:r>
    </w:p>
    <w:p>
      <w:pPr>
        <w:spacing w:after="0" w:line="86"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color w:val="auto"/>
        </w:rPr>
        <w:t>Management cautiously and conservatively evaluated the allowance for credit losses as of June 30, 2009 in light of (i) lower residential real estate values and higher levels of delinquencies of residential real estate loans; (ii) the declining pace of economic growth in many of the markets served by the Company;</w:t>
      </w:r>
    </w:p>
    <w:p>
      <w:pPr>
        <w:ind w:firstLine="8"/>
        <w:spacing w:after="0" w:line="266" w:lineRule="auto"/>
        <w:tabs>
          <w:tab w:leader="none" w:pos="315"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continuing weakness in industrial employment in upstate New York and central Pennsylvania; (iv) the significant subjectivity involved in commercial real estate valuations for properties located in areas with stagnant or low growth economies; and (v) the amount of loan growth experienced by the Company. Considerable concerns exist about the economic downturn in both national and international markets; the level and volatility of energy prices; a weakened housing market; the troubled state of financial and credit markets; Federal Reserve positioning of monetary policy; rising private sector layoffs and unemployment, which has caused consumer spending to slow; the underlying impact on businesses’ operations and abilities to repay loans as consumer spending slowed; continued stagnant population growth in the upstate New York and central Pennsylvania regions; and reduced domestic automobile sales. The U.S. economy has been in recession since late-2007, however, as compared with other areas of the country, the impact of deteriorating national market conditions was not as pronounced on borrowers in the traditionally slower growth or stagnant regions of upstate New York and central Pennsylvania. Approximately two-thirds of the Company’s loans are to customers in New York State and Pennsylvania, including a large portion to customers in upstate New York and central Pennsylvania. Home prices in upstate New York and central Pennsylvania increased in 2008, in sharp contrast to steep declines in values in other regions of the country. Therefore, despite the conditions, as previously described, the most severe credit issues experienced by the Company have been centered around residential real estate, including loans to builders and developers of residential real estate in areas other than New York State and Pennsylvania. In response, throughout 2008 and 2009 the Company has conducted detailed reviews of all loans to residential real estate builders and developers that exceeded $2.5 million. Those credit reviews often resulted in adjustments to loan grades and, if appropriate, commencement of intensified collection efforts, including foreclosure. With regard to residential real estate loans, with special emphasis on the portfolio of Alt-A mortgage loans, the Company</w:t>
      </w:r>
    </w:p>
    <w:p>
      <w:pPr>
        <w:spacing w:after="0" w:line="165" w:lineRule="exact"/>
        <w:rPr>
          <w:rFonts w:ascii="Arial" w:cs="Arial" w:eastAsia="Arial" w:hAnsi="Arial"/>
          <w:sz w:val="17"/>
          <w:szCs w:val="17"/>
          <w:color w:val="auto"/>
        </w:rPr>
      </w:pPr>
    </w:p>
    <w:p>
      <w:pPr>
        <w:ind w:left="5620" w:hanging="101"/>
        <w:spacing w:after="0"/>
        <w:tabs>
          <w:tab w:leader="none" w:pos="5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expanded its collections and loan work-out staff and further refined its loss identification and estimation techniques by reference to loan performance and house price depreciation data in specific areas of the country where collateral that was securing the Company’s residential real estate loans was located. During the first two quarters of 2009, the Company has also experienced increases in nonaccrual commercial loans, largely the result of a small number of large relationships.</w:t>
      </w:r>
    </w:p>
    <w:p>
      <w:pPr>
        <w:spacing w:after="0" w:line="79" w:lineRule="exact"/>
        <w:rPr>
          <w:sz w:val="20"/>
          <w:szCs w:val="20"/>
          <w:color w:val="auto"/>
        </w:rPr>
      </w:pPr>
    </w:p>
    <w:p>
      <w:pPr>
        <w:ind w:right="100" w:firstLine="225"/>
        <w:spacing w:after="0" w:line="290" w:lineRule="auto"/>
        <w:rPr>
          <w:sz w:val="20"/>
          <w:szCs w:val="20"/>
          <w:color w:val="auto"/>
        </w:rPr>
      </w:pPr>
      <w:r>
        <w:rPr>
          <w:rFonts w:ascii="Arial" w:cs="Arial" w:eastAsia="Arial" w:hAnsi="Arial"/>
          <w:sz w:val="16"/>
          <w:szCs w:val="16"/>
          <w:color w:val="auto"/>
        </w:rPr>
        <w:t>Factors that influence the Company’s credit loss experience include overall economic conditions affecting businesses and consumers generally, such as those described above, but also residential and commercial real estate valuations, in particular, given the size of the real estate loan portfolios. Reflecting the factors and conditions as described herein, through June 30, 2009 the more significant increases in nonaccrual loans and net charge-offs of real estate-related loans have been in the Company’s portfolios of residential real estate loans, including second lien Alt-A mortgage loans, and commercial real estate loans, including loans to builders and developers of residential real estate.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and general economic conditions affecting consumers.</w:t>
      </w:r>
    </w:p>
    <w:p>
      <w:pPr>
        <w:spacing w:after="0" w:line="58"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Management believes that the allowance for credit losses at June 30, 2009 was adequate to absorb credit losses inherent in the portfolio as of that date. The allowance for credit losses was $855 million, or 1.62% of total loans and leases at June 30, 2009, compared with $774 million or 1.58% a year earlier,</w:t>
      </w:r>
    </w:p>
    <w:p>
      <w:pPr>
        <w:ind w:right="20"/>
        <w:spacing w:after="0" w:line="285" w:lineRule="auto"/>
        <w:rPr>
          <w:sz w:val="20"/>
          <w:szCs w:val="20"/>
          <w:color w:val="auto"/>
        </w:rPr>
      </w:pPr>
      <w:r>
        <w:rPr>
          <w:rFonts w:ascii="Arial" w:cs="Arial" w:eastAsia="Arial" w:hAnsi="Arial"/>
          <w:sz w:val="16"/>
          <w:szCs w:val="16"/>
          <w:color w:val="auto"/>
        </w:rPr>
        <w:t>$788 million or 1.61% at December 31, 2008 and $846 million or 1.73% at March 31, 2009. The decline in the ratio of the allowance to total loans from March 31 to June 30, 2009 reflects the addition of $4.0 billion of loans obtained in the acquisition of Provident that have been recorded at estimated fair value that is based on estimated future cash flows expected to be received on those loans. As a result, and as required by GAAP, there was no carry over of the allowance previously recorded by Provident. The allowance for credit losses at June 30, 2009 as a percentage of the Company’s legacy loans (that is, total loans excluding loans acquired in the Provident transaction on May 23, 2009) was 1.76%. The level of the allowance reflects management’s evaluation of the loan and lease portfolio as described herein. Should the various credit factors considered by management in establishing the allowance for credit losses change and should management’s assessment of losses inherent in the loan portfolio also change, the level of the allowance as a percentage of loans could increase or decrease in future periods. The ratio of the allowance for credit losses to nonaccrual loans was 77% at June 30, 2009, compared with 136% a year earlier, 104% at December 31, 2008 and 84% at March 31, 2009. Given the Company’s general position as a secured lender and its practice of charging off loan balances when collection is deemed doubtful, that ratio and changes in that ratio are generally not an indicative measure of the adequacy of the Company’s allowance for credit losses, nor does management rely upon that ratio in assessing the adequacy of the allowance. The level of the allowance reflects management’s evaluation of the loan and lease portfolio as of each respective date.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Other income totaled $272 million in the second quarter of 2009, little changed from $271 million in the year-earlier quarter, but 17% higher than</w:t>
      </w:r>
    </w:p>
    <w:p>
      <w:pPr>
        <w:spacing w:after="0" w:line="35"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$232 million in the first quarter of 2009. Reflected in such income were net losses on investment securities (including other-than-temporary impairment losses), which totaled to $24 million in the recent quarter, $5 million in</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second quarter of 2008 and $32 million in the first quarter of 2009. Other-than-temporary impairment charges of $25 million were recognized in the recent quarter related to certain of the Company’s privately issued CMOs and CDOs. In the initial 2009 quarter, other-than-temporary impairment losses of $32 million were recorded on certain of the Company’s privately issued CMO holdings, and in the second quarter of 2008, other-than-temporary impairment losses of $6 million were recorded on one privately issued CMO. Excluding gains and losses on bank investment securities (including other-than-temporary impairment losses), other income aggregated $296 million in the second quarter of 2009, compared with $277 million and $264 million in the second quarter of 2008 and first quarter of 2009, respectively. Contributing to the rise in such income from the year-earlier period were significantly higher residential mortgage banking revenues and lower losses relating to M&amp;T’s pro-rata portion of the operating results of Bayview Lending Group LLC (“BLG”). Partially offsetting those positive factors were declines in trust income and fees for providing brokerage services, each largely due to depressed market conditions. As compared with 2009’s first quarter, higher service charges on deposit accounts, trading account and foreign exchange gains, credit-related fees and insurance income were significant contributors to the recent quarter’s higher level of other income.</w:t>
      </w:r>
    </w:p>
    <w:p>
      <w:pPr>
        <w:spacing w:after="0" w:line="70"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Mortgage banking revenues were $53 million in the recent quarter, up 39% from $38 million in the corresponding quarter of 2008, but down 6% from $56 million in the initial quarter of 2009. Mortgage banking revenues are comprised of both residential and commercial mortgage banking activities. The Company’s involvement in commercial mortgage banking activities includes the origination, sales and servicing of loans under the multifamily loan programs of Fannie Mae, the Federal Home Loan Mortgage Corporation (“Freddie Mac”) and the U.S. Department of Housing and Urban Development.</w:t>
      </w:r>
    </w:p>
    <w:p>
      <w:pPr>
        <w:spacing w:after="0" w:line="63" w:lineRule="exact"/>
        <w:rPr>
          <w:sz w:val="20"/>
          <w:szCs w:val="20"/>
          <w:color w:val="auto"/>
        </w:rPr>
      </w:pPr>
    </w:p>
    <w:p>
      <w:pPr>
        <w:ind w:right="40" w:firstLine="225"/>
        <w:spacing w:after="0" w:line="291" w:lineRule="auto"/>
        <w:rPr>
          <w:sz w:val="20"/>
          <w:szCs w:val="20"/>
          <w:color w:val="auto"/>
        </w:rPr>
      </w:pPr>
      <w:r>
        <w:rPr>
          <w:rFonts w:ascii="Arial" w:cs="Arial" w:eastAsia="Arial" w:hAnsi="Arial"/>
          <w:sz w:val="16"/>
          <w:szCs w:val="16"/>
          <w:color w:val="auto"/>
        </w:rPr>
        <w:t>Residential mortgage banking revenues, consisting of realized gains from sales of residential mortgage loans and loan servicing rights, unrealized gains and losses on residential mortgage loans held for sale and related commitments, residential mortgage loan servicing fees, and other residential mortgage loan-related fees and income, were $42 million in the recent quarter, compared with $27 million in the year-earlier period and $48 million in the first quarter of 2009. The significantly higher revenues in the two most recent quarters as compared with the second quarter of 2008 were attributable to sharply higher origination activity, due predominantly to refinancing of loans by consumers in response to relatively low interest rates, and wider margins associated with that activity. The decline in residential mortgage banking revenues in the recent quarter as compared with the first quarter of 2009 was due, in part, to the impact of a higher interest rate environment for residential mortgage loans in the latter part of the recent quarter.</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Residential mortgage loans originated for sale to other investors were approximately $1.8 billion in the recent quarter, compared with $1.2 billion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$1.7 billion during the three-month periods ended June 30, 2008 and March 31, 2009, respectively. Residential mortgage loans sold to investors totaled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$1.9 billion in 2009’s second quarter, compared with $1.3 billion in each of the second quarter of 2008 and the first quarter of 2009. Realized gains from sales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residential mortgage loans and loan servicing rights and recognized net unrealized gains and losses attributable to residential mortgage loans held for sale,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commitments to originate loans for sale and commitments to sell loans totaled to a gain of $20 million in the recent quarter, compared with gains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$6 million in the second quarter of 2008 and $27 million in the first quarter of 2009. Revenues from servicing residential mortgage loans for others were</w:t>
      </w:r>
    </w:p>
    <w:p>
      <w:pPr>
        <w:spacing w:after="0" w:line="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$21 million in the recent quarter, compared with $20 million in each of the quarters ended June 30, 2008 and March 31, 2009. Included in servicing revenues were amounts related to purchased servicing rights associated with small balance commercial mortgage loans which totaled $8 million in the recent quarter, compared with $7 million in each of the second quarter of 2008 and the initial 2009 quarter.</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225"/>
        <w:spacing w:after="0" w:line="269" w:lineRule="auto"/>
        <w:rPr>
          <w:sz w:val="20"/>
          <w:szCs w:val="20"/>
          <w:color w:val="auto"/>
        </w:rPr>
      </w:pPr>
      <w:r>
        <w:rPr>
          <w:rFonts w:ascii="Arial" w:cs="Arial" w:eastAsia="Arial" w:hAnsi="Arial"/>
          <w:sz w:val="17"/>
          <w:szCs w:val="17"/>
          <w:color w:val="auto"/>
        </w:rPr>
        <w:t>Residential mortgage loans serviced for others totaled $21.2 billion at June 30, 2009, compared with $21.0 billion at each of June 30, 2008 and March 31, 2009, including the small balance commercial mortgage loans noted above of approximately $5.8 billion at each of June 30, 2009 and 2008, and $5.9 billion at March 31, 2009. Capitalized residential mortgage servicing assets, net of a valuation allowance for impairment, were $148 million at June 30, 2009, compared with $173 million a year earlier, $139 million at March 31, 2009 and $143 million at December 31, 2008. The valuation allowance for possible impairment of residential mortgage servicing assets totaled $4 million, $2 million, $17 million and $22 million at June 30, 2009, June 30, 2008, March 31, 2009 and December 31, 2008, respectively. Included in capitalized residential mortgage servicing assets were $49 million at June 30, 2009, $64 million at June 30, 2008, $53 million at March 31, 2009 and $58 million at December 31, 2008 of purchased servicing rights associated with the small balance commercial mortgage loans noted above. Servicing rights for the small balance commercial mortgage loans were purchased from BLG or its affiliates. In addition, at June 30, 2009, capitalized servicing rights included $22 million for servicing rights for $4.3 billion of residential real estate loans that were purchased from affiliates of BLG. Additional information about the Company’s relationship with BLG and its affiliates is provided in note 13 of Notes to Financial Statements.</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Loans held for sale that are secured by residential real estate totaled $720 million at June 30, 2009, $612 million at June 30, 2008 and $352 million at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December 31, 2008. Commitments to sell loans and commitments to originate loans for sale at pre-determined rates were $1.3 billion and $910 million,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respectively, at June 30, 2009, $671 million and $477 million, respectively, at June 30, 2008, and $898 million and $871 million, respectively, at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2008. Net unrealized gains on residential mortgage loans held for sale, commitments to sell loans, and commitments to originate loans for sale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were $21 million at June 30, 2009 and $6 million at December 31, 2008, respectively, compared with net unrealized losses of $5 million at June 30, 2008.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Changes in such net unrealized losses are recorded in mortgage banking revenues and resulted in net decreases in revenues of $1 million and $3 million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recent quarter and in the second quarter of 2008, respectively, compared with a net increase of $15 million in the first quarter of 2009.</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Commercial mortgage banking revenues were $11 million in each of the second quarters of 2009 and 2008, respectively, and $8 million in the first quarter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2009. Included in such amounts were revenues from loan origination and sales activities of $8 million in each of the second quarters of 2009 and 2008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 million in the initial 2009 quarter. Commercial mortgage loan servicing revenues were $3 million in each of the second quarters of 2009 and 2008 and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first quarter of 2009. Capitalized commercial mortgage servicing assets totaled $28 million and $23 million at June 30, 2009 and 2008, respectively,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$26 million at December 31, 2008. Commercial mortgage loans serviced for other investors totaled $6.9 billion, $5.9 billion and $6.4 billion at June 30, 2009,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30, 2008 and December 31, 2008, respectively, and included $1.2 billion, $1.1 billion and $1.2 billion, respectively, of loan balances for which investors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had recourse to the Company if such balances are ultimately uncollectible. Commitments to sell commercial mortgage loans and commitments to originate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commercial mortgage loans for sale were $156 million and $75 million, respectively, at June 30, 2009, $109 million and $68 million, respectively, at June 30,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2008 and $408 million and $252 million, respectively, at December 31, 2008. Commercial mortgage loans held for sale at June 30, 2009 and 2008 were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$81 million and $41 million, respectively, and $156 million at December 31, 2008.</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Service charges on deposit accounts aggregated $112 million in the second quarter of 2009, compared with $110 million in the year-earlier quarter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$101 million in the first quarter of 2009. Reflected in the recent quarter’s total were $6 million of deposit service charges from the Provident transaction.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remaining increase from the immediately preceding</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quarter related to consumer deposit service charges and was due, in part, to lower seasonal volume levels typically experienced in the first quarter of each year. Excluding the Provident impact, the decline from the year-earlier quarter reflects lower consumer service charges related to overdraft fees. Trust income totaled $32 million in the second quarter of 2009, compared with $40 million and $35 million in last year’s second quarter and the first quarter of 2009, respectively. The declines in trust income in the two most recent quarters as compared with the second quarter of 2008 were largely attributable to lower fees for providing services that are based on market values of assets under administration. Brokerage services income, which includes revenues from the sale of mutual funds and annuities and securities brokerage fees, totaled $13 million and $17 million in the second quarters of 2009 and 2008, respectively, compared with $15 million in the first quarter of 2009. Trading account and foreign exchange activity resulted in gains of $8 million and $7 million during the second quarters of 2009 and 2008, respectively, and $1 million in the initial 2009 quarter. The higher revenues in the second quarters of 2009 and 2008 as compared with the initial 2009 quarter were largely attributable to improved investment performance of assets held in conjunction with deferred compensation arrangements.</w:t>
      </w:r>
    </w:p>
    <w:p>
      <w:pPr>
        <w:spacing w:after="0" w:line="70" w:lineRule="exact"/>
        <w:rPr>
          <w:sz w:val="20"/>
          <w:szCs w:val="20"/>
          <w:color w:val="auto"/>
        </w:rPr>
      </w:pPr>
    </w:p>
    <w:p>
      <w:pPr>
        <w:ind w:right="20" w:firstLine="225"/>
        <w:spacing w:after="0" w:line="268" w:lineRule="auto"/>
        <w:rPr>
          <w:sz w:val="20"/>
          <w:szCs w:val="20"/>
          <w:color w:val="auto"/>
        </w:rPr>
      </w:pPr>
      <w:r>
        <w:rPr>
          <w:rFonts w:ascii="Arial" w:cs="Arial" w:eastAsia="Arial" w:hAnsi="Arial"/>
          <w:sz w:val="17"/>
          <w:szCs w:val="17"/>
          <w:color w:val="auto"/>
        </w:rPr>
        <w:t>Including other-than-temporary impairment losses, during the second quarter of 2009, the Company recognized losses on investment securities of $24 million, compared with losses of $5 million in the year-earlier quarter and losses of $32 million in the first quarter of 2009. Other-than-temporary impairment charges of $25 million, $6 million and $32 million were recorded in the quarters ended June 30, 2009, June 30, 2008 and March 31, 2009, respectively. Each reporting period, the Company reviews its investment securities for other-than-temporary impairment. For equity securities, such as the Company’s investment in the preferred stock of Fannie Mae and Freddie Mac, the Company considers various factors to determine if the decline in value is other than temporary, including the duration and extent of the decline in value, the factors contributing to the decline in fair value, including the financial condition of the issuer as well as the conditions of the industry in which it operates, and the prospects for a recovery in fair value of the equity security. For debt securities, the Company analyzes the creditworthiness of the issuer or reviews the credit performance of the underlying collateral supporting the bond. For debt securities backed by pools of loans, such as privately issued mortgage-backed securities, the Company estimates the cash flows of the underlying loan collateral using forward-looking assumptions of default rates, loss severities and prepayment speeds. Estimated collateral cash flows are then utilized to estimate bond-specific cash flows to determine the ultimate collectibility of the bond. If the present value of the cash flows indicates that the Company should not expect to recover the entire amortized cost basis of a bond or if the Company intends to sell the bond or it more likely than not will be required to sell the bond before recovery of its amortized cost basis, an other-than-temporary impairment loss is recognized. If an other-than-temporary impairment loss is deemed to have occurred, the investment security’s cost basis is adjusted, as appropriate for the circumstances, by the amount of loss being recognized in the consolidated statement of income.</w:t>
      </w:r>
    </w:p>
    <w:p>
      <w:pPr>
        <w:spacing w:after="0" w:line="75"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M&amp;T’s pro-rata share of the operating results of BLG in the recent quarter was a loss of $207 thousand, compared with losses of $13 million in the second quarter of 2008 and $4 million in the first 2009 quarter. The operating losses of BLG in the respective quarters resulted from the disruptions in the commercial mortgage-backed securities market and reflected losses from loan securitization and sales activities, lower values ascribed to loans held for sale, and costs associated with severance and certain lease terminations incurred by BLG as it downsized its operations. Despite the credit and liquidity disruptions that began in 2007, BLG had been successfully securitizing and selling significant volumes of small-balance commercial real estate loans until the first quarter of 2008. In response to the illiquidity in the marketplace since that time, BLG reduced its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originations activities, scaled back its workforce and made use of its contingent liquidity sources. In addition to BLG’s mortgage origination and sales activities, BLG also is entitled to cash flows from mortgage assets that it owns or that are owned by its affiliates and from asset management and other services provided by its affiliates. Accordingly, the Company believes that BLG is capable of realizing positive cash flows that could be available for distribution to its owners, including M&amp;T, despite a lack of positive GAAP-earnings. Nevertheless, if BLG is not able to realize sufficient cash flows for the benefit of M&amp;T, the Company may be required to recognize an other-than-temporary impairment charge in a future period for some portion of the $267 million book value of its investment in BLG.</w:t>
      </w:r>
    </w:p>
    <w:p>
      <w:pPr>
        <w:spacing w:after="0" w:line="85"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Other revenues from operations totaled $77 million in each of the second quarters of 2009 and 2008, compared with $59 million in the first quarter of 2009. Included in other revenues from operations were the following significant components. Letter of credit and other credit-related fees totaled $28 million and $25 million in the second quarter of 2009 and 2008, respectively, and $21 million in the first quarter of 2009. The higher fees recognized during the recent quarter as compared with the initial quarter of 2009 reflect increased loan syndication fees. Tax-exempt income from bank owned life insurance, which includes increases in the cash surrender value of life insurance policies and benefits received, totaled $13 million in the second quarter of 2009, $11 million in the year-earlier quarter and $10 million in the first quarter of 2009. Revenues from merchant discount and credit card fees were $10 million in each of the three-month periods ended June 30, 2009, June 30, 2008 and March 31, 2009. Insurance-related sales commissions and other revenues totaled $12 million in the second quarter of 2009 compared with $8 million in the similar 2008 quarter and $6 million in the first quarter of 2009. The rise in such fees in 2009’s second quarter as compared with the first three months of 2009 resulted from higher reinsurance premiums earned. As compared with the second quarter of 2008, gains realized on sales of leased equipment declined in the recent quarter, partially offsetting the noted increases to other revenues from operations.</w:t>
      </w:r>
    </w:p>
    <w:p>
      <w:pPr>
        <w:spacing w:after="0" w:line="61"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color w:val="auto"/>
        </w:rPr>
        <w:t>Other income declined 14% to $504 million in the first six months of 2009 from $584 million in the first half of 2008. That decline was predominantly the result of gains and losses on bank investment securities (including other-than-temporary impairment losses), which totaled to a loss of $56 million in the first half of 2009, compared with a net gain of $28 million in the first half of 2008. Excluding gains and losses from bank investment securities (including other-than-temporary impairment losses), other income aggregated $560 million and $556 million for the six-month periods ended June 30, 2009 and 2008, respectively. Increases in mortgage banking revenues and lower losses from M&amp;T’s investment in BLG were largely offset by declines in revenues from providing trust, loan syndication and brokerage services, as well as lower gains realized on sales of leased equipment in the recent quarter.</w:t>
      </w:r>
    </w:p>
    <w:p>
      <w:pPr>
        <w:spacing w:after="0" w:line="57" w:lineRule="exact"/>
        <w:rPr>
          <w:sz w:val="20"/>
          <w:szCs w:val="20"/>
          <w:color w:val="auto"/>
        </w:rPr>
      </w:pPr>
    </w:p>
    <w:p>
      <w:pPr>
        <w:ind w:right="160" w:firstLine="225"/>
        <w:spacing w:after="0" w:line="255" w:lineRule="auto"/>
        <w:rPr>
          <w:sz w:val="20"/>
          <w:szCs w:val="20"/>
          <w:color w:val="auto"/>
        </w:rPr>
      </w:pPr>
      <w:r>
        <w:rPr>
          <w:rFonts w:ascii="Arial" w:cs="Arial" w:eastAsia="Arial" w:hAnsi="Arial"/>
          <w:sz w:val="18"/>
          <w:szCs w:val="18"/>
          <w:color w:val="auto"/>
        </w:rPr>
        <w:t>Mortgage banking revenues were $109 million for the six-month period ended June 30, 2009, 40% above $78 million in the year-earlier period. Residential mortgage banking revenues increased to $90 million in the first two quarters of 2009 from $60 million in the first half of 2008. Residential mortgage loans originated for sale to other investors during the first six months of 2009 totaled $3.5 billion, compared with $2.4 billion in the similar 2008 period. Realized gains from sales of residential mortgage loans and loan servicing rights and recognized unrealized gains and losses on residential mortgage loans held for sale, commitments to originate loans for sale and commitments to sell loans totaled to gains of $47 million and $17 million during the six-month periods ended June 30, 2009 and 2008, respectively.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225"/>
        <w:spacing w:after="0" w:line="291" w:lineRule="auto"/>
        <w:rPr>
          <w:sz w:val="20"/>
          <w:szCs w:val="20"/>
          <w:color w:val="auto"/>
        </w:rPr>
      </w:pPr>
      <w:r>
        <w:rPr>
          <w:rFonts w:ascii="Arial" w:cs="Arial" w:eastAsia="Arial" w:hAnsi="Arial"/>
          <w:sz w:val="16"/>
          <w:szCs w:val="16"/>
          <w:color w:val="auto"/>
        </w:rPr>
        <w:t>Revenues from servicing residential mortgage loans for others were $41 million and $40 million for the first half of 2009 and 2008, respectively. Included in such amounts were revenues related to purchased servicing rights associated with the previously noted small balance commercial mortgage loans of</w:t>
      </w:r>
    </w:p>
    <w:p>
      <w:pPr>
        <w:ind w:right="140"/>
        <w:spacing w:after="0" w:line="261" w:lineRule="auto"/>
        <w:rPr>
          <w:sz w:val="20"/>
          <w:szCs w:val="20"/>
          <w:color w:val="auto"/>
        </w:rPr>
      </w:pPr>
      <w:r>
        <w:rPr>
          <w:rFonts w:ascii="Arial" w:cs="Arial" w:eastAsia="Arial" w:hAnsi="Arial"/>
          <w:sz w:val="18"/>
          <w:szCs w:val="18"/>
          <w:color w:val="auto"/>
        </w:rPr>
        <w:t>$15 million and $14 million for the first six months of 2009 and 2008, respectively. Commercial mortgage banking revenues totaled $19 million during each of the first six months of 2009 and 2008.</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Service charges on deposit accounts totaled $214 million during each of the six-month periods ended June 30, 2009 and 2008. Trust income decreased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17% to $67 million from $81 million a year earlier, and brokerage services income declined 12% to $29 million during the first six months of 2009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$33 million in the similar 2008 period. The declines in trust and brokerage services income were largely attributable to lower fees for providing services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tied to the performance of bond and equity markets. Trading account and foreign exchange activity resulted in gains of $9 million and $11 million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six-month periods ended June 30, 2009 and 2008, respectively. M&amp;T’s investment in BLG resulted in losses of $4 million and $14 million for the six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June 30, 2009 and 2008, respectively. Investment securities gains and losses totaled to a loss of $56 million for the first half of 2009, compared with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gains of $28 million for the six-month period ended June 30, 2008. Included in those amounts were other-than-temporary impairment losses of $57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$6 million during the first two quarters of 2009 and 2008, respectively. During the first six months of 2008, a $33 million gain was recognized from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mandatory redemption of common shares of Visa. Other revenues from operations were $137 million in the first six months of 2009 and $153 million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similar 2008 period. Included in other revenues from operations during the six-month periods ended June 30, 2009 and 2008 were letter of credit and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credit-related fees of $49 million and $54 million, respectively, income from bank owned life insurance of $23 million in each period, merchant discount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 card fees of $20 million and $19 million, respectively, and insurance-related sales commissions and other revenues of $18 million in each respective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 Also contributing to the decline in other revenues from operations in the first six months of 2009 as compared with the first half of 2008 were lower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gains realized from sales of leased equipment.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w:t>
      </w:r>
    </w:p>
    <w:p>
      <w:pPr>
        <w:spacing w:after="0" w:line="121"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Other expense totaled $564 million in the second quarter of 2009, up 34% from $420 million in the year-earlier quarter and 29% above $438 million in the initial quarter of 2009. Included in the amounts noted above are expenses considered by management to be “nonoperating” in nature consisting of amortization of core deposit and other intangible assets of $15 million in the two most recent quarters, and $17 million in the second quarter of 2008, and merger-related expenses of $66 million and $2 million in the three-month periods ended June 30, 2009 and March 31, 2009, respectively. There were no merger-related expenses in the second quarter of 2008. Exclusive of these nonoperating expenses, noninterest operating expenses totaled $482 million in the recent quarter, compared with $403 million in the year-earlier quarter and $421 million in the first quarter of 2009. The major factor in the higher level of operating expenses in the recent quarter as compared with the second quarter of 2008 and the first quarter of 2009 was increased deposit insurance costs, including the special assessment levied on financial institutions by the FDIC. Also contributing to the higher level of operating expenses was the impact of the operations acquired from Provident and increased expenses related to the foreclosure process for residential real estate properties.</w:t>
      </w:r>
    </w:p>
    <w:p>
      <w:pPr>
        <w:spacing w:after="0" w:line="59" w:lineRule="exact"/>
        <w:rPr>
          <w:sz w:val="20"/>
          <w:szCs w:val="20"/>
          <w:color w:val="auto"/>
        </w:rPr>
      </w:pPr>
    </w:p>
    <w:p>
      <w:pPr>
        <w:ind w:right="80" w:firstLine="225"/>
        <w:spacing w:after="0" w:line="308" w:lineRule="auto"/>
        <w:rPr>
          <w:sz w:val="20"/>
          <w:szCs w:val="20"/>
          <w:color w:val="auto"/>
        </w:rPr>
      </w:pPr>
      <w:r>
        <w:rPr>
          <w:rFonts w:ascii="Arial" w:cs="Arial" w:eastAsia="Arial" w:hAnsi="Arial"/>
          <w:sz w:val="17"/>
          <w:szCs w:val="17"/>
          <w:color w:val="auto"/>
        </w:rPr>
        <w:t>Other expense for the first two quarters of 2009 aggregated $1.0 billion, up 19% from $845 million in the corresponding period of 2008. Included in those amounts are expenses considered to be “nonoperating” in nature consisting of amortization of core deposit and other intangible assets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of $31 million and $35 million in the first six months of 2009 and 2008, respectively, and merger-related expenses of $69 million and $4 million in those respective periods. Exclusive of these nonoperating expenses, noninterest operating expenses for the six-month period ended June 30, 2009 increased 12% to $903 million from $807 million in the similar 2008 period. The most significant factor for that increase was higher deposit insurance costs in 2009. Also contributing to the increase were costs associated with the acquired operations of Provident and higher foreclosure-related costs. Table 2 provides a reconciliation of other expense to noninterest operating expense.</w:t>
      </w:r>
    </w:p>
    <w:p>
      <w:pPr>
        <w:spacing w:after="0" w:line="80" w:lineRule="exact"/>
        <w:rPr>
          <w:sz w:val="20"/>
          <w:szCs w:val="20"/>
          <w:color w:val="auto"/>
        </w:rPr>
      </w:pPr>
    </w:p>
    <w:p>
      <w:pPr>
        <w:ind w:right="100" w:firstLine="225"/>
        <w:spacing w:after="0" w:line="290" w:lineRule="auto"/>
        <w:rPr>
          <w:sz w:val="20"/>
          <w:szCs w:val="20"/>
          <w:color w:val="auto"/>
        </w:rPr>
      </w:pPr>
      <w:r>
        <w:rPr>
          <w:rFonts w:ascii="Arial" w:cs="Arial" w:eastAsia="Arial" w:hAnsi="Arial"/>
          <w:sz w:val="16"/>
          <w:szCs w:val="16"/>
          <w:color w:val="auto"/>
        </w:rPr>
        <w:t>Salaries and employee benefits expense totaled $250 million in the recent quarter, compared with $236 million in the second quarter of 2008 and $249 million in the first quarter of 2009. As detailed in table 2, merger-related salaries and benefits costs were $9 million in the recent quarter. Those expenses consisted predominantly of severance expense for Provident employees. The remaining 2% increase in salaries and benefits expense as compared with the second 2008 quarter was attributable to the acquired operations of Provident. Exclusive of the recent quarter’s merger-related expenses, salaries and benefits expense was down $8 million from the initial 2009 quarter. Lower incentive compensation and related benefits costs more than offset the additional expenses from the Provident transaction. Salaries and employee benefits expense were $499 million and $488 million in the first six months of 2009 and 2008, respectively. Exclusive of merger-related expenses, salaries and employee benefits expense rose 1% to $491 million in the first half of 2009 from $488 million in the corresponding 2008 period. That increase reflects the impact of operations associated with the Provident transaction.</w:t>
      </w:r>
    </w:p>
    <w:p>
      <w:pPr>
        <w:spacing w:after="0" w:line="58" w:lineRule="exact"/>
        <w:rPr>
          <w:sz w:val="20"/>
          <w:szCs w:val="20"/>
          <w:color w:val="auto"/>
        </w:rPr>
      </w:pPr>
    </w:p>
    <w:p>
      <w:pPr>
        <w:ind w:firstLine="215"/>
        <w:spacing w:after="0" w:line="290" w:lineRule="auto"/>
        <w:rPr>
          <w:sz w:val="20"/>
          <w:szCs w:val="20"/>
          <w:color w:val="auto"/>
        </w:rPr>
      </w:pPr>
      <w:r>
        <w:rPr>
          <w:rFonts w:ascii="Arial" w:cs="Arial" w:eastAsia="Arial" w:hAnsi="Arial"/>
          <w:sz w:val="16"/>
          <w:szCs w:val="16"/>
          <w:color w:val="auto"/>
        </w:rPr>
        <w:t>As required by GAAP, the Company has accelerated the recognition of compensation costs for stock-based awards granted to retirement-eligible employees and employees who will become retirement-eligible prior to full vesting of the award. As a result, stock-based compensation expense during the first quarters of 2009 and 2008 included $9 million and $8 million, respectively, that would have been recognized over the normal four-year vesting period if not for the accelerated expense recognition provisions of GAAP. That acceleration had no effect on the value of stock-based compensation awarded to employees. Salaries and benefits expense included stock-based compensation of $11 million, $10 million and $22 million during the quarters ended June 30, 2009, June 30, 2008 and March 31, 2009, and $33 million and $29 million for the six-month periods ended June 30, 2009 and 2008, respectively. The number of full-time equivalent employees was 14,187 at June 30, 2009, 13,052 at June 30, 2008, 12,978 at December 31, 2008 and 12,944 at March 31, 2009. The rise in full-time equivalent employees from March 31 to June 30, 2009 resulted from the acquisition of Provident.</w:t>
      </w:r>
    </w:p>
    <w:p>
      <w:pPr>
        <w:spacing w:after="0" w:line="58" w:lineRule="exact"/>
        <w:rPr>
          <w:sz w:val="20"/>
          <w:szCs w:val="20"/>
          <w:color w:val="auto"/>
        </w:rPr>
      </w:pPr>
    </w:p>
    <w:p>
      <w:pPr>
        <w:ind w:right="60" w:firstLine="225"/>
        <w:spacing w:after="0" w:line="270" w:lineRule="auto"/>
        <w:rPr>
          <w:sz w:val="20"/>
          <w:szCs w:val="20"/>
          <w:color w:val="auto"/>
        </w:rPr>
      </w:pPr>
      <w:r>
        <w:rPr>
          <w:rFonts w:ascii="Arial" w:cs="Arial" w:eastAsia="Arial" w:hAnsi="Arial"/>
          <w:sz w:val="17"/>
          <w:szCs w:val="17"/>
          <w:color w:val="auto"/>
        </w:rPr>
        <w:t>Excluding the nonoperating expense items described earlier from each quarter, nonpersonnel operating expenses were $241 million in the recent quarter, compared with $167 million in the second quarter of 2008 and $171 million in the initial three months of 2009. On the same basis, such expenses were $412 million and $319 million during the first six months of 2009 and 2008, respectively. The rise in nonpersonnel operating expenses in 2009’s second quarter as compared with the year-earlier quarter and 2009’s initial quarter was due largely to higher deposit insurance costs, including the FDIC’s special assessment as of June 30, 2009 of $33 million. In total, during the three- and six-month periods ended June 30, 2009, deposit insurance expense aggregated $50 million and $55 million, respectively. During the three- and six-month periods ended June 30, 2008, deposit insurance expense totaled $2 million and $3 million, respectively. Also contributing to the higher level of expenses in the recent quarter were increased expenses related to foreclosed residential real estate properties, including write-downs of the carrying values of some properties resulting from lower appraised values. In comparison to the second quarter of 2008 and first quarter of 2009, expenses associated with foreclosed real estate increased in the recent quarter by $19 million and $21 million, respectively. Similarly, those expenses in the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first half of 2009 were $20 million higher than in the corresponding 2008 period. During the recent quarter, there was a $13 million reversal of a portion of the valuation allowance for capitalized residential mortgage servicing rights, compared with partial reversals of such allowance of $9 million and $5 million in the second quarter of 2008 and the first quarter of 2009, respectively. Partial reversals of that allowance aggregated $18 million and $5 million during the first half of 2009 and 2008, respectively. Also contributing to the rise in nonpersonnel operating expenses in the first half of 2009 as compared with 2008 were higher costs for professional services and the previously described $15 million reversal of the Visa contingency accrual during the first quarter of 2008. Furthermore, the higher level of nonpersonnel operating expenses in the second quarter and first half of 2009 reflects the impact of the operations obtained in the Provident transaction.</w:t>
      </w:r>
    </w:p>
    <w:p>
      <w:pPr>
        <w:spacing w:after="0" w:line="81" w:lineRule="exact"/>
        <w:rPr>
          <w:sz w:val="20"/>
          <w:szCs w:val="20"/>
          <w:color w:val="auto"/>
        </w:rPr>
      </w:pPr>
    </w:p>
    <w:p>
      <w:pPr>
        <w:ind w:right="60" w:firstLine="222"/>
        <w:spacing w:after="0" w:line="270" w:lineRule="auto"/>
        <w:rPr>
          <w:sz w:val="20"/>
          <w:szCs w:val="20"/>
          <w:color w:val="auto"/>
        </w:rPr>
      </w:pPr>
      <w:r>
        <w:rPr>
          <w:rFonts w:ascii="Arial" w:cs="Arial" w:eastAsia="Arial" w:hAnsi="Arial"/>
          <w:sz w:val="17"/>
          <w:szCs w:val="17"/>
          <w:color w:val="auto"/>
        </w:rPr>
        <w:t>The efficiency ratio, or noninterest operating expenses (as defined above) divided by the sum of taxable-equivalent net interest income and noninterest income (exclusive of gains and losses from bank investment securities), measures the relationship of noninterest operating expenses to revenues. The Company’s efficiency ratio was 60.0% during the recent quarter, compared with 52.4% during the year-earlier quarter and 58.7% in the first quarter of 2009. The efficiency ratios for the six-month periods ended June 30, 2009 and 2008 were 59.4% and 52.6%, respectively. Noninterest operating expenses used in calculating the efficiency ratio do not include the acquisition-related costs and amortization of core deposit and other intangible assets noted earlier, but do reflect the previously mentioned amounts associated with the FDIC special assessment and the Visa Covered Litigation. If charges for amortization of core deposit and other intangible assets were included, the efficiency ratio for the three-month periods ended June 30, 2009, June 30, 2008 and March 31, 2009 would have been 61.9%, 54.6% and 60.8%, respectively, and for the six-month periods ended June 30, 2009 and 2008 would have been 61.4% and 54.9%,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provision for income taxes for the second quarter of 2009 was $11 million, compared with $78 million and $20 million in the second quarter of 2008 and first quarter of 2009, respectively. The effective tax rates were 18.1%, 32.7% and 23.4% for the quarters ended June 30, 2009, June 30, 2008 and March 31, 2009, respectively. For the first six months of 2009 and 2008, the provision for income taxes totaled $31 million and $181 million, respectively, and the effective tax rates were 21.1% and 33.4%, respectively. The effective tax rate is affected by the level of income earned that is exempt from tax, the level of income allocated to the various state and local jurisdictions where the Company operates, because tax rates differ among such jurisdictions, and the impact of any large but infrequently occurring items. For example, although the merger-related expenses incurred during the recent quarter are predominantly deductible for purposes of computing income tax expense, those charges had an impact on the effective tax rate because they lowered pre-tax income relative to the amounts of tax-exempt income and other permanent differences that impact the effective tax rate.</w:t>
      </w:r>
    </w:p>
    <w:p>
      <w:pPr>
        <w:spacing w:after="0" w:line="71" w:lineRule="exact"/>
        <w:rPr>
          <w:sz w:val="20"/>
          <w:szCs w:val="20"/>
          <w:color w:val="auto"/>
        </w:rPr>
      </w:pPr>
    </w:p>
    <w:p>
      <w:pPr>
        <w:ind w:right="160" w:firstLine="222"/>
        <w:spacing w:after="0" w:line="286" w:lineRule="auto"/>
        <w:rPr>
          <w:sz w:val="20"/>
          <w:szCs w:val="20"/>
          <w:color w:val="auto"/>
        </w:rPr>
      </w:pPr>
      <w:r>
        <w:rPr>
          <w:rFonts w:ascii="Arial" w:cs="Arial" w:eastAsia="Arial" w:hAnsi="Arial"/>
          <w:sz w:val="17"/>
          <w:szCs w:val="17"/>
          <w:color w:val="auto"/>
        </w:rPr>
        <w:t>The Company’s effective tax rate in future periods will be affected by the results of operations allocated to the various tax jurisdictions within which the Company operates, any change in income tax regulations within those jurisdictions, or interpretations of income tax regulations that differ from the Company’s interpretations by any of various tax authorities that may examine tax returns filed by M&amp;T or any of its subsidiaries.</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w:t>
      </w:r>
    </w:p>
    <w:p>
      <w:pPr>
        <w:spacing w:after="0" w:line="121"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Stockholders’ equity was $7.4 billion at June 30, 2009, representing 10.58% of total assets, compared with $6.5 billion or 9.89% of total assets a year earlier and $6.8 billion or 10.31% at December 31, 2008. Included in stockholders’ equity at June 30, 2009 and December 31, 2008 was $600 million of Fixed Rate Cumulative Perpetual Preferred Stock, Series A, and warrants to purchase M&amp;T common stock issued on December 23, 2008 as part of the U.S. Treasury Capital Purchase Program. Provident also participated in the U.S. Treasury Capital Purchase Program in November 2008. As a result, Provident’s</w:t>
      </w:r>
    </w:p>
    <w:p>
      <w:pPr>
        <w:spacing w:after="0" w:line="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$151.5 million of preferred stock related thereto was converted to M&amp;T Fixed Rate Cumulative Preferred Stock, Series C, with warrants to purchase M&amp;T common stock. The holder of the Series A and Series C preferred stock is entitled to cumulative cash dividends of 5% per annum for five years after the date of initial issuance and 9% per annum thereafter, payable quarterly in arrears. That preferred stock is redeemable at the option of M&amp;T, subject to regulatory approval. M&amp;T also obtained another series of preferred stock as part of the Provident acquisition that was converted to $26.5 million of M&amp;T Series B Mandatory Convertible Non-Cumulative Preferred Stock, liquidation preference of $1,000 per share. The 26,500 shares of the Series B Preferred Stock will automatically convert into 433,148 shares of M&amp;T common stock on April 1, 2011. The Series B Preferred Stock pays dividends at a rate of 10% per annum on the liquidation preference of $1,000 per share, payable quarterly in arrears. The estimated fair values ascribed to the preferred stock and warrants to purchase common stock of M&amp;T associated with the acquisition of Provident were $156 million and $6 million, respectively, on the May 23, 2009 acquisition date.</w:t>
      </w:r>
    </w:p>
    <w:p>
      <w:pPr>
        <w:spacing w:after="0" w:line="90"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Common stockholders’ equity was $6.7 billion, or $56.51 per share, at June 30, 2009, compared with $6.5 billion, or $59.12 per share, at June 30, 2008 and $6.2 billion, or $56.29 per share, at December 31, 2008. Tangible equity per common share, which excludes goodwill and core deposit and other intangible assets and applicable deferred tax balances, was $25.17 at the end of the second quarter of 2009, compared with $28.50 a year earlier and $25.94 at December 31, 2008. A reconciliation of total common stockholders’ equity and tangible common equity as of each of those respective dates is presented in table 2.</w:t>
      </w:r>
    </w:p>
    <w:p>
      <w:pPr>
        <w:spacing w:after="0" w:line="80" w:lineRule="exact"/>
        <w:rPr>
          <w:sz w:val="20"/>
          <w:szCs w:val="20"/>
          <w:color w:val="auto"/>
        </w:rPr>
      </w:pPr>
    </w:p>
    <w:p>
      <w:pPr>
        <w:ind w:right="220" w:firstLine="225"/>
        <w:spacing w:after="0" w:line="291" w:lineRule="auto"/>
        <w:rPr>
          <w:sz w:val="20"/>
          <w:szCs w:val="20"/>
          <w:color w:val="auto"/>
        </w:rPr>
      </w:pPr>
      <w:r>
        <w:rPr>
          <w:rFonts w:ascii="Arial" w:cs="Arial" w:eastAsia="Arial" w:hAnsi="Arial"/>
          <w:sz w:val="16"/>
          <w:szCs w:val="16"/>
          <w:color w:val="auto"/>
        </w:rPr>
        <w:t>Stockholders’ equity reflects accumulated other comprehensive income or loss, which includes the net after-tax impact of unrealized gains or losses on available-for-sale investment securities, gains or losses associated with interest rate swap agreements designated as cash flow hedges, and adjustments to reflect the funded status of defined benefit pension and other postretirement plans. Net unrealized losses on available-for-sale investment securities, net of applicable tax effect, were $407 million, or $3.45 per common share, at June 30, 2009, compared with similar losses of $272 million, or $2.46 per common share, at June 30, 2008 and $557 million, or $5.04 per common share, at December 31, 2008. Such unrealized losses represent the difference, net of applicable income tax effect, between the estimated fair value and amortized cost of investment securities classified as available for sale, including the remaining unamortized unrealized losses on investment securities that have been transferred to held to maturity.</w:t>
      </w:r>
    </w:p>
    <w:p>
      <w:pPr>
        <w:spacing w:after="0" w:line="59" w:lineRule="exact"/>
        <w:rPr>
          <w:sz w:val="20"/>
          <w:szCs w:val="20"/>
          <w:color w:val="auto"/>
        </w:rPr>
      </w:pPr>
    </w:p>
    <w:p>
      <w:pPr>
        <w:ind w:right="60" w:firstLine="225"/>
        <w:spacing w:after="0" w:line="279" w:lineRule="auto"/>
        <w:rPr>
          <w:sz w:val="20"/>
          <w:szCs w:val="20"/>
          <w:color w:val="auto"/>
        </w:rPr>
      </w:pPr>
      <w:r>
        <w:rPr>
          <w:rFonts w:ascii="Arial" w:cs="Arial" w:eastAsia="Arial" w:hAnsi="Arial"/>
          <w:sz w:val="17"/>
          <w:szCs w:val="17"/>
          <w:color w:val="auto"/>
        </w:rPr>
        <w:t>Reflected in net unrealized losses at June 30, 2009 were pre-tax effect unrealized losses of $708 million on available-for-sale investment securities with an amortized cost of $2.4 billion and pre-tax effect unrealized gains of $139 million on securities with an amortized cost of $5.1 billion. The pre-tax effect unrealized losses reflect $586 million of losses on $2.8 billion of privately issued mortgage-backed securities considered Level 3 valuations and $87 million of losses on $236 million of trust preferred securities issued by financial institutions generally considered Level 2 valuations.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The Company’s privately issued mortgage-backed securities classified as available for sale are generally collateralized by prime and Alt-A residential mortgage loans as depicted in the accompanying table. Information in the table is as of June 30, 2009. As with any accounting estimate or other data, changes in fair values and investment ratings may occur at any time.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PRIVATELY ISSUED MORTGAGE-BACKED SECURITIES CLASSIFIED AS AVAILABLE FOR SALE (a)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3"/>
          </w:tcPr>
          <w:p>
            <w:pPr>
              <w:jc w:val="center"/>
              <w:ind w:right="340"/>
              <w:spacing w:after="0"/>
              <w:rPr>
                <w:sz w:val="20"/>
                <w:szCs w:val="20"/>
                <w:color w:val="auto"/>
              </w:rPr>
            </w:pPr>
            <w:r>
              <w:rPr>
                <w:rFonts w:ascii="Arial" w:cs="Arial" w:eastAsia="Arial" w:hAnsi="Arial"/>
                <w:sz w:val="14"/>
                <w:szCs w:val="14"/>
                <w:color w:val="auto"/>
                <w:w w:val="91"/>
              </w:rPr>
              <w:t>As a percentage of</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7"/>
        </w:trPr>
        <w:tc>
          <w:tcPr>
            <w:tcW w:w="2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0" w:type="dxa"/>
            <w:vAlign w:val="bottom"/>
            <w:gridSpan w:val="2"/>
          </w:tcPr>
          <w:p>
            <w:pPr>
              <w:jc w:val="center"/>
              <w:ind w:right="620"/>
              <w:spacing w:after="0"/>
              <w:rPr>
                <w:sz w:val="20"/>
                <w:szCs w:val="20"/>
                <w:color w:val="auto"/>
              </w:rPr>
            </w:pPr>
            <w:r>
              <w:rPr>
                <w:rFonts w:ascii="Arial" w:cs="Arial" w:eastAsia="Arial" w:hAnsi="Arial"/>
                <w:sz w:val="14"/>
                <w:szCs w:val="14"/>
                <w:color w:val="auto"/>
              </w:rPr>
              <w:t>Net</w:t>
            </w:r>
          </w:p>
        </w:tc>
        <w:tc>
          <w:tcPr>
            <w:tcW w:w="6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color w:val="auto"/>
                <w:w w:val="96"/>
              </w:rPr>
              <w:t>carrying value</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3"/>
        </w:trPr>
        <w:tc>
          <w:tcPr>
            <w:tcW w:w="2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400"/>
              <w:spacing w:after="0" w:line="123" w:lineRule="exact"/>
              <w:rPr>
                <w:sz w:val="20"/>
                <w:szCs w:val="20"/>
                <w:color w:val="auto"/>
              </w:rPr>
            </w:pPr>
            <w:r>
              <w:rPr>
                <w:rFonts w:ascii="Arial" w:cs="Arial" w:eastAsia="Arial" w:hAnsi="Arial"/>
                <w:sz w:val="14"/>
                <w:szCs w:val="14"/>
                <w:color w:val="auto"/>
                <w:w w:val="95"/>
              </w:rPr>
              <w:t>Amortized</w:t>
            </w:r>
          </w:p>
        </w:tc>
        <w:tc>
          <w:tcPr>
            <w:tcW w:w="340" w:type="dxa"/>
            <w:vAlign w:val="bottom"/>
          </w:tcPr>
          <w:p>
            <w:pPr>
              <w:spacing w:after="0"/>
              <w:rPr>
                <w:sz w:val="10"/>
                <w:szCs w:val="10"/>
                <w:color w:val="auto"/>
              </w:rPr>
            </w:pPr>
          </w:p>
        </w:tc>
        <w:tc>
          <w:tcPr>
            <w:tcW w:w="1460" w:type="dxa"/>
            <w:vAlign w:val="bottom"/>
            <w:gridSpan w:val="2"/>
          </w:tcPr>
          <w:p>
            <w:pPr>
              <w:jc w:val="center"/>
              <w:ind w:right="640"/>
              <w:spacing w:after="0" w:line="123" w:lineRule="exact"/>
              <w:rPr>
                <w:sz w:val="20"/>
                <w:szCs w:val="20"/>
                <w:color w:val="auto"/>
              </w:rPr>
            </w:pPr>
            <w:r>
              <w:rPr>
                <w:rFonts w:ascii="Arial" w:cs="Arial" w:eastAsia="Arial" w:hAnsi="Arial"/>
                <w:sz w:val="14"/>
                <w:szCs w:val="14"/>
                <w:color w:val="auto"/>
                <w:w w:val="91"/>
              </w:rPr>
              <w:t>Fair</w:t>
            </w:r>
          </w:p>
        </w:tc>
        <w:tc>
          <w:tcPr>
            <w:tcW w:w="1400" w:type="dxa"/>
            <w:vAlign w:val="bottom"/>
            <w:gridSpan w:val="2"/>
          </w:tcPr>
          <w:p>
            <w:pPr>
              <w:jc w:val="center"/>
              <w:ind w:right="640"/>
              <w:spacing w:after="0" w:line="123" w:lineRule="exact"/>
              <w:rPr>
                <w:sz w:val="20"/>
                <w:szCs w:val="20"/>
                <w:color w:val="auto"/>
              </w:rPr>
            </w:pPr>
            <w:r>
              <w:rPr>
                <w:rFonts w:ascii="Arial" w:cs="Arial" w:eastAsia="Arial" w:hAnsi="Arial"/>
                <w:sz w:val="14"/>
                <w:szCs w:val="14"/>
                <w:color w:val="auto"/>
                <w:w w:val="92"/>
              </w:rPr>
              <w:t>unrealized</w:t>
            </w:r>
          </w:p>
        </w:tc>
        <w:tc>
          <w:tcPr>
            <w:tcW w:w="1000" w:type="dxa"/>
            <w:vAlign w:val="bottom"/>
            <w:gridSpan w:val="2"/>
          </w:tcPr>
          <w:p>
            <w:pPr>
              <w:ind w:left="180"/>
              <w:spacing w:after="0" w:line="123" w:lineRule="exact"/>
              <w:rPr>
                <w:sz w:val="20"/>
                <w:szCs w:val="20"/>
                <w:color w:val="auto"/>
              </w:rPr>
            </w:pPr>
            <w:r>
              <w:rPr>
                <w:rFonts w:ascii="Arial" w:cs="Arial" w:eastAsia="Arial" w:hAnsi="Arial"/>
                <w:sz w:val="14"/>
                <w:szCs w:val="14"/>
                <w:color w:val="auto"/>
              </w:rPr>
              <w:t>AAA</w:t>
            </w:r>
          </w:p>
        </w:tc>
        <w:tc>
          <w:tcPr>
            <w:tcW w:w="360" w:type="dxa"/>
            <w:vAlign w:val="bottom"/>
          </w:tcPr>
          <w:p>
            <w:pPr>
              <w:spacing w:after="0"/>
              <w:rPr>
                <w:sz w:val="10"/>
                <w:szCs w:val="10"/>
                <w:color w:val="auto"/>
              </w:rPr>
            </w:pPr>
          </w:p>
        </w:tc>
        <w:tc>
          <w:tcPr>
            <w:tcW w:w="1380" w:type="dxa"/>
            <w:vAlign w:val="bottom"/>
            <w:gridSpan w:val="2"/>
          </w:tcPr>
          <w:p>
            <w:pPr>
              <w:jc w:val="center"/>
              <w:ind w:right="700"/>
              <w:spacing w:after="0" w:line="123" w:lineRule="exact"/>
              <w:rPr>
                <w:sz w:val="20"/>
                <w:szCs w:val="20"/>
                <w:color w:val="auto"/>
              </w:rPr>
            </w:pPr>
            <w:r>
              <w:rPr>
                <w:rFonts w:ascii="Arial" w:cs="Arial" w:eastAsia="Arial" w:hAnsi="Arial"/>
                <w:sz w:val="14"/>
                <w:szCs w:val="14"/>
                <w:color w:val="auto"/>
                <w:w w:val="93"/>
              </w:rPr>
              <w:t>Investment</w:t>
            </w:r>
          </w:p>
        </w:tc>
        <w:tc>
          <w:tcPr>
            <w:tcW w:w="660" w:type="dxa"/>
            <w:vAlign w:val="bottom"/>
          </w:tcPr>
          <w:p>
            <w:pPr>
              <w:jc w:val="right"/>
              <w:ind w:right="53"/>
              <w:spacing w:after="0" w:line="123" w:lineRule="exact"/>
              <w:rPr>
                <w:sz w:val="20"/>
                <w:szCs w:val="20"/>
                <w:color w:val="auto"/>
              </w:rPr>
            </w:pPr>
            <w:r>
              <w:rPr>
                <w:rFonts w:ascii="Arial" w:cs="Arial" w:eastAsia="Arial" w:hAnsi="Arial"/>
                <w:sz w:val="14"/>
                <w:szCs w:val="14"/>
                <w:color w:val="auto"/>
              </w:rPr>
              <w:t>Senior</w:t>
            </w:r>
          </w:p>
        </w:tc>
        <w:tc>
          <w:tcPr>
            <w:tcW w:w="160" w:type="dxa"/>
            <w:vAlign w:val="bottom"/>
          </w:tcPr>
          <w:p>
            <w:pPr>
              <w:spacing w:after="0"/>
              <w:rPr>
                <w:sz w:val="10"/>
                <w:szCs w:val="10"/>
                <w:color w:val="auto"/>
              </w:rPr>
            </w:pPr>
          </w:p>
        </w:tc>
      </w:tr>
      <w:tr>
        <w:trPr>
          <w:trHeight w:val="167"/>
        </w:trPr>
        <w:tc>
          <w:tcPr>
            <w:tcW w:w="2780" w:type="dxa"/>
            <w:vAlign w:val="bottom"/>
          </w:tcPr>
          <w:p>
            <w:pPr>
              <w:spacing w:after="0"/>
              <w:rPr>
                <w:sz w:val="20"/>
                <w:szCs w:val="20"/>
                <w:color w:val="auto"/>
              </w:rPr>
            </w:pPr>
            <w:r>
              <w:rPr>
                <w:rFonts w:ascii="Arial" w:cs="Arial" w:eastAsia="Arial" w:hAnsi="Arial"/>
                <w:sz w:val="14"/>
                <w:szCs w:val="14"/>
                <w:color w:val="auto"/>
              </w:rPr>
              <w:t>Collateral type</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color w:val="auto"/>
                <w:w w:val="93"/>
              </w:rPr>
              <w:t>cost</w:t>
            </w:r>
          </w:p>
        </w:tc>
        <w:tc>
          <w:tcPr>
            <w:tcW w:w="340" w:type="dxa"/>
            <w:vAlign w:val="bottom"/>
          </w:tcPr>
          <w:p>
            <w:pPr>
              <w:spacing w:after="0"/>
              <w:rPr>
                <w:sz w:val="14"/>
                <w:szCs w:val="14"/>
                <w:color w:val="auto"/>
              </w:rPr>
            </w:pPr>
          </w:p>
        </w:tc>
        <w:tc>
          <w:tcPr>
            <w:tcW w:w="1460" w:type="dxa"/>
            <w:vAlign w:val="bottom"/>
            <w:gridSpan w:val="2"/>
          </w:tcPr>
          <w:p>
            <w:pPr>
              <w:jc w:val="center"/>
              <w:ind w:right="640"/>
              <w:spacing w:after="0"/>
              <w:rPr>
                <w:sz w:val="20"/>
                <w:szCs w:val="20"/>
                <w:color w:val="auto"/>
              </w:rPr>
            </w:pPr>
            <w:r>
              <w:rPr>
                <w:rFonts w:ascii="Arial" w:cs="Arial" w:eastAsia="Arial" w:hAnsi="Arial"/>
                <w:sz w:val="14"/>
                <w:szCs w:val="14"/>
                <w:color w:val="auto"/>
                <w:w w:val="89"/>
              </w:rPr>
              <w:t>value</w:t>
            </w:r>
          </w:p>
        </w:tc>
        <w:tc>
          <w:tcPr>
            <w:tcW w:w="1400" w:type="dxa"/>
            <w:vAlign w:val="bottom"/>
            <w:gridSpan w:val="2"/>
          </w:tcPr>
          <w:p>
            <w:pPr>
              <w:jc w:val="center"/>
              <w:ind w:right="620"/>
              <w:spacing w:after="0"/>
              <w:rPr>
                <w:sz w:val="20"/>
                <w:szCs w:val="20"/>
                <w:color w:val="auto"/>
              </w:rPr>
            </w:pPr>
            <w:r>
              <w:rPr>
                <w:rFonts w:ascii="Arial" w:cs="Arial" w:eastAsia="Arial" w:hAnsi="Arial"/>
                <w:sz w:val="14"/>
                <w:szCs w:val="14"/>
                <w:color w:val="auto"/>
                <w:w w:val="89"/>
              </w:rPr>
              <w:t>gains(losses)</w:t>
            </w:r>
          </w:p>
        </w:tc>
        <w:tc>
          <w:tcPr>
            <w:tcW w:w="1000" w:type="dxa"/>
            <w:vAlign w:val="bottom"/>
            <w:gridSpan w:val="2"/>
          </w:tcPr>
          <w:p>
            <w:pPr>
              <w:ind w:left="200"/>
              <w:spacing w:after="0"/>
              <w:rPr>
                <w:sz w:val="20"/>
                <w:szCs w:val="20"/>
                <w:color w:val="auto"/>
              </w:rPr>
            </w:pPr>
            <w:r>
              <w:rPr>
                <w:rFonts w:ascii="Arial" w:cs="Arial" w:eastAsia="Arial" w:hAnsi="Arial"/>
                <w:sz w:val="14"/>
                <w:szCs w:val="14"/>
                <w:color w:val="auto"/>
              </w:rPr>
              <w:t>rated</w:t>
            </w:r>
          </w:p>
        </w:tc>
        <w:tc>
          <w:tcPr>
            <w:tcW w:w="360" w:type="dxa"/>
            <w:vAlign w:val="bottom"/>
          </w:tcPr>
          <w:p>
            <w:pPr>
              <w:spacing w:after="0"/>
              <w:rPr>
                <w:sz w:val="14"/>
                <w:szCs w:val="14"/>
                <w:color w:val="auto"/>
              </w:rPr>
            </w:pPr>
          </w:p>
        </w:tc>
        <w:tc>
          <w:tcPr>
            <w:tcW w:w="1380" w:type="dxa"/>
            <w:vAlign w:val="bottom"/>
            <w:gridSpan w:val="2"/>
          </w:tcPr>
          <w:p>
            <w:pPr>
              <w:jc w:val="center"/>
              <w:ind w:right="700"/>
              <w:spacing w:after="0"/>
              <w:rPr>
                <w:sz w:val="20"/>
                <w:szCs w:val="20"/>
                <w:color w:val="auto"/>
              </w:rPr>
            </w:pPr>
            <w:r>
              <w:rPr>
                <w:rFonts w:ascii="Arial" w:cs="Arial" w:eastAsia="Arial" w:hAnsi="Arial"/>
                <w:sz w:val="14"/>
                <w:szCs w:val="14"/>
                <w:color w:val="auto"/>
                <w:w w:val="89"/>
              </w:rPr>
              <w:t>grade</w:t>
            </w: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tranche</w:t>
            </w:r>
          </w:p>
        </w:tc>
      </w:tr>
      <w:tr>
        <w:trPr>
          <w:trHeight w:val="142"/>
        </w:trPr>
        <w:tc>
          <w:tcPr>
            <w:tcW w:w="2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87"/>
              </w:rPr>
              <w:t>(in thousands)</w:t>
            </w:r>
          </w:p>
        </w:tc>
        <w:tc>
          <w:tcPr>
            <w:tcW w:w="6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loans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Prime – Fixed</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456,776</w:t>
            </w:r>
          </w:p>
        </w:tc>
        <w:tc>
          <w:tcPr>
            <w:tcW w:w="1800" w:type="dxa"/>
            <w:vAlign w:val="bottom"/>
            <w:gridSpan w:val="3"/>
          </w:tcPr>
          <w:p>
            <w:pPr>
              <w:jc w:val="right"/>
              <w:ind w:right="640"/>
              <w:spacing w:after="0"/>
              <w:rPr>
                <w:sz w:val="20"/>
                <w:szCs w:val="20"/>
                <w:color w:val="auto"/>
              </w:rPr>
            </w:pPr>
            <w:r>
              <w:rPr>
                <w:rFonts w:ascii="Arial" w:cs="Arial" w:eastAsia="Arial" w:hAnsi="Arial"/>
                <w:sz w:val="18"/>
                <w:szCs w:val="18"/>
                <w:color w:val="auto"/>
              </w:rPr>
              <w:t>447,999</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(8,777)</w:t>
            </w: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91%</w:t>
            </w:r>
          </w:p>
        </w:tc>
        <w:tc>
          <w:tcPr>
            <w:tcW w:w="1740" w:type="dxa"/>
            <w:vAlign w:val="bottom"/>
            <w:gridSpan w:val="3"/>
          </w:tcPr>
          <w:p>
            <w:pPr>
              <w:jc w:val="right"/>
              <w:ind w:right="560"/>
              <w:spacing w:after="0"/>
              <w:rPr>
                <w:sz w:val="20"/>
                <w:szCs w:val="20"/>
                <w:color w:val="auto"/>
              </w:rPr>
            </w:pPr>
            <w:r>
              <w:rPr>
                <w:rFonts w:ascii="Arial" w:cs="Arial" w:eastAsia="Arial" w:hAnsi="Arial"/>
                <w:sz w:val="18"/>
                <w:szCs w:val="18"/>
                <w:color w:val="auto"/>
              </w:rPr>
              <w:t>97%</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Prime – Hybrid ARMs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1,942,849</w:t>
            </w:r>
          </w:p>
        </w:tc>
        <w:tc>
          <w:tcPr>
            <w:tcW w:w="18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1,530,213</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(412,636)</w:t>
            </w:r>
          </w:p>
        </w:tc>
        <w:tc>
          <w:tcPr>
            <w:tcW w:w="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27</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7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Prime – Other</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112,043</w:t>
            </w:r>
          </w:p>
        </w:tc>
        <w:tc>
          <w:tcPr>
            <w:tcW w:w="1800" w:type="dxa"/>
            <w:vAlign w:val="bottom"/>
            <w:gridSpan w:val="3"/>
          </w:tcPr>
          <w:p>
            <w:pPr>
              <w:jc w:val="right"/>
              <w:ind w:right="640"/>
              <w:spacing w:after="0"/>
              <w:rPr>
                <w:sz w:val="20"/>
                <w:szCs w:val="20"/>
                <w:color w:val="auto"/>
              </w:rPr>
            </w:pPr>
            <w:r>
              <w:rPr>
                <w:rFonts w:ascii="Arial" w:cs="Arial" w:eastAsia="Arial" w:hAnsi="Arial"/>
                <w:sz w:val="18"/>
                <w:szCs w:val="18"/>
                <w:color w:val="auto"/>
              </w:rPr>
              <w:t>103,250</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(8,793)</w:t>
            </w:r>
          </w:p>
        </w:tc>
        <w:tc>
          <w:tcPr>
            <w:tcW w:w="660" w:type="dxa"/>
            <w:vAlign w:val="bottom"/>
          </w:tcPr>
          <w:p>
            <w:pPr>
              <w:ind w:left="480"/>
              <w:spacing w:after="0"/>
              <w:rPr>
                <w:sz w:val="20"/>
                <w:szCs w:val="20"/>
                <w:color w:val="auto"/>
              </w:rPr>
            </w:pPr>
            <w:r>
              <w:rPr>
                <w:rFonts w:ascii="Arial" w:cs="Arial" w:eastAsia="Arial" w:hAnsi="Arial"/>
                <w:sz w:val="18"/>
                <w:szCs w:val="18"/>
                <w:color w:val="auto"/>
                <w:w w:val="79"/>
              </w:rPr>
              <w:t>75</w:t>
            </w:r>
          </w:p>
        </w:tc>
        <w:tc>
          <w:tcPr>
            <w:tcW w:w="3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7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Alt-A – Fixed</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11,912</w:t>
            </w:r>
          </w:p>
        </w:tc>
        <w:tc>
          <w:tcPr>
            <w:tcW w:w="18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12,173</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261</w:t>
            </w:r>
          </w:p>
        </w:tc>
        <w:tc>
          <w:tcPr>
            <w:tcW w:w="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17</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7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Alt-A – Hybrid ARMs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277,078</w:t>
            </w:r>
          </w:p>
        </w:tc>
        <w:tc>
          <w:tcPr>
            <w:tcW w:w="1800" w:type="dxa"/>
            <w:vAlign w:val="bottom"/>
            <w:gridSpan w:val="3"/>
          </w:tcPr>
          <w:p>
            <w:pPr>
              <w:jc w:val="right"/>
              <w:ind w:right="640"/>
              <w:spacing w:after="0"/>
              <w:rPr>
                <w:sz w:val="20"/>
                <w:szCs w:val="20"/>
                <w:color w:val="auto"/>
              </w:rPr>
            </w:pPr>
            <w:r>
              <w:rPr>
                <w:rFonts w:ascii="Arial" w:cs="Arial" w:eastAsia="Arial" w:hAnsi="Arial"/>
                <w:sz w:val="18"/>
                <w:szCs w:val="18"/>
                <w:color w:val="auto"/>
              </w:rPr>
              <w:t>144,333</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(132,745)</w:t>
            </w:r>
          </w:p>
        </w:tc>
        <w:tc>
          <w:tcPr>
            <w:tcW w:w="660" w:type="dxa"/>
            <w:vAlign w:val="bottom"/>
          </w:tcPr>
          <w:p>
            <w:pPr>
              <w:ind w:left="480"/>
              <w:spacing w:after="0"/>
              <w:rPr>
                <w:sz w:val="20"/>
                <w:szCs w:val="20"/>
                <w:color w:val="auto"/>
              </w:rPr>
            </w:pPr>
            <w:r>
              <w:rPr>
                <w:rFonts w:ascii="Arial" w:cs="Arial" w:eastAsia="Arial" w:hAnsi="Arial"/>
                <w:sz w:val="18"/>
                <w:szCs w:val="18"/>
                <w:color w:val="auto"/>
                <w:w w:val="79"/>
              </w:rPr>
              <w:t>14</w:t>
            </w:r>
          </w:p>
        </w:tc>
        <w:tc>
          <w:tcPr>
            <w:tcW w:w="3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7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Alt-A – Option ARMs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5,941</w:t>
            </w:r>
          </w:p>
        </w:tc>
        <w:tc>
          <w:tcPr>
            <w:tcW w:w="18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511</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(5,430)</w:t>
            </w: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Other</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5,314</w:t>
            </w:r>
          </w:p>
        </w:tc>
        <w:tc>
          <w:tcPr>
            <w:tcW w:w="1800" w:type="dxa"/>
            <w:vAlign w:val="bottom"/>
            <w:gridSpan w:val="3"/>
          </w:tcPr>
          <w:p>
            <w:pPr>
              <w:jc w:val="right"/>
              <w:ind w:right="640"/>
              <w:spacing w:after="0"/>
              <w:rPr>
                <w:sz w:val="20"/>
                <w:szCs w:val="20"/>
                <w:color w:val="auto"/>
              </w:rPr>
            </w:pPr>
            <w:r>
              <w:rPr>
                <w:rFonts w:ascii="Arial" w:cs="Arial" w:eastAsia="Arial" w:hAnsi="Arial"/>
                <w:sz w:val="18"/>
                <w:szCs w:val="18"/>
                <w:color w:val="auto"/>
              </w:rPr>
              <w:t>3,279</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(2,035)</w:t>
            </w: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7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r>
      <w:tr>
        <w:trPr>
          <w:trHeight w:val="223"/>
        </w:trPr>
        <w:tc>
          <w:tcPr>
            <w:tcW w:w="2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2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Subtotal</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2,811,913</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9"/>
              </w:rPr>
              <w:t>2,241,758</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(570,155)</w:t>
            </w:r>
          </w:p>
        </w:tc>
        <w:tc>
          <w:tcPr>
            <w:tcW w:w="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41</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7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w:t>
            </w:r>
          </w:p>
        </w:tc>
      </w:tr>
      <w:tr>
        <w:trPr>
          <w:trHeight w:val="20"/>
        </w:trPr>
        <w:tc>
          <w:tcPr>
            <w:tcW w:w="2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r>
      <w:tr>
        <w:trPr>
          <w:trHeight w:val="439"/>
        </w:trPr>
        <w:tc>
          <w:tcPr>
            <w:tcW w:w="2780" w:type="dxa"/>
            <w:vAlign w:val="bottom"/>
          </w:tcPr>
          <w:p>
            <w:pPr>
              <w:spacing w:after="0"/>
              <w:rPr>
                <w:sz w:val="20"/>
                <w:szCs w:val="20"/>
                <w:color w:val="auto"/>
              </w:rPr>
            </w:pPr>
            <w:r>
              <w:rPr>
                <w:rFonts w:ascii="Arial" w:cs="Arial" w:eastAsia="Arial" w:hAnsi="Arial"/>
                <w:sz w:val="18"/>
                <w:szCs w:val="18"/>
                <w:color w:val="auto"/>
              </w:rPr>
              <w:t>Commercial mortgage loans</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37,124</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23,018</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(14,106)</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100</w:t>
            </w:r>
          </w:p>
        </w:tc>
        <w:tc>
          <w:tcPr>
            <w:tcW w:w="1740" w:type="dxa"/>
            <w:vAlign w:val="bottom"/>
            <w:gridSpan w:val="3"/>
          </w:tcPr>
          <w:p>
            <w:pPr>
              <w:jc w:val="right"/>
              <w:ind w:right="700"/>
              <w:spacing w:after="0"/>
              <w:rPr>
                <w:sz w:val="20"/>
                <w:szCs w:val="20"/>
                <w:color w:val="auto"/>
              </w:rPr>
            </w:pPr>
            <w:r>
              <w:rPr>
                <w:rFonts w:ascii="Arial" w:cs="Arial" w:eastAsia="Arial" w:hAnsi="Arial"/>
                <w:sz w:val="18"/>
                <w:szCs w:val="18"/>
                <w:color w:val="auto"/>
              </w:rPr>
              <w:t>100</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r>
      <w:tr>
        <w:trPr>
          <w:trHeight w:val="223"/>
        </w:trPr>
        <w:tc>
          <w:tcPr>
            <w:tcW w:w="2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2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2,849,037</w:t>
            </w:r>
          </w:p>
        </w:tc>
        <w:tc>
          <w:tcPr>
            <w:tcW w:w="18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2,264,776</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(584,261)</w:t>
            </w: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41%</w:t>
            </w:r>
          </w:p>
        </w:tc>
        <w:tc>
          <w:tcPr>
            <w:tcW w:w="17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78%</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r>
      <w:tr>
        <w:trPr>
          <w:trHeight w:val="20"/>
        </w:trPr>
        <w:tc>
          <w:tcPr>
            <w:tcW w:w="2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All information is as of June 30, 2009.</w:t>
      </w:r>
    </w:p>
    <w:p>
      <w:pPr>
        <w:spacing w:after="0" w:line="117" w:lineRule="exact"/>
        <w:rPr>
          <w:sz w:val="20"/>
          <w:szCs w:val="20"/>
          <w:color w:val="auto"/>
        </w:rPr>
      </w:pPr>
    </w:p>
    <w:p>
      <w:pPr>
        <w:ind w:right="60" w:firstLine="225"/>
        <w:spacing w:after="0" w:line="283" w:lineRule="auto"/>
        <w:rPr>
          <w:sz w:val="20"/>
          <w:szCs w:val="20"/>
          <w:color w:val="auto"/>
        </w:rPr>
      </w:pPr>
      <w:r>
        <w:rPr>
          <w:rFonts w:ascii="Arial" w:cs="Arial" w:eastAsia="Arial" w:hAnsi="Arial"/>
          <w:sz w:val="16"/>
          <w:szCs w:val="16"/>
          <w:color w:val="auto"/>
        </w:rPr>
        <w:t>Due to the severe disruption in the credit markets during the second half of 2008 and continuing into 2009, trading activity for privately issued mortgage-backed securities was dramatically reduced. In estimating values for such securities, the Company was significantly restricted in the level of market observable assumptions used in the valuation of its privately issued mortgage-backed securities portfolio. Because of the inactivity and the lack of observable valuation inputs, the Company transferred $2.2 billion of its privately issued mortgage-backed securities portfolio from Level 2 to Level 3 valuations in the third quarter of 2008. The remaining portion of its portfolio of privately issued mortgage-backed securities had already been classified as Level 3. To assist in the determination of fair value for its privately issued mortgage-backed securities, the Company engaged two independent pricing sources at June 30, 2009 and December 31, 2008. In determining fair value of those securities at December 31, 2008, in general, the Company averaged the results obtained from the independent sources. In April 2009, the Financial Accounting Standards Board (“FASB”) provided guidance for estimating fair value when the volume and level of trading activity for an asset or liability have significantly decreased. In consideration of the new FASB guidance, the Company performed internal modeling to estimate the cash flows and fair value of 149 of its privately issued residential mortgage-backed securities with an amortized cost basis of</w:t>
      </w:r>
    </w:p>
    <w:p>
      <w:pPr>
        <w:spacing w:after="0" w:line="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$2.2 billion at June 30, 2009. The Company’s internal modeling techniques included discounting estimated bond-specific cash flows using assumptions about cash flows associated with loans underlying each of the bonds. In estimating those cash flows, the Company used conservative assumptions as to future delinquency, default and loss rates in order to mitigate exposure that might be attributable to the risk that actual future credit losses could exceed assumed credit losses. Differences between internal model valuations and external pricing indications were generally considered to be reflective of the lack of liquidity in the market for privately issued mortgage-backed securities. To determine the most representative fair value for each of the 149 bonds under current market conditions, M&amp;T computed values based 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judgmentally applied weightings of the internal model valuations and the indications obtained from the average of the two independent pricing sources.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Weightings applied to internal model valuations were generally dependent on bond structure and collateral type, with prices for bonds in non-senior tranches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generally receiving lower weightings on the internal model results and greater weightings of the valuation data provided by the independent pricing sources.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a result, certain valuations of privately issued residential mortgage-backed securities were determined by reference to independent pricing sources without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adjustment. The average weight placed on internal model valuations was 36%, compared with a 64% weighting on valuations provided by the independent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sources. Generally, the range of weights placed on internal valuations was between 0% and 40%. The impact of relying on the guidance provided by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FASB and using an internal valuation modeling technique was to increase accumulated other comprehensive income at June 30, 2009 by $140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($230 million pre-tax). Further information concerning the Company’s valuations of privately issued mortgage-backed securities can be found in note 10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w:t>
      </w:r>
    </w:p>
    <w:p>
      <w:pPr>
        <w:spacing w:after="0" w:line="103" w:lineRule="exact"/>
        <w:rPr>
          <w:sz w:val="20"/>
          <w:szCs w:val="20"/>
          <w:color w:val="auto"/>
        </w:rPr>
      </w:pPr>
    </w:p>
    <w:p>
      <w:pPr>
        <w:ind w:right="120" w:firstLine="225"/>
        <w:spacing w:after="0" w:line="268" w:lineRule="auto"/>
        <w:rPr>
          <w:sz w:val="20"/>
          <w:szCs w:val="20"/>
          <w:color w:val="auto"/>
        </w:rPr>
      </w:pPr>
      <w:r>
        <w:rPr>
          <w:rFonts w:ascii="Arial" w:cs="Arial" w:eastAsia="Arial" w:hAnsi="Arial"/>
          <w:sz w:val="17"/>
          <w:szCs w:val="17"/>
          <w:color w:val="auto"/>
        </w:rPr>
        <w:t>For the quarter ended June 30, 2009 the Company recognized $25 million (pre-tax) of other-than-temporary impairment losses related to privately issued residential mortgage-backed securities with an amortized cost basis (before impairment charge) of $158 million and securities backed by trust preferred securities issued by financial institutions with an amortized cost basis (before impairment charge) of $8 million. Those other-than-temporary impairment losses were determined in accordance with the FASB Staff Position No. FAS 115-2 and FAS 124-2 (“FSP 115-2”) and, therefore, reflect the estimated credit losses on the impaired securities. The other-than-temporary impairment losses recognized in the consolidated statement of income were net of $46 million and $5 million of unrealized losses for the same respective securities resulting from other factors that have been reflected in accumulated other comprehensive income. Despite rising levels of delinquencies and losses in the underlying residential mortgage loan collateral, given credit enhancements resulting from the structures of individual bonds, the Company has concluded that as of June 30, 2009 its remaining privately issued mortgage-backed securities were not other-than-temporarily impaired. Nevertheless, given recent market conditions, it is possible that adverse changes in repayment performance and fair value could occur in the remainder of 2009 and later years that could impact the Company’s conclusions. Management has modeled cash flows from privately issued mortgage-backed securities under various scenarios and has concluded that even if home price depreciation and current delinquency trends persist for an extended period of time, the Company’s principal losses on its privately issued mortgage-backed securities would be substantially less than their current fair valuation losses.</w:t>
      </w:r>
    </w:p>
    <w:p>
      <w:pPr>
        <w:spacing w:after="0" w:line="80" w:lineRule="exact"/>
        <w:rPr>
          <w:sz w:val="20"/>
          <w:szCs w:val="20"/>
          <w:color w:val="auto"/>
        </w:rPr>
      </w:pPr>
    </w:p>
    <w:p>
      <w:pPr>
        <w:ind w:firstLine="215"/>
        <w:spacing w:after="0" w:line="270" w:lineRule="auto"/>
        <w:rPr>
          <w:sz w:val="20"/>
          <w:szCs w:val="20"/>
          <w:color w:val="auto"/>
        </w:rPr>
      </w:pPr>
      <w:r>
        <w:rPr>
          <w:rFonts w:ascii="Arial" w:cs="Arial" w:eastAsia="Arial" w:hAnsi="Arial"/>
          <w:sz w:val="17"/>
          <w:szCs w:val="17"/>
          <w:color w:val="auto"/>
        </w:rPr>
        <w:t>As of June 30, 2009, based on a review of each of the remaining securities in the investment securities portfolio, the Company concluded that it expects to recover its amortized cost basis for such securities. Accordingly, the Company concluded that the declines in the values of those securities were temporary and that additional other-than-temporary impairment charges were not appropriate at June 30, 2009. As of that date, the Company did not intend to sell nor is it anticipated that it would be required to sell any of its impaired securities, that is where fair value is less than the cost basis of the security. The Company intends to closely monitor the performance of the privately issued mortgage-backed securities and other securities to assess if changes in their underlying credit performance or other events cause the cost basis of those securities to become other-than-temporarily impaired. However, because the unrealized losses on available-for-sale investment securities have generally already been reflected in the financial statement values for investment securities and stockholders’ equity, any recognition of an other-than-temporary decline in value of those investment securities would not have a material effect on the Company’s consolidated financial condition. Any other-than-temporary impairment charge related to</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held-to-maturity securities would result in reductions in the financial statement values for investment securities and stockholders’ equity.</w:t>
      </w:r>
    </w:p>
    <w:p>
      <w:pPr>
        <w:spacing w:after="0" w:line="117" w:lineRule="exact"/>
        <w:rPr>
          <w:sz w:val="20"/>
          <w:szCs w:val="20"/>
          <w:color w:val="auto"/>
        </w:rPr>
      </w:pPr>
    </w:p>
    <w:p>
      <w:pPr>
        <w:ind w:right="40" w:firstLine="215"/>
        <w:spacing w:after="0" w:line="288" w:lineRule="auto"/>
        <w:rPr>
          <w:sz w:val="20"/>
          <w:szCs w:val="20"/>
          <w:color w:val="auto"/>
        </w:rPr>
      </w:pPr>
      <w:r>
        <w:rPr>
          <w:rFonts w:ascii="Arial" w:cs="Arial" w:eastAsia="Arial" w:hAnsi="Arial"/>
          <w:sz w:val="16"/>
          <w:szCs w:val="16"/>
          <w:color w:val="auto"/>
        </w:rPr>
        <w:t>Adjustments to reflect the funded status of defined benefit pension and other postretirement plans, net of applicable tax effect, reduced accumulated other comprehensive income by $174 million at each of June 30, 2009 and December 31, 2008, or $1.47 and $1.58 per common share at those respective dates, and $47 million, or $.43 per common share, at June 30, 2008. The increase in such adjustment at June 30, 2009 and December 31, 2008 as compared with</w:t>
      </w:r>
    </w:p>
    <w:p>
      <w:pPr>
        <w:ind w:right="40"/>
        <w:spacing w:after="0" w:line="302" w:lineRule="auto"/>
        <w:rPr>
          <w:sz w:val="20"/>
          <w:szCs w:val="20"/>
          <w:color w:val="auto"/>
        </w:rPr>
      </w:pPr>
      <w:r>
        <w:rPr>
          <w:rFonts w:ascii="Arial" w:cs="Arial" w:eastAsia="Arial" w:hAnsi="Arial"/>
          <w:sz w:val="16"/>
          <w:szCs w:val="16"/>
          <w:color w:val="auto"/>
        </w:rPr>
        <w:t>June 30, 2008 was predominantly the result of actual investment performance of assets held by the Company’s qualified pension plan being significantly worse than that assumed for actuarial purposes. During the recent quarter, the Company contributed 900,000 shares of M&amp;T common stock having a then fair value of $44 million to the Company’s qualified defined benefit pension plan. Those shares were issued from previously held treasury stock.</w:t>
      </w:r>
    </w:p>
    <w:p>
      <w:pPr>
        <w:spacing w:after="0" w:line="47" w:lineRule="exact"/>
        <w:rPr>
          <w:sz w:val="20"/>
          <w:szCs w:val="20"/>
          <w:color w:val="auto"/>
        </w:rPr>
      </w:pPr>
    </w:p>
    <w:p>
      <w:pPr>
        <w:ind w:right="100" w:firstLine="225"/>
        <w:spacing w:after="0" w:line="297" w:lineRule="auto"/>
        <w:rPr>
          <w:sz w:val="20"/>
          <w:szCs w:val="20"/>
          <w:color w:val="auto"/>
        </w:rPr>
      </w:pPr>
      <w:r>
        <w:rPr>
          <w:rFonts w:ascii="Arial" w:cs="Arial" w:eastAsia="Arial" w:hAnsi="Arial"/>
          <w:sz w:val="16"/>
          <w:szCs w:val="16"/>
          <w:color w:val="auto"/>
        </w:rPr>
        <w:t>Cash dividends paid on M&amp;T’s common stock during the quarter ended June 30, 2009 totaled $82 million, compared with $77 million and $78 million in the quarters ended June 30, 2008 and March 31, 2009, respectively, and represented a quarterly dividend payment of $.70 per common share in each of those quarters. Common stock dividends during the six-month periods ended June 30, 2009 and 2008 were $160 million and $154 million, respectively. A cash dividend of $7.5 million, or $12.50 per share, was paid in the second quarter of 2009 to the U.S. Treasury on M&amp;T’s Series A Preferred Stock, issued on December 23, 2008, compared with a similar dividend of $4 million, or $7.22 per share, during the first quarter of 2009.</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did not repurchase any shares of its common stock during 2008 or the first half of 2009.</w:t>
      </w:r>
    </w:p>
    <w:p>
      <w:pPr>
        <w:spacing w:after="0" w:line="117"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Federal regulators generally require banking institutions to maintain “Tier 1 capital” and “total capital” ratios of at least 4% and 8%, respectively, of risk-adjusted total assets. In addition to the risk-based measures, Federal bank regulators have also implemented a minimum “Tier 1 leverage” ratio guideline of 3% of the quarterly average of total assets. As of June 30, 2009, Tier 1 capital included trust preferred securities of $1.1 billion as described in note 4 of Notes to Financial Statements and total capital further included subordinated capital notes of $1.6 billion.</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regulatory capital ratios of the Company, M&amp;T Bank and M&amp;T Bank, N.A., as of June 30, 2009 are presented in the accompanying table.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REGULATORY CAPITAL RATIOS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30, 2009</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1140" w:type="dxa"/>
            <w:vAlign w:val="bottom"/>
          </w:tcPr>
          <w:p>
            <w:pPr>
              <w:jc w:val="right"/>
              <w:ind w:right="317"/>
              <w:spacing w:after="0"/>
              <w:rPr>
                <w:sz w:val="20"/>
                <w:szCs w:val="20"/>
                <w:color w:val="auto"/>
              </w:rPr>
            </w:pPr>
            <w:r>
              <w:rPr>
                <w:rFonts w:ascii="Arial" w:cs="Arial" w:eastAsia="Arial" w:hAnsi="Arial"/>
                <w:sz w:val="14"/>
                <w:szCs w:val="14"/>
                <w:color w:val="auto"/>
              </w:rPr>
              <w:t>M&amp;T</w:t>
            </w:r>
          </w:p>
        </w:tc>
        <w:tc>
          <w:tcPr>
            <w:tcW w:w="52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Arial" w:cs="Arial" w:eastAsia="Arial" w:hAnsi="Arial"/>
                <w:sz w:val="14"/>
                <w:szCs w:val="14"/>
                <w:color w:val="auto"/>
              </w:rPr>
              <w:t>M&amp;T</w:t>
            </w:r>
          </w:p>
        </w:tc>
        <w:tc>
          <w:tcPr>
            <w:tcW w:w="52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M&amp;T</w:t>
            </w:r>
          </w:p>
        </w:tc>
      </w:tr>
      <w:tr>
        <w:trPr>
          <w:trHeight w:val="167"/>
        </w:trPr>
        <w:tc>
          <w:tcPr>
            <w:tcW w:w="7120" w:type="dxa"/>
            <w:vAlign w:val="bottom"/>
          </w:tcPr>
          <w:p>
            <w:pPr>
              <w:spacing w:after="0"/>
              <w:rPr>
                <w:sz w:val="14"/>
                <w:szCs w:val="14"/>
                <w:color w:val="auto"/>
              </w:rPr>
            </w:pP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color w:val="auto"/>
              </w:rPr>
              <w:t>(Consolidated)</w:t>
            </w:r>
          </w:p>
        </w:tc>
        <w:tc>
          <w:tcPr>
            <w:tcW w:w="520" w:type="dxa"/>
            <w:vAlign w:val="bottom"/>
          </w:tcPr>
          <w:p>
            <w:pPr>
              <w:spacing w:after="0"/>
              <w:rPr>
                <w:sz w:val="14"/>
                <w:szCs w:val="14"/>
                <w:color w:val="auto"/>
              </w:rPr>
            </w:pPr>
          </w:p>
        </w:tc>
        <w:tc>
          <w:tcPr>
            <w:tcW w:w="10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Bank</w:t>
            </w:r>
          </w:p>
        </w:tc>
        <w:tc>
          <w:tcPr>
            <w:tcW w:w="520" w:type="dxa"/>
            <w:vAlign w:val="bottom"/>
          </w:tcPr>
          <w:p>
            <w:pPr>
              <w:spacing w:after="0"/>
              <w:rPr>
                <w:sz w:val="14"/>
                <w:szCs w:val="14"/>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Bank, N.A.</w:t>
            </w: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Tier 1 capital</w:t>
            </w: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8.17%</w:t>
            </w:r>
          </w:p>
        </w:tc>
        <w:tc>
          <w:tcPr>
            <w:tcW w:w="15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7.19%</w:t>
            </w:r>
          </w:p>
        </w:tc>
        <w:tc>
          <w:tcPr>
            <w:tcW w:w="16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19.52%</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Total capital</w:t>
            </w:r>
          </w:p>
        </w:tc>
        <w:tc>
          <w:tcPr>
            <w:tcW w:w="1140" w:type="dxa"/>
            <w:vAlign w:val="bottom"/>
          </w:tcPr>
          <w:p>
            <w:pPr>
              <w:jc w:val="right"/>
              <w:ind w:right="137"/>
              <w:spacing w:after="0"/>
              <w:rPr>
                <w:sz w:val="20"/>
                <w:szCs w:val="20"/>
                <w:color w:val="auto"/>
              </w:rPr>
            </w:pPr>
            <w:r>
              <w:rPr>
                <w:rFonts w:ascii="Arial" w:cs="Arial" w:eastAsia="Arial" w:hAnsi="Arial"/>
                <w:sz w:val="18"/>
                <w:szCs w:val="18"/>
                <w:color w:val="auto"/>
              </w:rPr>
              <w:t>11.87%</w:t>
            </w:r>
          </w:p>
        </w:tc>
        <w:tc>
          <w:tcPr>
            <w:tcW w:w="1560" w:type="dxa"/>
            <w:vAlign w:val="bottom"/>
            <w:gridSpan w:val="2"/>
          </w:tcPr>
          <w:p>
            <w:pPr>
              <w:jc w:val="right"/>
              <w:ind w:right="108"/>
              <w:spacing w:after="0"/>
              <w:rPr>
                <w:sz w:val="20"/>
                <w:szCs w:val="20"/>
                <w:color w:val="auto"/>
              </w:rPr>
            </w:pPr>
            <w:r>
              <w:rPr>
                <w:rFonts w:ascii="Arial" w:cs="Arial" w:eastAsia="Arial" w:hAnsi="Arial"/>
                <w:sz w:val="18"/>
                <w:szCs w:val="18"/>
                <w:color w:val="auto"/>
              </w:rPr>
              <w:t>10.94%</w:t>
            </w:r>
          </w:p>
        </w:tc>
        <w:tc>
          <w:tcPr>
            <w:tcW w:w="1600" w:type="dxa"/>
            <w:vAlign w:val="bottom"/>
            <w:gridSpan w:val="2"/>
          </w:tcPr>
          <w:p>
            <w:pPr>
              <w:jc w:val="right"/>
              <w:ind w:right="108"/>
              <w:spacing w:after="0"/>
              <w:rPr>
                <w:sz w:val="20"/>
                <w:szCs w:val="20"/>
                <w:color w:val="auto"/>
              </w:rPr>
            </w:pPr>
            <w:r>
              <w:rPr>
                <w:rFonts w:ascii="Arial" w:cs="Arial" w:eastAsia="Arial" w:hAnsi="Arial"/>
                <w:sz w:val="18"/>
                <w:szCs w:val="18"/>
                <w:color w:val="auto"/>
              </w:rPr>
              <w:t>19.84%</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Tier 1 leverage</w:t>
            </w: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8.38%</w:t>
            </w:r>
          </w:p>
        </w:tc>
        <w:tc>
          <w:tcPr>
            <w:tcW w:w="15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7.36%</w:t>
            </w:r>
          </w:p>
        </w:tc>
        <w:tc>
          <w:tcPr>
            <w:tcW w:w="16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19.01%</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As required by GAAP, the Company’s reportable segments have been determined based upon its internal profitability reporting system, which is organized by strategic business unit. Financial information about the Company’s segments is presented in note 12 of Notes to Financial Statements.</w:t>
      </w:r>
    </w:p>
    <w:p>
      <w:pPr>
        <w:spacing w:after="0" w:line="38"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The Business Banking segment recorded net income of $31 million in the second quarter of 2009, compared with $30 million in each of the quarters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ended June 30, 2008 and March 31, 2009. As compared with the second quarter of 2008, higher net interest income of $12 million, largely the result of increased deposit balances of $829 million and a 30 basis point widening of the net interest margin on loans, was mostly offset by a $9 million increase in noninterest expenses, reflecting a $5 million increase in deposit insurance expense. Approximately one-third of the increase in net interest income was due to the impact of the Provident acquisition. As compared with the first quarter of 2009, a $9 million increase in net interest income in the recent quarter, resulting from higher average deposit balances of $457 million and a 22 basis point widening of the net interest margin on loans, was largely offset by an $8 million increase in noninterest expenses, due in part to a $4 million rise in deposit insurance expense. Nearly one-half of the rise in net interest income resulted from the Provident transaction. Net income for this segment aggregated $61 million in the six-month period ended June 30, 2009, compared with $62 million in the first half of 2008. The slight decline in net income resulted from higher noninterest expenses of $11 million, reflecting a $6 million increase in deposit insurance expense, partially offset by a $10 million rise in net interest income. The increase in net interest income reflects the impact of higher average deposit and loan balances of $640 million and $274 million, respectively. Approximately two-fifths of the higher net interest income was due to the impact of the Provident acquisition.</w:t>
      </w:r>
    </w:p>
    <w:p>
      <w:pPr>
        <w:spacing w:after="0" w:line="75"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Net income for the Commercial Banking segment totaled $70 million in 2009’s second quarter, 31% higher than the $54 million earned in the second quarter of 2008, and up 22% from the $57 million recorded in the immediately preceding quarter. As compared with the second quarter of 2008, the improved performance was predominantly due to a $35 million rise in net interest income, resulting from the impact of higher average deposit balances of $3.0 billion and a widening of the net interest margin on loans of 43 basis points. Also contributing to the higher net income were $3 million increases in each of credit-related fees and fees for providing corporate advisory services, a lower provision for credit losses of $3 million, due to a decrease in net charge-offs, and a $2 million decline in personnel costs. Partially offsetting those favorable factors was a $7 million increase in deposit insurance expense and a $5 million decline in income related to end-of-term sales of commercial lease equipment. Contributing to the improvement in net income as compared with 2009’s first quarter were: a $14 million increase in net interest income, due mainly to the impact of higher deposit balances of $910 million and a 15 basis point widening of the net interest margin on loans; a lower provision for credit losses of $7 million, reflecting a decline in net charge-offs; and a $4 million improvement in fees earned for providing loan syndication services. Those favorable factors were partially offset by a $5 million increase in deposit insurance expense. For the six-month period ended June 30, 2009, net income aggregated $127 million, up from $120 million earned in the corresponding period of 2008. That improvement reflects a $44 million increase in net interest income, due, in part, to the impact of a $2.6 billion rise in average deposit balances, that was largely offset by a $14 million increase in the provision for credit losses, due to higher net loan charge-offs; a $9 million rise in deposit insurance expense; and lower income from providing loan syndication services and end-of-term sales of commercial lease equipment. The Provident acquisition did not have a significant impact on the Commercial Banking segment’s results for 2009.</w:t>
      </w:r>
    </w:p>
    <w:p>
      <w:pPr>
        <w:spacing w:after="0" w:line="75"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Net income earned by the Commercial Real Estate segment totaled $23 million in the quarter ended June 30, 2009, 45% lower than the $43 million earned in each of the quarters ended June 30, 2008 and March 31, 2009. The decline in net income from 2008’s second quarter was mainly due to a $44 million increase in the provision for credit losses, due to a significantly higher level of net charge-offs, and a $4 million increase in noninterest expenses, due in part to higher deposit insurance expense. The higher level</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of charge-offs in the recent quarter includes a $33 million charge-off of a loan to a single customer within this sector. Partially offsetting those unfavorable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factors was higher net interest income of $14 million. That improvement was the result of increases in average loan and deposit balances of $1.0 billion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$470 million, respectively, and a 17 basis point widening of the net interest margin on loans. Approximately one-third of the increase in net interest income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resulted from the Provident transaction. As compared with the initial 2009 quarter, the recent quarter’s decline in net income was due to a higher provision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 losses of $41 million, reflecting the previously mentioned charge-off, and a $4 million increase in noninterest expenses, including a $2 million increase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deposit insurance expense, offset, in part, by a $10 million rise in net interest income. The higher net interest income resulted from increases in average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 and deposit balances of $709 million and $309 million, respectively, and the widening of the net interest margin on loans of 7 basis points. The increases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net interest income and average loan balances were largely the result of the acquisition of Provident. For the six-month period ended June 30, 2009,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Commercial Real Estate segment’s net income totaled $66 million, down 22% from $85 million in the first half of 2008. That decline in net income was due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a higher provision for credit losses of $46 million, driven by increased net charge-offs (including the $33 million partial charge-off noted above), and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 million increase in deposit insurance expense, partially offset by a $17 million increase in net interest income, the result of higher average loan and deposit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balances of $837 million and $364 million, respectively, and a 7 basis point widening of the loan net interest margin. Approximately one-third of that rise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net interest income resulted from the acquisition of Provident.</w:t>
      </w:r>
    </w:p>
    <w:p>
      <w:pPr>
        <w:spacing w:after="0" w:line="103" w:lineRule="exact"/>
        <w:rPr>
          <w:sz w:val="20"/>
          <w:szCs w:val="20"/>
          <w:color w:val="auto"/>
        </w:rPr>
      </w:pPr>
    </w:p>
    <w:p>
      <w:pPr>
        <w:ind w:firstLine="222"/>
        <w:spacing w:after="0" w:line="268" w:lineRule="auto"/>
        <w:rPr>
          <w:sz w:val="20"/>
          <w:szCs w:val="20"/>
          <w:color w:val="auto"/>
        </w:rPr>
      </w:pPr>
      <w:r>
        <w:rPr>
          <w:rFonts w:ascii="Arial" w:cs="Arial" w:eastAsia="Arial" w:hAnsi="Arial"/>
          <w:sz w:val="17"/>
          <w:szCs w:val="17"/>
          <w:color w:val="auto"/>
        </w:rPr>
        <w:t>The Discretionary Portfolio segment incurred net losses of $3 million and $5 million in the quarters ended June 30, 2009 and March 31, 2009, respectively, compared with net income of $5 million in the second quarter of 2008. Included in the results of the two most recent quarters and the second quarter of 2008 were other-than-temporary impairment charges (pre-tax) of $25 million, $32 million, and $6 million, respectively. The impairment charges recorded in the recent quarter were on certain private CMOs and CDOs backed by trust preferred securities of financial institutions, while the impairment charges recorded in 2008’s second quarter and the first quarter of 2009 were on certain private CMOs. All of the impairment charges relate to bonds held in the Company’s available-for-sale investment securities portfolio. The impact of the impairment charges and a $5 million increase in the provision for credit losses, the result of an increase in net charge-offs of residential mortgage loans, were the main factors for the recent quarter’s decline in net income as compared with the second quarter of 2008. Those factors were offset, in part, by an $8 million increase in net interest income, largely the result of the Provident acquisition. The lower net loss as compared with the immediately preceding quarter reflects the impact of lower impairment charges, partially offset by an increase in the provision for credit losses of $3 million, predominantly from higher net charge-offs of residential mortgage loans. For the first six months of 2009, this segment incurred a net loss of $8 million, compared with net income in the corresponding period of 2008 of $21 million. That decline primarily resulted from the previously described other-than-temporary impairment charges and a higher provision for credit losses in 2009 of $7 million. A $6 million rise in net interest income, primarily the result of the Provident acquisition, and a $3 million decline in foreclosure-related costs, partially offset those unfavorable factors.</w:t>
      </w:r>
    </w:p>
    <w:p>
      <w:pPr>
        <w:spacing w:after="0" w:line="77" w:lineRule="exact"/>
        <w:rPr>
          <w:sz w:val="20"/>
          <w:szCs w:val="20"/>
          <w:color w:val="auto"/>
        </w:rPr>
      </w:pPr>
    </w:p>
    <w:p>
      <w:pPr>
        <w:ind w:right="160" w:firstLine="222"/>
        <w:spacing w:after="0" w:line="264" w:lineRule="auto"/>
        <w:rPr>
          <w:sz w:val="20"/>
          <w:szCs w:val="20"/>
          <w:color w:val="auto"/>
        </w:rPr>
      </w:pPr>
      <w:r>
        <w:rPr>
          <w:rFonts w:ascii="Arial" w:cs="Arial" w:eastAsia="Arial" w:hAnsi="Arial"/>
          <w:sz w:val="18"/>
          <w:szCs w:val="18"/>
          <w:color w:val="auto"/>
        </w:rPr>
        <w:t>The Residential Mortgage Banking segment incurred net losses of $11 million and $10 million in the second quarters of 2009 and 2008, respectively, compared with net income of $6 million in 2009’s initial quarter. As compared with the second 2008 quarter, a $31 million increase in noninterest expenses, including a $19 million write-down of the values of</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84" w:lineRule="auto"/>
        <w:rPr>
          <w:sz w:val="20"/>
          <w:szCs w:val="20"/>
          <w:color w:val="auto"/>
        </w:rPr>
      </w:pPr>
      <w:r>
        <w:rPr>
          <w:rFonts w:ascii="Arial" w:cs="Arial" w:eastAsia="Arial" w:hAnsi="Arial"/>
          <w:sz w:val="16"/>
          <w:szCs w:val="16"/>
          <w:color w:val="auto"/>
        </w:rPr>
        <w:t>certain previously foreclosed-upon residential real estate development projects (the result of updated appraised values), was mostly offset by a $16 million rise in noninterest revenues from residential mortgage origination and sales activities, primarily resulting from increased volumes and wider margins, and a lower provision for credit losses of $14 million, the result of a decline in net charge-offs of loans to builders and developers of residential real estate properties. The main factor contributing to the reduced net income as compared with the immediately preceding quarter was the previously described $19 million valuation adjustments related to foreclosed real estate. Also contributing to the unfavorable results were higher noninterest expenses of $9 million, reflecting increases in the provision for credit losses, personnel costs and other costs of operations. Partially offsetting those higher expenses was a</w:t>
      </w:r>
    </w:p>
    <w:p>
      <w:pPr>
        <w:spacing w:after="0" w:line="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$9 million partial reversal of the capitalized mortgage servicing rights valuation allowance in the recent quarter, compared with a $4 million partial reversal of such allowance in the first quarter of 2009. The Residential Mortgage Banking segment incurred net losses of $5 million in each of the six-month periods ended June 30, 2009 and 2008. When comparing the results of the first half of 2009 with the corresponding 2008 period, a $30 million improvement in revenues from residential mortgage origination and sales activities, primarily resulting from increased volume and wider margins, was offset by a $23 million increase in noninterest expenses (including the valuation adjustment on foreclosed real estate noted above) and a $6 million increase in the provision for credit losses, mostly due to higher net charge-offs of loans to builders and developers of residential real estate.</w:t>
      </w:r>
    </w:p>
    <w:p>
      <w:pPr>
        <w:spacing w:after="0" w:line="71" w:lineRule="exact"/>
        <w:rPr>
          <w:sz w:val="20"/>
          <w:szCs w:val="20"/>
          <w:color w:val="auto"/>
        </w:rPr>
      </w:pPr>
    </w:p>
    <w:p>
      <w:pPr>
        <w:ind w:firstLine="222"/>
        <w:spacing w:after="0" w:line="268" w:lineRule="auto"/>
        <w:rPr>
          <w:sz w:val="20"/>
          <w:szCs w:val="20"/>
          <w:color w:val="auto"/>
        </w:rPr>
      </w:pPr>
      <w:r>
        <w:rPr>
          <w:rFonts w:ascii="Arial" w:cs="Arial" w:eastAsia="Arial" w:hAnsi="Arial"/>
          <w:sz w:val="17"/>
          <w:szCs w:val="17"/>
          <w:color w:val="auto"/>
        </w:rPr>
        <w:t>The Retail Banking segment contributed net income of $54 million in the recently completed quarter, compared with $63 million in the second quarter of 2008 and $52 million in the first quarter of 2009. The decline in net income from the second quarter of 2008 was mainly due to a $24 million increase in deposit insurance expense and an $11 million increase in the provision for credit losses, predominantly due to higher net charge-offs of loans. Partially offsetting those unfavorable factors were a $20 million increase in net interest income and a $2 million rise in deposit service fees. The higher net interest income resulted largely from a $2.4 billion increase in average deposit balances, of which approximately one-half was the result of the acquisition of Provident, and a widening of the net interest margin. Contributing to the increase in net income from the initial quarter of 2009 were higher net interest income of $15 million, reflecting increases in average deposit and loan balances of $1.3 billion and $612 million, respectively, each predominantly due to the impact of the acquisition of Provident; a $13 million rise in fees earned for providing deposit account services resulting from the Provident acquisition and seasonally lower fees in the first quarter of 2009; and a lower provision for credit losses of $3 million, due to a decline in net charge-offs of consumer loans. Partially offsetting those favorable factors were higher deposit insurance expense of $19 million, an increase in personnel costs of $6 million, primarily related to the Provident acquisition, and a $3 million rise in other noninterest expenses. For the first six months of 2009, the Retail Banking segment’s net income declined 23% to $107 million from $138 million in the first six months of 2008. The leading factors contributing to that decline were higher deposit insurance expense of $30 million and a $28 million increase in the provision for credit losses, predominantly due to higher net charge-offs. Those factors were offset, in part, by a $9 million rise in net interest income, due largely to a $2.0 billion increase in average deposit balances. Approximately one-third of the rise in net interest income was due to Provident.</w:t>
      </w:r>
    </w:p>
    <w:p>
      <w:pPr>
        <w:spacing w:after="0" w:line="75" w:lineRule="exact"/>
        <w:rPr>
          <w:sz w:val="20"/>
          <w:szCs w:val="20"/>
          <w:color w:val="auto"/>
        </w:rPr>
      </w:pPr>
    </w:p>
    <w:p>
      <w:pPr>
        <w:ind w:right="140" w:firstLine="222"/>
        <w:spacing w:after="0" w:line="264" w:lineRule="auto"/>
        <w:rPr>
          <w:sz w:val="20"/>
          <w:szCs w:val="20"/>
          <w:color w:val="auto"/>
        </w:rPr>
      </w:pPr>
      <w:r>
        <w:rPr>
          <w:rFonts w:ascii="Arial" w:cs="Arial" w:eastAsia="Arial" w:hAnsi="Arial"/>
          <w:sz w:val="18"/>
          <w:szCs w:val="18"/>
          <w:color w:val="auto"/>
        </w:rPr>
        <w:t>The “All Other” category reflects other activities of the Company that are not directly attributable to the reported segments. Reflected in this category are the amortization of core deposit and other intangible assets resulting from the acquisitions of financial institutions, M&amp;T’s equity in the earnings of BLG, merger-related expenses resulting from acquisitions of</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financial institutions and the net impact of the Company’s allocation methodologies for internal funds transfer pricing and the provision for credit losses. The various components of the “All Other” category resulted in net losses of $113 million in the second quarter of 2009, $23 million in the year-earlier quarter, and $119 million in the first quarter of 2009. The main factors contributing to the higher net loss in the most recent quarter as compared with the year-earlier quarter were the unfavorable impact from the Company’s allocation methodologies for internal transfers for funding charges and credits associated with the earning assets and interest-bearing liabilities of the Company’s reportable segments and $66 million of merger-related expenses associated with the acquisition of Provident in the recent quarter. There were no merger-related expenses in the second quarter of 2008. Several favorable factors contributed to the lower net loss in the second quarter of 2009 as compared with the immediately preceding quarter including: the impact from the Company’s allocation methodologies for internal transfers of the provision for credit losses; higher noninterest revenues associated with the business units included in the “All Other” category of $22 million; and an $11 million decrease in personnel-related costs, largely due to lower stock-based compensation expense, payroll-related taxes and other employee benefits related to incentive compensation payments made in 2009’s first quarter. Those factors were partially offset by a $64 million increase in merger-related expenses related to the acquisition of Provident. For the first six months of 2009, the “All Other” category reported a net loss of $232 million, compared with a net loss of $60 million in the similar 2008 period. The higher net loss as compared with the first half of 2008 is attributable to the following unfavorable factors: the impact from the Company’s allocation methodologies for internal transfers for funding charges and credits associated with the earning assets and interest-bearing liabilities of the Company’s reportable segments and the provision for credit losses; $69 million of merger-related expenses associated with the Provident acquisition recorded in the first half of 2009, compared with $4 million of merger-related expenses in 2008’s first six months related to acquisition transactions completed in the fourth quarter of 2007; Visa-related transactions that were recorded in the first quarter of 2008, including the previously mentioned $33 million gain realized from the mandatory partial redemption of Visa stock owned by M&amp;T Bank and $15 million related to the reversal of Visa litigation-related accruals initially made in 2007’s fourth quarter; lower trust income of $13 million; and a $17 million increase in personnel costs associated with the business and support units included in the “All Other” category.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June 2009, the FASB issued Statement of Financial Accounting Standards (“SFAS”) No. 167, “Amendments to FASB Interpretation No. 46(R).” SFAS No. 167 amends FASB Interpretation No. 46(R) to eliminate the quantitative approach previously required for determining the primary beneficiary of a variable interest entity. SFAS No. 167 instead requires a reporting entity to qualitatively assess the determination of the primary beneficiary of a variable interest entity based on whether the reporting entity has the power to direct the activities that most significantly impact the variable interest entity’s economic performance and has the obligation to absorb losses or the right to receive benefits of the variable interest entity that could potentially be significant to the variable interest entity. SFAS No. 167 requires ongoing reassessments of whether the reporting entity is the primary beneficiary of a variable interest entity. SFAS No. 167 is effective as of the beginning of the first annual reporting period that begins after November 15, 2009, for interim periods within that first annual reporting period, and for interim and annual</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reporting periods thereafter. Earlier adoption is prohibited. The Company is still evaluating the impact that the provisions of SFAS No. 167 will have on its financial statements.</w:t>
      </w:r>
    </w:p>
    <w:p>
      <w:pPr>
        <w:spacing w:after="0" w:line="62" w:lineRule="exact"/>
        <w:rPr>
          <w:sz w:val="20"/>
          <w:szCs w:val="20"/>
          <w:color w:val="auto"/>
        </w:rPr>
      </w:pPr>
    </w:p>
    <w:p>
      <w:pPr>
        <w:ind w:firstLine="225"/>
        <w:spacing w:after="0" w:line="253" w:lineRule="auto"/>
        <w:rPr>
          <w:sz w:val="20"/>
          <w:szCs w:val="20"/>
          <w:color w:val="auto"/>
        </w:rPr>
      </w:pPr>
      <w:r>
        <w:rPr>
          <w:rFonts w:ascii="Arial" w:cs="Arial" w:eastAsia="Arial" w:hAnsi="Arial"/>
          <w:sz w:val="18"/>
          <w:szCs w:val="18"/>
          <w:color w:val="auto"/>
        </w:rPr>
        <w:t>In June 2009, the FASB also issued SFAS No. 166, “Accounting for Transfers of Financial Assets – an amendment of FASB Statement No. 140.” SFAS No. 166 eliminates the exceptions for qualifying special purpose entities from the consolidation guidance and the exception that permitted sale accounting for certain mortgage securitizations when a transferor has not surrendered control over the transferred assets. SFAS No. 166 is effective as of the beginning of the first annual reporting period that begins after November 15, 2009, for interim periods within that first annual reporting period, and for interim and annual reporting periods thereafter. Earlier adoption is prohibited. The recognition and measurement provisions of this SFAS should be applied to transfers that occur on or after the effective date. Additionally, on and after the effective date, the concept of a qualifying special-purpose entity is no longer relevant for accounting purposes. Therefore, formerly qualifying special-purpose entities will be evaluated for consolidation on and after the effective date in accordance with applicable consolidation guidance, including SFAS No. 167. The Company is still evaluating the impact that the provisions of SFAS No. 166 will have on its financial statements.</w:t>
      </w:r>
    </w:p>
    <w:p>
      <w:pPr>
        <w:spacing w:after="0" w:line="89"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color w:val="auto"/>
        </w:rPr>
        <w:t>In May 2009, the FASB issued SFAS No. 165, “Subsequent Events.” Subsequent events are defined by SFAS No. 165 as events or transactions that occur after the balance sheet date but before financial statements are issued or are available to be issued. SFAS No. 165 requires an entity to recognize in the financial statements the effects of all subsequent events that provide additional evidence about conditions that existed at the date of the balance sheet, including the estimates inherent in the process of preparing financial statements. Subsequent events that provide evidence about conditions that did not exist at the date of the balance sheet but arose after the balance sheet date but before financial statements are issued or are available to be issued are not recognized in the financial statements. SFAS No. 165 requires disclosure of the date through which subsequent events have been evaluated, as well as nonrecognized subsequent events of such a nature that they must be disclosed to keep the financial statements from being misleading. SFAS No. 165 is effective for interim or annual periods ending after June 15, 2009 and should be applied prospectively. The adoption of SFAS No. 165 did not have a material impact on the Company’s financial statements as of and for the periods ended June 30, 2009.</w:t>
      </w:r>
    </w:p>
    <w:p>
      <w:pPr>
        <w:spacing w:after="0" w:line="74" w:lineRule="exact"/>
        <w:rPr>
          <w:sz w:val="20"/>
          <w:szCs w:val="20"/>
          <w:color w:val="auto"/>
        </w:rPr>
      </w:pPr>
    </w:p>
    <w:p>
      <w:pPr>
        <w:ind w:right="160" w:firstLine="225"/>
        <w:spacing w:after="0" w:line="288" w:lineRule="auto"/>
        <w:rPr>
          <w:sz w:val="20"/>
          <w:szCs w:val="20"/>
          <w:color w:val="auto"/>
        </w:rPr>
      </w:pPr>
      <w:r>
        <w:rPr>
          <w:rFonts w:ascii="Arial" w:cs="Arial" w:eastAsia="Arial" w:hAnsi="Arial"/>
          <w:sz w:val="16"/>
          <w:szCs w:val="16"/>
          <w:color w:val="auto"/>
        </w:rPr>
        <w:t>In December 2007, the FASB issued a revised SFAS No. 141, “Business Combinations” (“SFAS No. 141R”). SFAS No. 141R retains the fundamental requirements of SFAS No. 141 that the acquisition method of accounting be used for all business combinations and for an acquirer to be identified for each business combination. SFAS No. 141R defines the acquirer as the entity that obtains control of one or more businesses in the business combination and establishes the acquisition date as the date the acquirer achieves control. SFAS No. 141R retains the guidance in SFAS No. 141 for identifying and recognizing intangible assets separately from goodwill. With limited exceptions, the statement requires an acquirer to recognize the assets acquired, the liabilities assumed and any noncontrolling interest in the acquiree at the acquisition date, measured at their fair value as of that date. That replaces SFAS No. 141’s cost-allocation process, which required the cost of an acquisition to be allocated to the individual assets acquired and liabilities assumed based on their estimated fair values. As a result, certain acquisition-related costs previously included in the cost of an acquisition are now required to be expensed as incurred. In addition, certain restructuring costs previously recognized as if they were an assumed liability from an acquisition are also required to be expensed. SFAS No. 141R also requires the acquirer in a business combination achieved in stages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(sometimes referred to as a step acquisition) to recognize the identifiable assets and liabilities, as well as the noncontrolling interest in the acquiree, at the full amounts of their fair values. SFAS No. 141R requires an acquirer to recognize goodwill as of the acquisition date measured as a residual, which in most types of business combinations will result in measuring goodwill as the excess of the consideration transferred plus the fair value of any noncontrolling interest in the acquiree at the acquisition date over the fair value of the identifiable net assets acquired. SFAS No. 141R also eliminates the recognition of a separate valuation allowance, such as an allowance for credit losses, as of the acquisition date for assets acquired in a business combination that are measured at their acquisition-date fair values because the effects of uncertainty about future cash flows should be included in the fair value measurement of those assets. SFAS No. 141R must be applied prospectively to business combinations for which the acquisition date is on or after the beginning of the first annual reporting period beginning on or after December 15, 2008. Earlier adoption is prohibited. The adoption of SFAS No. 141R significantly impacts the accounting for acquisitions consummated in 2009 and beyond, including the Company’s acquisition of Provident in a stock-for-stock transaction, which was completed on May 23, 2009. Information concerning the Provident acquisition is included in note 2 of Notes to Financial Statements.</w:t>
      </w:r>
    </w:p>
    <w:p>
      <w:pPr>
        <w:spacing w:after="0" w:line="61" w:lineRule="exact"/>
        <w:rPr>
          <w:sz w:val="20"/>
          <w:szCs w:val="20"/>
          <w:color w:val="auto"/>
        </w:rPr>
      </w:pPr>
    </w:p>
    <w:p>
      <w:pPr>
        <w:ind w:right="60" w:firstLine="225"/>
        <w:spacing w:after="0" w:line="268" w:lineRule="auto"/>
        <w:rPr>
          <w:sz w:val="20"/>
          <w:szCs w:val="20"/>
          <w:color w:val="auto"/>
        </w:rPr>
      </w:pPr>
      <w:r>
        <w:rPr>
          <w:rFonts w:ascii="Arial" w:cs="Arial" w:eastAsia="Arial" w:hAnsi="Arial"/>
          <w:sz w:val="17"/>
          <w:szCs w:val="17"/>
          <w:color w:val="auto"/>
        </w:rPr>
        <w:t>In April 2009, the FASB issued FASB Staff Position FAS 141(R)-1, “Accounting for Assets Acquired and Liabilities Assumed in a Business Combination That Arise from Contingencies” (“FSP 141R-1”). FSP 141R-1 amends and clarifies SFAS No. 141R to address application issues with respect to initial recognition and measurement, subsequent measurement and accounting, and disclosure of assets and liabilities arising from contingencies in a business combination. FSP 141R-1 applies to all assets acquired and liabilities assumed in a business combination that arise from contingencies that would be within the scope of SFAS No. 5, “Accounting for Contingencies,” if not acquired or assumed in a business combination, except for assets or liabilities arising from contingencies that are subject to specific guidance in SFAS No. 141R. FSP 141R-1 requires an acquirer to recognize at fair value, at the acquisition date, an asset acquired or a liability assumed in a business combination that arises from a contingency if the acquisition-date fair value of that asset or liability can be determined during the measurement period. If the acquisition-date fair value of an asset acquired or a liability assumed in a business combination that arises from a contingency cannot be determined during the measurement period, an asset or liability shall be recognized if it is probable that an asset existed or that a liability had been incurred at the acquisition date and the amount of the asset or liability can be reasonably estimated. An acquirer shall develop a rational basis for subsequently measuring and accounting for assets and liabilities arising from contingencies depending on their nature. FSP 141R-1 is effective for assets or liabilities arising from contingencies in business combinations for which the acquisition date is on or after the beginning of the first annual reporting period beginning on or after December 15, 2008. The Company applied the guidance of FSP 141R-1 in accounting for the aforementioned Provident transaction completed during the second quarter of 2009. Information concerning the Provident acquisition is included in note 2 of Notes to Financial Statements.</w:t>
      </w:r>
    </w:p>
    <w:p>
      <w:pPr>
        <w:spacing w:after="0" w:line="75"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In December 2008, the FASB issued FASB Staff Position FAS 132(R)-1, “Employers’ Disclosures about Postretirement Benefit Plan Assets” (“FSP 132R-1”). FSP 132R-1 was issued to provide guidance on an employer’s disclosures about plan assets of a defined benefit pension or other postretirement plan. FSP 132R-1 requires an employer to disclose information about how investment allocation decisions are made, including factors that are pertinent to an understanding of investment policies and strategies. An employer will also need to disclose separately for pension plans and other postretirement benefit plans the fair value of each major category of plan assets as of each</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annual reporting date for which a statement of financial position is presented. FSP 132R-1 also requires the disclosure of information that enables financial statement users to assess the inputs and valuation techniques used to develop fair value measurements of plan assets at the annual reporting date. For fair value measurements using significant unobservable inputs (Level 3), an employer will be required to disclose the effect of the measurements on changes in plan assets for the period. Furthermore, an employer is required to provide financial statement users with an understanding of significant concentrations of risk in plan assets. FSP 132R-1 should be applied for fiscal years ending after December 15, 2009. Upon initial application, the provisions of FSP 132R-1 are not required for earlier periods that are presented for comparative purposes. The Company intends to comply with the disclosure requirements of FSP 132R-1.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Management’s Discussion and Analysis of Financial Condition and Results of Operations and other sections of this quarterly report contain forward-looking statements that are based on current expectations, estimates and projections about the Company’s business, management’s beliefs and assumptions made by management.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w:t>
      </w:r>
    </w:p>
    <w:p>
      <w:pPr>
        <w:spacing w:after="0" w:line="46" w:lineRule="exact"/>
        <w:rPr>
          <w:sz w:val="20"/>
          <w:szCs w:val="20"/>
          <w:color w:val="auto"/>
        </w:rPr>
      </w:pPr>
    </w:p>
    <w:p>
      <w:pPr>
        <w:ind w:right="60" w:firstLine="225"/>
        <w:spacing w:after="0" w:line="287" w:lineRule="auto"/>
        <w:rPr>
          <w:sz w:val="20"/>
          <w:szCs w:val="20"/>
          <w:color w:val="auto"/>
        </w:rPr>
      </w:pPr>
      <w:r>
        <w:rPr>
          <w:rFonts w:ascii="Arial" w:cs="Arial" w:eastAsia="Arial" w:hAnsi="Arial"/>
          <w:sz w:val="16"/>
          <w:szCs w:val="16"/>
          <w:color w:val="auto"/>
        </w:rPr>
        <w:t>Future Factors include changes in interest rates, spreads on earning assets and interest-bearing liabilities, and interest rate sensitivity; prepayment speeds, loan originations, credit losses and market values on loans, collateral securing loans and other assets; sources of liquidity; common shares outstanding; common stock price volatility; fair value of and number of stock-based compensation awards to be issued in future periods; legislation affecting the financial services industry as a whole, and M&amp;T and its subsidiaries individually or collectively, including tax legislation; regulatory supervision and oversight, including monetary policy and required capital levels; changes in accounting policies or procedures as may be required by the FASB or other regulatory agencies; increasing price and product/service competition by competitors, including new entrants; rapid technological developments and changes; the ability to continue to introduce competitive new products and services on a timely, cost-effective basis; the mix of products/services; containing costs and expenses; governmental and public policy changes; protection and validity of intellectual property rights; reliance on large customers; technological, implementation and cost/financial risks in large, multi-year contracts; the outcome of pending and future litigation and governmental proceedings, including tax-related examinations and other matters; continued availability of financing; financial resources in the amounts, at the times and on the terms required to support M&amp;T and its subsidiaries’ future businesses; and material differences in the actual financial results of merger, acquisition and investment activities compared with M&amp;T’s initial expectations, including the full realization of anticipated cost savings and revenue enhancements.</w:t>
      </w:r>
    </w:p>
    <w:p>
      <w:pPr>
        <w:spacing w:after="0" w:line="61" w:lineRule="exact"/>
        <w:rPr>
          <w:sz w:val="20"/>
          <w:szCs w:val="20"/>
          <w:color w:val="auto"/>
        </w:rPr>
      </w:pPr>
    </w:p>
    <w:p>
      <w:pPr>
        <w:ind w:right="120" w:firstLine="222"/>
        <w:spacing w:after="0" w:line="259" w:lineRule="auto"/>
        <w:rPr>
          <w:sz w:val="20"/>
          <w:szCs w:val="20"/>
          <w:color w:val="auto"/>
        </w:rPr>
      </w:pPr>
      <w:r>
        <w:rPr>
          <w:rFonts w:ascii="Arial" w:cs="Arial" w:eastAsia="Arial" w:hAnsi="Arial"/>
          <w:sz w:val="18"/>
          <w:szCs w:val="18"/>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20" w:type="dxa"/>
            <w:vAlign w:val="bottom"/>
            <w:gridSpan w:val="2"/>
          </w:tcPr>
          <w:p>
            <w:pPr>
              <w:ind w:left="660"/>
              <w:spacing w:after="0"/>
              <w:rPr>
                <w:sz w:val="20"/>
                <w:szCs w:val="20"/>
                <w:color w:val="auto"/>
              </w:rPr>
            </w:pPr>
            <w:r>
              <w:rPr>
                <w:rFonts w:ascii="Arial" w:cs="Arial" w:eastAsia="Arial" w:hAnsi="Arial"/>
                <w:sz w:val="18"/>
                <w:szCs w:val="18"/>
                <w:color w:val="auto"/>
                <w:w w:val="89"/>
              </w:rPr>
              <w:t>Table 1</w:t>
            </w:r>
          </w:p>
        </w:tc>
      </w:tr>
      <w:tr>
        <w:trPr>
          <w:trHeight w:val="432"/>
        </w:trPr>
        <w:tc>
          <w:tcPr>
            <w:tcW w:w="2960" w:type="dxa"/>
            <w:vAlign w:val="bottom"/>
            <w:gridSpan w:val="2"/>
          </w:tcPr>
          <w:p>
            <w:pPr>
              <w:spacing w:after="0"/>
              <w:rPr>
                <w:sz w:val="20"/>
                <w:szCs w:val="20"/>
                <w:color w:val="auto"/>
              </w:rPr>
            </w:pPr>
            <w:r>
              <w:rPr>
                <w:rFonts w:ascii="Arial" w:cs="Arial" w:eastAsia="Arial" w:hAnsi="Arial"/>
                <w:sz w:val="18"/>
                <w:szCs w:val="18"/>
                <w:color w:val="auto"/>
              </w:rPr>
              <w:t>QUARTERLY TRENDS</w:t>
            </w: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 Quarters</w:t>
            </w:r>
          </w:p>
        </w:tc>
        <w:tc>
          <w:tcPr>
            <w:tcW w:w="10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2008 Quarters</w:t>
            </w:r>
          </w:p>
        </w:tc>
        <w:tc>
          <w:tcPr>
            <w:tcW w:w="10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29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888"/>
              <w:spacing w:after="0" w:line="142" w:lineRule="exact"/>
              <w:rPr>
                <w:sz w:val="20"/>
                <w:szCs w:val="20"/>
                <w:color w:val="auto"/>
              </w:rPr>
            </w:pPr>
            <w:r>
              <w:rPr>
                <w:rFonts w:ascii="Arial" w:cs="Arial" w:eastAsia="Arial" w:hAnsi="Arial"/>
                <w:sz w:val="14"/>
                <w:szCs w:val="14"/>
                <w:color w:val="auto"/>
                <w:w w:val="92"/>
              </w:rPr>
              <w:t>Second</w:t>
            </w:r>
          </w:p>
        </w:tc>
        <w:tc>
          <w:tcPr>
            <w:tcW w:w="1060" w:type="dxa"/>
            <w:vAlign w:val="bottom"/>
            <w:tcBorders>
              <w:bottom w:val="single" w:sz="8" w:color="auto"/>
            </w:tcBorders>
          </w:tcPr>
          <w:p>
            <w:pPr>
              <w:jc w:val="right"/>
              <w:ind w:right="568"/>
              <w:spacing w:after="0" w:line="142" w:lineRule="exact"/>
              <w:rPr>
                <w:sz w:val="20"/>
                <w:szCs w:val="20"/>
                <w:color w:val="auto"/>
              </w:rPr>
            </w:pPr>
            <w:r>
              <w:rPr>
                <w:rFonts w:ascii="Arial" w:cs="Arial" w:eastAsia="Arial" w:hAnsi="Arial"/>
                <w:sz w:val="14"/>
                <w:szCs w:val="14"/>
                <w:color w:val="auto"/>
              </w:rPr>
              <w:t>First</w:t>
            </w:r>
          </w:p>
        </w:tc>
        <w:tc>
          <w:tcPr>
            <w:tcW w:w="1460" w:type="dxa"/>
            <w:vAlign w:val="bottom"/>
            <w:tcBorders>
              <w:bottom w:val="single" w:sz="8" w:color="auto"/>
            </w:tcBorders>
          </w:tcPr>
          <w:p>
            <w:pPr>
              <w:jc w:val="right"/>
              <w:ind w:right="528"/>
              <w:spacing w:after="0" w:line="142" w:lineRule="exact"/>
              <w:rPr>
                <w:sz w:val="20"/>
                <w:szCs w:val="20"/>
                <w:color w:val="auto"/>
              </w:rPr>
            </w:pPr>
            <w:r>
              <w:rPr>
                <w:rFonts w:ascii="Arial" w:cs="Arial" w:eastAsia="Arial" w:hAnsi="Arial"/>
                <w:sz w:val="14"/>
                <w:szCs w:val="14"/>
                <w:color w:val="auto"/>
              </w:rPr>
              <w:t>Fourth</w:t>
            </w:r>
          </w:p>
        </w:tc>
        <w:tc>
          <w:tcPr>
            <w:tcW w:w="1860" w:type="dxa"/>
            <w:vAlign w:val="bottom"/>
            <w:tcBorders>
              <w:bottom w:val="single" w:sz="8" w:color="auto"/>
            </w:tcBorders>
          </w:tcPr>
          <w:p>
            <w:pPr>
              <w:jc w:val="right"/>
              <w:ind w:right="948"/>
              <w:spacing w:after="0" w:line="142" w:lineRule="exact"/>
              <w:rPr>
                <w:sz w:val="20"/>
                <w:szCs w:val="20"/>
                <w:color w:val="auto"/>
              </w:rPr>
            </w:pPr>
            <w:r>
              <w:rPr>
                <w:rFonts w:ascii="Arial" w:cs="Arial" w:eastAsia="Arial" w:hAnsi="Arial"/>
                <w:sz w:val="14"/>
                <w:szCs w:val="14"/>
                <w:color w:val="auto"/>
              </w:rPr>
              <w:t>Third</w:t>
            </w:r>
          </w:p>
        </w:tc>
        <w:tc>
          <w:tcPr>
            <w:tcW w:w="1060" w:type="dxa"/>
            <w:vAlign w:val="bottom"/>
            <w:tcBorders>
              <w:bottom w:val="single" w:sz="8" w:color="auto"/>
            </w:tcBorders>
          </w:tcPr>
          <w:p>
            <w:pPr>
              <w:jc w:val="right"/>
              <w:ind w:right="508"/>
              <w:spacing w:after="0" w:line="142" w:lineRule="exact"/>
              <w:rPr>
                <w:sz w:val="20"/>
                <w:szCs w:val="20"/>
                <w:color w:val="auto"/>
              </w:rPr>
            </w:pPr>
            <w:r>
              <w:rPr>
                <w:rFonts w:ascii="Arial" w:cs="Arial" w:eastAsia="Arial" w:hAnsi="Arial"/>
                <w:sz w:val="14"/>
                <w:szCs w:val="14"/>
                <w:color w:val="auto"/>
                <w:w w:val="96"/>
              </w:rPr>
              <w:t>Second</w:t>
            </w:r>
          </w:p>
        </w:tc>
        <w:tc>
          <w:tcPr>
            <w:tcW w:w="120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color w:val="auto"/>
              </w:rPr>
              <w:t>First</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Earnings and dividends</w:t>
            </w:r>
          </w:p>
        </w:tc>
        <w:tc>
          <w:tcPr>
            <w:tcW w:w="4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line="149" w:lineRule="exact"/>
              <w:rPr>
                <w:sz w:val="20"/>
                <w:szCs w:val="20"/>
                <w:color w:val="auto"/>
              </w:rPr>
            </w:pPr>
            <w:r>
              <w:rPr>
                <w:rFonts w:ascii="Arial" w:cs="Arial" w:eastAsia="Arial" w:hAnsi="Arial"/>
                <w:sz w:val="14"/>
                <w:szCs w:val="14"/>
                <w:i w:val="1"/>
                <w:iCs w:val="1"/>
                <w:color w:val="auto"/>
              </w:rPr>
              <w:t>Amounts in thousands, except per share</w:t>
            </w:r>
          </w:p>
        </w:tc>
        <w:tc>
          <w:tcPr>
            <w:tcW w:w="4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 (taxable-equivalent basis)</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868"/>
              <w:spacing w:after="0" w:line="149" w:lineRule="exact"/>
              <w:rPr>
                <w:sz w:val="20"/>
                <w:szCs w:val="20"/>
                <w:color w:val="auto"/>
              </w:rPr>
            </w:pPr>
            <w:r>
              <w:rPr>
                <w:rFonts w:ascii="Arial" w:cs="Arial" w:eastAsia="Arial" w:hAnsi="Arial"/>
                <w:sz w:val="14"/>
                <w:szCs w:val="14"/>
                <w:color w:val="auto"/>
                <w:w w:val="90"/>
              </w:rPr>
              <w:t>682,637</w:t>
            </w:r>
          </w:p>
        </w:tc>
        <w:tc>
          <w:tcPr>
            <w:tcW w:w="106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w w:val="94"/>
              </w:rPr>
              <w:t>659,445</w:t>
            </w:r>
          </w:p>
        </w:tc>
        <w:tc>
          <w:tcPr>
            <w:tcW w:w="146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779,468</w:t>
            </w:r>
          </w:p>
        </w:tc>
        <w:tc>
          <w:tcPr>
            <w:tcW w:w="1860" w:type="dxa"/>
            <w:vAlign w:val="bottom"/>
            <w:shd w:val="clear" w:color="auto" w:fill="CCEEFF"/>
          </w:tcPr>
          <w:p>
            <w:pPr>
              <w:jc w:val="right"/>
              <w:ind w:right="888"/>
              <w:spacing w:after="0" w:line="149" w:lineRule="exact"/>
              <w:rPr>
                <w:sz w:val="20"/>
                <w:szCs w:val="20"/>
                <w:color w:val="auto"/>
              </w:rPr>
            </w:pPr>
            <w:r>
              <w:rPr>
                <w:rFonts w:ascii="Arial" w:cs="Arial" w:eastAsia="Arial" w:hAnsi="Arial"/>
                <w:sz w:val="14"/>
                <w:szCs w:val="14"/>
                <w:color w:val="auto"/>
              </w:rPr>
              <w:t>806,614</w:t>
            </w:r>
          </w:p>
        </w:tc>
        <w:tc>
          <w:tcPr>
            <w:tcW w:w="106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w w:val="94"/>
              </w:rPr>
              <w:t>823,425</w:t>
            </w:r>
          </w:p>
        </w:tc>
        <w:tc>
          <w:tcPr>
            <w:tcW w:w="120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889,945</w:t>
            </w:r>
          </w:p>
        </w:tc>
        <w:tc>
          <w:tcPr>
            <w:tcW w:w="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29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Interest expense</w:t>
            </w:r>
          </w:p>
        </w:tc>
        <w:tc>
          <w:tcPr>
            <w:tcW w:w="4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868"/>
              <w:spacing w:after="0" w:line="149" w:lineRule="exact"/>
              <w:rPr>
                <w:sz w:val="20"/>
                <w:szCs w:val="20"/>
                <w:color w:val="auto"/>
              </w:rPr>
            </w:pPr>
            <w:r>
              <w:rPr>
                <w:rFonts w:ascii="Arial" w:cs="Arial" w:eastAsia="Arial" w:hAnsi="Arial"/>
                <w:sz w:val="14"/>
                <w:szCs w:val="14"/>
                <w:color w:val="auto"/>
                <w:w w:val="90"/>
              </w:rPr>
              <w:t>175,856</w:t>
            </w:r>
          </w:p>
        </w:tc>
        <w:tc>
          <w:tcPr>
            <w:tcW w:w="1060" w:type="dxa"/>
            <w:vAlign w:val="bottom"/>
            <w:tcBorders>
              <w:bottom w:val="single" w:sz="8" w:color="auto"/>
            </w:tcBorders>
          </w:tcPr>
          <w:p>
            <w:pPr>
              <w:jc w:val="right"/>
              <w:ind w:right="488"/>
              <w:spacing w:after="0" w:line="149" w:lineRule="exact"/>
              <w:rPr>
                <w:sz w:val="20"/>
                <w:szCs w:val="20"/>
                <w:color w:val="auto"/>
              </w:rPr>
            </w:pPr>
            <w:r>
              <w:rPr>
                <w:rFonts w:ascii="Arial" w:cs="Arial" w:eastAsia="Arial" w:hAnsi="Arial"/>
                <w:sz w:val="14"/>
                <w:szCs w:val="14"/>
                <w:color w:val="auto"/>
                <w:w w:val="94"/>
              </w:rPr>
              <w:t>206,705</w:t>
            </w:r>
          </w:p>
        </w:tc>
        <w:tc>
          <w:tcPr>
            <w:tcW w:w="1460" w:type="dxa"/>
            <w:vAlign w:val="bottom"/>
            <w:tcBorders>
              <w:bottom w:val="single" w:sz="8" w:color="auto"/>
            </w:tcBorders>
          </w:tcPr>
          <w:p>
            <w:pPr>
              <w:jc w:val="right"/>
              <w:ind w:right="488"/>
              <w:spacing w:after="0" w:line="149" w:lineRule="exact"/>
              <w:rPr>
                <w:sz w:val="20"/>
                <w:szCs w:val="20"/>
                <w:color w:val="auto"/>
              </w:rPr>
            </w:pPr>
            <w:r>
              <w:rPr>
                <w:rFonts w:ascii="Arial" w:cs="Arial" w:eastAsia="Arial" w:hAnsi="Arial"/>
                <w:sz w:val="14"/>
                <w:szCs w:val="14"/>
                <w:color w:val="auto"/>
              </w:rPr>
              <w:t>288,426</w:t>
            </w:r>
          </w:p>
        </w:tc>
        <w:tc>
          <w:tcPr>
            <w:tcW w:w="1860" w:type="dxa"/>
            <w:vAlign w:val="bottom"/>
            <w:tcBorders>
              <w:bottom w:val="single" w:sz="8" w:color="auto"/>
            </w:tcBorders>
          </w:tcPr>
          <w:p>
            <w:pPr>
              <w:jc w:val="right"/>
              <w:ind w:right="888"/>
              <w:spacing w:after="0" w:line="149" w:lineRule="exact"/>
              <w:rPr>
                <w:sz w:val="20"/>
                <w:szCs w:val="20"/>
                <w:color w:val="auto"/>
              </w:rPr>
            </w:pPr>
            <w:r>
              <w:rPr>
                <w:rFonts w:ascii="Arial" w:cs="Arial" w:eastAsia="Arial" w:hAnsi="Arial"/>
                <w:sz w:val="14"/>
                <w:szCs w:val="14"/>
                <w:color w:val="auto"/>
              </w:rPr>
              <w:t>313,115</w:t>
            </w:r>
          </w:p>
        </w:tc>
        <w:tc>
          <w:tcPr>
            <w:tcW w:w="1060" w:type="dxa"/>
            <w:vAlign w:val="bottom"/>
            <w:tcBorders>
              <w:bottom w:val="single" w:sz="8" w:color="auto"/>
            </w:tcBorders>
          </w:tcPr>
          <w:p>
            <w:pPr>
              <w:jc w:val="right"/>
              <w:ind w:right="488"/>
              <w:spacing w:after="0" w:line="149" w:lineRule="exact"/>
              <w:rPr>
                <w:sz w:val="20"/>
                <w:szCs w:val="20"/>
                <w:color w:val="auto"/>
              </w:rPr>
            </w:pPr>
            <w:r>
              <w:rPr>
                <w:rFonts w:ascii="Arial" w:cs="Arial" w:eastAsia="Arial" w:hAnsi="Arial"/>
                <w:sz w:val="14"/>
                <w:szCs w:val="14"/>
                <w:color w:val="auto"/>
                <w:w w:val="94"/>
              </w:rPr>
              <w:t>330,942</w:t>
            </w:r>
          </w:p>
        </w:tc>
        <w:tc>
          <w:tcPr>
            <w:tcW w:w="1200" w:type="dxa"/>
            <w:vAlign w:val="bottom"/>
            <w:tcBorders>
              <w:bottom w:val="single" w:sz="8" w:color="auto"/>
            </w:tcBorders>
          </w:tcPr>
          <w:p>
            <w:pPr>
              <w:jc w:val="right"/>
              <w:ind w:right="208"/>
              <w:spacing w:after="0" w:line="149" w:lineRule="exact"/>
              <w:rPr>
                <w:sz w:val="20"/>
                <w:szCs w:val="20"/>
                <w:color w:val="auto"/>
              </w:rPr>
            </w:pPr>
            <w:r>
              <w:rPr>
                <w:rFonts w:ascii="Arial" w:cs="Arial" w:eastAsia="Arial" w:hAnsi="Arial"/>
                <w:sz w:val="14"/>
                <w:szCs w:val="14"/>
                <w:color w:val="auto"/>
              </w:rPr>
              <w:t>405,312</w:t>
            </w:r>
          </w:p>
        </w:tc>
        <w:tc>
          <w:tcPr>
            <w:tcW w:w="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interest income</w:t>
            </w:r>
          </w:p>
        </w:tc>
        <w:tc>
          <w:tcPr>
            <w:tcW w:w="400" w:type="dxa"/>
            <w:vAlign w:val="bottom"/>
            <w:shd w:val="clear" w:color="auto" w:fill="CCEEFF"/>
          </w:tcPr>
          <w:p>
            <w:pPr>
              <w:spacing w:after="0"/>
              <w:rPr>
                <w:sz w:val="12"/>
                <w:szCs w:val="12"/>
                <w:color w:val="auto"/>
              </w:rPr>
            </w:pPr>
          </w:p>
        </w:tc>
        <w:tc>
          <w:tcPr>
            <w:tcW w:w="1420" w:type="dxa"/>
            <w:vAlign w:val="bottom"/>
            <w:shd w:val="clear" w:color="auto" w:fill="CCEEFF"/>
          </w:tcPr>
          <w:p>
            <w:pPr>
              <w:jc w:val="right"/>
              <w:ind w:right="868"/>
              <w:spacing w:after="0" w:line="149" w:lineRule="exact"/>
              <w:rPr>
                <w:sz w:val="20"/>
                <w:szCs w:val="20"/>
                <w:color w:val="auto"/>
              </w:rPr>
            </w:pPr>
            <w:r>
              <w:rPr>
                <w:rFonts w:ascii="Arial" w:cs="Arial" w:eastAsia="Arial" w:hAnsi="Arial"/>
                <w:sz w:val="14"/>
                <w:szCs w:val="14"/>
                <w:color w:val="auto"/>
                <w:w w:val="90"/>
              </w:rPr>
              <w:t>506,781</w:t>
            </w:r>
          </w:p>
        </w:tc>
        <w:tc>
          <w:tcPr>
            <w:tcW w:w="106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w w:val="94"/>
              </w:rPr>
              <w:t>452,740</w:t>
            </w:r>
          </w:p>
        </w:tc>
        <w:tc>
          <w:tcPr>
            <w:tcW w:w="146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491,042</w:t>
            </w:r>
          </w:p>
        </w:tc>
        <w:tc>
          <w:tcPr>
            <w:tcW w:w="1860" w:type="dxa"/>
            <w:vAlign w:val="bottom"/>
            <w:shd w:val="clear" w:color="auto" w:fill="CCEEFF"/>
          </w:tcPr>
          <w:p>
            <w:pPr>
              <w:jc w:val="right"/>
              <w:ind w:right="888"/>
              <w:spacing w:after="0" w:line="149" w:lineRule="exact"/>
              <w:rPr>
                <w:sz w:val="20"/>
                <w:szCs w:val="20"/>
                <w:color w:val="auto"/>
              </w:rPr>
            </w:pPr>
            <w:r>
              <w:rPr>
                <w:rFonts w:ascii="Arial" w:cs="Arial" w:eastAsia="Arial" w:hAnsi="Arial"/>
                <w:sz w:val="14"/>
                <w:szCs w:val="14"/>
                <w:color w:val="auto"/>
              </w:rPr>
              <w:t>493,499</w:t>
            </w:r>
          </w:p>
        </w:tc>
        <w:tc>
          <w:tcPr>
            <w:tcW w:w="106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w w:val="94"/>
              </w:rPr>
              <w:t>492,483</w:t>
            </w:r>
          </w:p>
        </w:tc>
        <w:tc>
          <w:tcPr>
            <w:tcW w:w="120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484,633</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line="149" w:lineRule="exact"/>
              <w:rPr>
                <w:sz w:val="20"/>
                <w:szCs w:val="20"/>
                <w:color w:val="auto"/>
              </w:rPr>
            </w:pPr>
            <w:r>
              <w:rPr>
                <w:rFonts w:ascii="Arial" w:cs="Arial" w:eastAsia="Arial" w:hAnsi="Arial"/>
                <w:sz w:val="14"/>
                <w:szCs w:val="14"/>
                <w:color w:val="auto"/>
              </w:rPr>
              <w:t>Less: provision for credit losses</w:t>
            </w:r>
          </w:p>
        </w:tc>
        <w:tc>
          <w:tcPr>
            <w:tcW w:w="400" w:type="dxa"/>
            <w:vAlign w:val="bottom"/>
          </w:tcPr>
          <w:p>
            <w:pPr>
              <w:spacing w:after="0"/>
              <w:rPr>
                <w:sz w:val="12"/>
                <w:szCs w:val="12"/>
                <w:color w:val="auto"/>
              </w:rPr>
            </w:pPr>
          </w:p>
        </w:tc>
        <w:tc>
          <w:tcPr>
            <w:tcW w:w="1420" w:type="dxa"/>
            <w:vAlign w:val="bottom"/>
          </w:tcPr>
          <w:p>
            <w:pPr>
              <w:jc w:val="right"/>
              <w:ind w:right="868"/>
              <w:spacing w:after="0" w:line="149" w:lineRule="exact"/>
              <w:rPr>
                <w:sz w:val="20"/>
                <w:szCs w:val="20"/>
                <w:color w:val="auto"/>
              </w:rPr>
            </w:pPr>
            <w:r>
              <w:rPr>
                <w:rFonts w:ascii="Arial" w:cs="Arial" w:eastAsia="Arial" w:hAnsi="Arial"/>
                <w:sz w:val="14"/>
                <w:szCs w:val="14"/>
                <w:color w:val="auto"/>
                <w:w w:val="90"/>
              </w:rPr>
              <w:t>147,000</w:t>
            </w:r>
          </w:p>
        </w:tc>
        <w:tc>
          <w:tcPr>
            <w:tcW w:w="1060" w:type="dxa"/>
            <w:vAlign w:val="bottom"/>
          </w:tcPr>
          <w:p>
            <w:pPr>
              <w:jc w:val="right"/>
              <w:ind w:right="488"/>
              <w:spacing w:after="0" w:line="149" w:lineRule="exact"/>
              <w:rPr>
                <w:sz w:val="20"/>
                <w:szCs w:val="20"/>
                <w:color w:val="auto"/>
              </w:rPr>
            </w:pPr>
            <w:r>
              <w:rPr>
                <w:rFonts w:ascii="Arial" w:cs="Arial" w:eastAsia="Arial" w:hAnsi="Arial"/>
                <w:sz w:val="14"/>
                <w:szCs w:val="14"/>
                <w:color w:val="auto"/>
                <w:w w:val="94"/>
              </w:rPr>
              <w:t>158,000</w:t>
            </w:r>
          </w:p>
        </w:tc>
        <w:tc>
          <w:tcPr>
            <w:tcW w:w="146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151,000</w:t>
            </w:r>
          </w:p>
        </w:tc>
        <w:tc>
          <w:tcPr>
            <w:tcW w:w="1860" w:type="dxa"/>
            <w:vAlign w:val="bottom"/>
          </w:tcPr>
          <w:p>
            <w:pPr>
              <w:jc w:val="right"/>
              <w:ind w:right="888"/>
              <w:spacing w:after="0" w:line="149" w:lineRule="exact"/>
              <w:rPr>
                <w:sz w:val="20"/>
                <w:szCs w:val="20"/>
                <w:color w:val="auto"/>
              </w:rPr>
            </w:pPr>
            <w:r>
              <w:rPr>
                <w:rFonts w:ascii="Arial" w:cs="Arial" w:eastAsia="Arial" w:hAnsi="Arial"/>
                <w:sz w:val="14"/>
                <w:szCs w:val="14"/>
                <w:color w:val="auto"/>
              </w:rPr>
              <w:t>101,000</w:t>
            </w:r>
          </w:p>
        </w:tc>
        <w:tc>
          <w:tcPr>
            <w:tcW w:w="1060" w:type="dxa"/>
            <w:vAlign w:val="bottom"/>
          </w:tcPr>
          <w:p>
            <w:pPr>
              <w:jc w:val="right"/>
              <w:ind w:right="488"/>
              <w:spacing w:after="0" w:line="149" w:lineRule="exact"/>
              <w:rPr>
                <w:sz w:val="20"/>
                <w:szCs w:val="20"/>
                <w:color w:val="auto"/>
              </w:rPr>
            </w:pPr>
            <w:r>
              <w:rPr>
                <w:rFonts w:ascii="Arial" w:cs="Arial" w:eastAsia="Arial" w:hAnsi="Arial"/>
                <w:sz w:val="14"/>
                <w:szCs w:val="14"/>
                <w:color w:val="auto"/>
                <w:w w:val="94"/>
              </w:rPr>
              <w:t>100,000</w:t>
            </w:r>
          </w:p>
        </w:tc>
        <w:tc>
          <w:tcPr>
            <w:tcW w:w="120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60,000</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w:t>
            </w:r>
          </w:p>
        </w:tc>
        <w:tc>
          <w:tcPr>
            <w:tcW w:w="400" w:type="dxa"/>
            <w:vAlign w:val="bottom"/>
            <w:shd w:val="clear" w:color="auto" w:fill="CCEEFF"/>
          </w:tcPr>
          <w:p>
            <w:pPr>
              <w:spacing w:after="0"/>
              <w:rPr>
                <w:sz w:val="12"/>
                <w:szCs w:val="12"/>
                <w:color w:val="auto"/>
              </w:rPr>
            </w:pPr>
          </w:p>
        </w:tc>
        <w:tc>
          <w:tcPr>
            <w:tcW w:w="1420" w:type="dxa"/>
            <w:vAlign w:val="bottom"/>
            <w:shd w:val="clear" w:color="auto" w:fill="CCEEFF"/>
          </w:tcPr>
          <w:p>
            <w:pPr>
              <w:jc w:val="right"/>
              <w:ind w:right="868"/>
              <w:spacing w:after="0" w:line="149" w:lineRule="exact"/>
              <w:rPr>
                <w:sz w:val="20"/>
                <w:szCs w:val="20"/>
                <w:color w:val="auto"/>
              </w:rPr>
            </w:pPr>
            <w:r>
              <w:rPr>
                <w:rFonts w:ascii="Arial" w:cs="Arial" w:eastAsia="Arial" w:hAnsi="Arial"/>
                <w:sz w:val="14"/>
                <w:szCs w:val="14"/>
                <w:color w:val="auto"/>
                <w:w w:val="90"/>
              </w:rPr>
              <w:t>271,649</w:t>
            </w:r>
          </w:p>
        </w:tc>
        <w:tc>
          <w:tcPr>
            <w:tcW w:w="106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w w:val="94"/>
              </w:rPr>
              <w:t>232,341</w:t>
            </w:r>
          </w:p>
        </w:tc>
        <w:tc>
          <w:tcPr>
            <w:tcW w:w="146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241,417</w:t>
            </w:r>
          </w:p>
        </w:tc>
        <w:tc>
          <w:tcPr>
            <w:tcW w:w="1860" w:type="dxa"/>
            <w:vAlign w:val="bottom"/>
            <w:shd w:val="clear" w:color="auto" w:fill="CCEEFF"/>
          </w:tcPr>
          <w:p>
            <w:pPr>
              <w:jc w:val="right"/>
              <w:ind w:right="888"/>
              <w:spacing w:after="0" w:line="149" w:lineRule="exact"/>
              <w:rPr>
                <w:sz w:val="20"/>
                <w:szCs w:val="20"/>
                <w:color w:val="auto"/>
              </w:rPr>
            </w:pPr>
            <w:r>
              <w:rPr>
                <w:rFonts w:ascii="Arial" w:cs="Arial" w:eastAsia="Arial" w:hAnsi="Arial"/>
                <w:sz w:val="14"/>
                <w:szCs w:val="14"/>
                <w:color w:val="auto"/>
              </w:rPr>
              <w:t>113,717</w:t>
            </w:r>
          </w:p>
        </w:tc>
        <w:tc>
          <w:tcPr>
            <w:tcW w:w="106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w w:val="94"/>
              </w:rPr>
              <w:t>271,182</w:t>
            </w:r>
          </w:p>
        </w:tc>
        <w:tc>
          <w:tcPr>
            <w:tcW w:w="120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312,663</w:t>
            </w:r>
          </w:p>
        </w:tc>
        <w:tc>
          <w:tcPr>
            <w:tcW w:w="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29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Less: other expense</w:t>
            </w:r>
          </w:p>
        </w:tc>
        <w:tc>
          <w:tcPr>
            <w:tcW w:w="4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868"/>
              <w:spacing w:after="0" w:line="149" w:lineRule="exact"/>
              <w:rPr>
                <w:sz w:val="20"/>
                <w:szCs w:val="20"/>
                <w:color w:val="auto"/>
              </w:rPr>
            </w:pPr>
            <w:r>
              <w:rPr>
                <w:rFonts w:ascii="Arial" w:cs="Arial" w:eastAsia="Arial" w:hAnsi="Arial"/>
                <w:sz w:val="14"/>
                <w:szCs w:val="14"/>
                <w:color w:val="auto"/>
                <w:w w:val="90"/>
              </w:rPr>
              <w:t>563,710</w:t>
            </w:r>
          </w:p>
        </w:tc>
        <w:tc>
          <w:tcPr>
            <w:tcW w:w="1060" w:type="dxa"/>
            <w:vAlign w:val="bottom"/>
            <w:tcBorders>
              <w:bottom w:val="single" w:sz="8" w:color="auto"/>
            </w:tcBorders>
          </w:tcPr>
          <w:p>
            <w:pPr>
              <w:jc w:val="right"/>
              <w:ind w:right="488"/>
              <w:spacing w:after="0" w:line="149" w:lineRule="exact"/>
              <w:rPr>
                <w:sz w:val="20"/>
                <w:szCs w:val="20"/>
                <w:color w:val="auto"/>
              </w:rPr>
            </w:pPr>
            <w:r>
              <w:rPr>
                <w:rFonts w:ascii="Arial" w:cs="Arial" w:eastAsia="Arial" w:hAnsi="Arial"/>
                <w:sz w:val="14"/>
                <w:szCs w:val="14"/>
                <w:color w:val="auto"/>
                <w:w w:val="94"/>
              </w:rPr>
              <w:t>438,346</w:t>
            </w:r>
          </w:p>
        </w:tc>
        <w:tc>
          <w:tcPr>
            <w:tcW w:w="1460" w:type="dxa"/>
            <w:vAlign w:val="bottom"/>
            <w:tcBorders>
              <w:bottom w:val="single" w:sz="8" w:color="auto"/>
            </w:tcBorders>
          </w:tcPr>
          <w:p>
            <w:pPr>
              <w:jc w:val="right"/>
              <w:ind w:right="488"/>
              <w:spacing w:after="0" w:line="149" w:lineRule="exact"/>
              <w:rPr>
                <w:sz w:val="20"/>
                <w:szCs w:val="20"/>
                <w:color w:val="auto"/>
              </w:rPr>
            </w:pPr>
            <w:r>
              <w:rPr>
                <w:rFonts w:ascii="Arial" w:cs="Arial" w:eastAsia="Arial" w:hAnsi="Arial"/>
                <w:sz w:val="14"/>
                <w:szCs w:val="14"/>
                <w:color w:val="auto"/>
              </w:rPr>
              <w:t>446,819</w:t>
            </w:r>
          </w:p>
        </w:tc>
        <w:tc>
          <w:tcPr>
            <w:tcW w:w="1860" w:type="dxa"/>
            <w:vAlign w:val="bottom"/>
            <w:tcBorders>
              <w:bottom w:val="single" w:sz="8" w:color="auto"/>
            </w:tcBorders>
          </w:tcPr>
          <w:p>
            <w:pPr>
              <w:jc w:val="right"/>
              <w:ind w:right="888"/>
              <w:spacing w:after="0" w:line="149" w:lineRule="exact"/>
              <w:rPr>
                <w:sz w:val="20"/>
                <w:szCs w:val="20"/>
                <w:color w:val="auto"/>
              </w:rPr>
            </w:pPr>
            <w:r>
              <w:rPr>
                <w:rFonts w:ascii="Arial" w:cs="Arial" w:eastAsia="Arial" w:hAnsi="Arial"/>
                <w:sz w:val="14"/>
                <w:szCs w:val="14"/>
                <w:color w:val="auto"/>
              </w:rPr>
              <w:t>434,763</w:t>
            </w:r>
          </w:p>
        </w:tc>
        <w:tc>
          <w:tcPr>
            <w:tcW w:w="1060" w:type="dxa"/>
            <w:vAlign w:val="bottom"/>
            <w:tcBorders>
              <w:bottom w:val="single" w:sz="8" w:color="auto"/>
            </w:tcBorders>
          </w:tcPr>
          <w:p>
            <w:pPr>
              <w:jc w:val="right"/>
              <w:ind w:right="488"/>
              <w:spacing w:after="0" w:line="149" w:lineRule="exact"/>
              <w:rPr>
                <w:sz w:val="20"/>
                <w:szCs w:val="20"/>
                <w:color w:val="auto"/>
              </w:rPr>
            </w:pPr>
            <w:r>
              <w:rPr>
                <w:rFonts w:ascii="Arial" w:cs="Arial" w:eastAsia="Arial" w:hAnsi="Arial"/>
                <w:sz w:val="14"/>
                <w:szCs w:val="14"/>
                <w:color w:val="auto"/>
                <w:w w:val="94"/>
              </w:rPr>
              <w:t>419,710</w:t>
            </w:r>
          </w:p>
        </w:tc>
        <w:tc>
          <w:tcPr>
            <w:tcW w:w="1200" w:type="dxa"/>
            <w:vAlign w:val="bottom"/>
            <w:tcBorders>
              <w:bottom w:val="single" w:sz="8" w:color="auto"/>
            </w:tcBorders>
          </w:tcPr>
          <w:p>
            <w:pPr>
              <w:jc w:val="right"/>
              <w:ind w:right="208"/>
              <w:spacing w:after="0" w:line="149" w:lineRule="exact"/>
              <w:rPr>
                <w:sz w:val="20"/>
                <w:szCs w:val="20"/>
                <w:color w:val="auto"/>
              </w:rPr>
            </w:pPr>
            <w:r>
              <w:rPr>
                <w:rFonts w:ascii="Arial" w:cs="Arial" w:eastAsia="Arial" w:hAnsi="Arial"/>
                <w:sz w:val="14"/>
                <w:szCs w:val="14"/>
                <w:color w:val="auto"/>
              </w:rPr>
              <w:t>425,704</w:t>
            </w:r>
          </w:p>
        </w:tc>
        <w:tc>
          <w:tcPr>
            <w:tcW w:w="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before income taxes</w:t>
            </w:r>
          </w:p>
        </w:tc>
        <w:tc>
          <w:tcPr>
            <w:tcW w:w="400" w:type="dxa"/>
            <w:vAlign w:val="bottom"/>
            <w:shd w:val="clear" w:color="auto" w:fill="CCEEFF"/>
          </w:tcPr>
          <w:p>
            <w:pPr>
              <w:spacing w:after="0"/>
              <w:rPr>
                <w:sz w:val="12"/>
                <w:szCs w:val="12"/>
                <w:color w:val="auto"/>
              </w:rPr>
            </w:pPr>
          </w:p>
        </w:tc>
        <w:tc>
          <w:tcPr>
            <w:tcW w:w="1420" w:type="dxa"/>
            <w:vAlign w:val="bottom"/>
            <w:shd w:val="clear" w:color="auto" w:fill="CCEEFF"/>
          </w:tcPr>
          <w:p>
            <w:pPr>
              <w:jc w:val="right"/>
              <w:ind w:right="868"/>
              <w:spacing w:after="0" w:line="149" w:lineRule="exact"/>
              <w:rPr>
                <w:sz w:val="20"/>
                <w:szCs w:val="20"/>
                <w:color w:val="auto"/>
              </w:rPr>
            </w:pPr>
            <w:r>
              <w:rPr>
                <w:rFonts w:ascii="Arial" w:cs="Arial" w:eastAsia="Arial" w:hAnsi="Arial"/>
                <w:sz w:val="14"/>
                <w:szCs w:val="14"/>
                <w:color w:val="auto"/>
              </w:rPr>
              <w:t>67,720</w:t>
            </w:r>
          </w:p>
        </w:tc>
        <w:tc>
          <w:tcPr>
            <w:tcW w:w="106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88,735</w:t>
            </w:r>
          </w:p>
        </w:tc>
        <w:tc>
          <w:tcPr>
            <w:tcW w:w="146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134,640</w:t>
            </w:r>
          </w:p>
        </w:tc>
        <w:tc>
          <w:tcPr>
            <w:tcW w:w="1860" w:type="dxa"/>
            <w:vAlign w:val="bottom"/>
            <w:shd w:val="clear" w:color="auto" w:fill="CCEEFF"/>
          </w:tcPr>
          <w:p>
            <w:pPr>
              <w:jc w:val="right"/>
              <w:ind w:right="888"/>
              <w:spacing w:after="0" w:line="149" w:lineRule="exact"/>
              <w:rPr>
                <w:sz w:val="20"/>
                <w:szCs w:val="20"/>
                <w:color w:val="auto"/>
              </w:rPr>
            </w:pPr>
            <w:r>
              <w:rPr>
                <w:rFonts w:ascii="Arial" w:cs="Arial" w:eastAsia="Arial" w:hAnsi="Arial"/>
                <w:sz w:val="14"/>
                <w:szCs w:val="14"/>
                <w:color w:val="auto"/>
              </w:rPr>
              <w:t>71,453</w:t>
            </w:r>
          </w:p>
        </w:tc>
        <w:tc>
          <w:tcPr>
            <w:tcW w:w="106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w w:val="94"/>
              </w:rPr>
              <w:t>243,955</w:t>
            </w:r>
          </w:p>
        </w:tc>
        <w:tc>
          <w:tcPr>
            <w:tcW w:w="120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311,592</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line="149" w:lineRule="exact"/>
              <w:rPr>
                <w:sz w:val="20"/>
                <w:szCs w:val="20"/>
                <w:color w:val="auto"/>
              </w:rPr>
            </w:pPr>
            <w:r>
              <w:rPr>
                <w:rFonts w:ascii="Arial" w:cs="Arial" w:eastAsia="Arial" w:hAnsi="Arial"/>
                <w:sz w:val="14"/>
                <w:szCs w:val="14"/>
                <w:color w:val="auto"/>
              </w:rPr>
              <w:t>Applicable income taxes (benefit)</w:t>
            </w:r>
          </w:p>
        </w:tc>
        <w:tc>
          <w:tcPr>
            <w:tcW w:w="400" w:type="dxa"/>
            <w:vAlign w:val="bottom"/>
          </w:tcPr>
          <w:p>
            <w:pPr>
              <w:spacing w:after="0"/>
              <w:rPr>
                <w:sz w:val="12"/>
                <w:szCs w:val="12"/>
                <w:color w:val="auto"/>
              </w:rPr>
            </w:pPr>
          </w:p>
        </w:tc>
        <w:tc>
          <w:tcPr>
            <w:tcW w:w="1420" w:type="dxa"/>
            <w:vAlign w:val="bottom"/>
          </w:tcPr>
          <w:p>
            <w:pPr>
              <w:jc w:val="right"/>
              <w:ind w:right="868"/>
              <w:spacing w:after="0" w:line="149" w:lineRule="exact"/>
              <w:rPr>
                <w:sz w:val="20"/>
                <w:szCs w:val="20"/>
                <w:color w:val="auto"/>
              </w:rPr>
            </w:pPr>
            <w:r>
              <w:rPr>
                <w:rFonts w:ascii="Arial" w:cs="Arial" w:eastAsia="Arial" w:hAnsi="Arial"/>
                <w:sz w:val="14"/>
                <w:szCs w:val="14"/>
                <w:color w:val="auto"/>
              </w:rPr>
              <w:t>11,318</w:t>
            </w:r>
          </w:p>
        </w:tc>
        <w:tc>
          <w:tcPr>
            <w:tcW w:w="106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19,581</w:t>
            </w:r>
          </w:p>
        </w:tc>
        <w:tc>
          <w:tcPr>
            <w:tcW w:w="146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27,432</w:t>
            </w:r>
          </w:p>
        </w:tc>
        <w:tc>
          <w:tcPr>
            <w:tcW w:w="1860" w:type="dxa"/>
            <w:vAlign w:val="bottom"/>
          </w:tcPr>
          <w:p>
            <w:pPr>
              <w:jc w:val="right"/>
              <w:ind w:right="828"/>
              <w:spacing w:after="0" w:line="149" w:lineRule="exact"/>
              <w:rPr>
                <w:sz w:val="20"/>
                <w:szCs w:val="20"/>
                <w:color w:val="auto"/>
              </w:rPr>
            </w:pPr>
            <w:r>
              <w:rPr>
                <w:rFonts w:ascii="Arial" w:cs="Arial" w:eastAsia="Arial" w:hAnsi="Arial"/>
                <w:sz w:val="14"/>
                <w:szCs w:val="14"/>
                <w:color w:val="auto"/>
              </w:rPr>
              <w:t>(24,992)</w:t>
            </w:r>
          </w:p>
        </w:tc>
        <w:tc>
          <w:tcPr>
            <w:tcW w:w="106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77,839</w:t>
            </w:r>
          </w:p>
        </w:tc>
        <w:tc>
          <w:tcPr>
            <w:tcW w:w="120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103,613</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4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Taxable-equivalent adjustment</w:t>
            </w:r>
          </w:p>
        </w:tc>
        <w:tc>
          <w:tcPr>
            <w:tcW w:w="40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ind w:right="868"/>
              <w:spacing w:after="0" w:line="149" w:lineRule="exact"/>
              <w:rPr>
                <w:sz w:val="20"/>
                <w:szCs w:val="20"/>
                <w:color w:val="auto"/>
              </w:rPr>
            </w:pPr>
            <w:r>
              <w:rPr>
                <w:rFonts w:ascii="Arial" w:cs="Arial" w:eastAsia="Arial" w:hAnsi="Arial"/>
                <w:sz w:val="14"/>
                <w:szCs w:val="14"/>
                <w:color w:val="auto"/>
              </w:rPr>
              <w:t>5,214</w:t>
            </w:r>
          </w:p>
        </w:tc>
        <w:tc>
          <w:tcPr>
            <w:tcW w:w="1060" w:type="dxa"/>
            <w:vAlign w:val="bottom"/>
            <w:tcBorders>
              <w:bottom w:val="single" w:sz="8" w:color="auto"/>
            </w:tcBorders>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4,933</w:t>
            </w:r>
          </w:p>
        </w:tc>
        <w:tc>
          <w:tcPr>
            <w:tcW w:w="1460" w:type="dxa"/>
            <w:vAlign w:val="bottom"/>
            <w:tcBorders>
              <w:bottom w:val="single" w:sz="8" w:color="auto"/>
            </w:tcBorders>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4,967</w:t>
            </w:r>
          </w:p>
        </w:tc>
        <w:tc>
          <w:tcPr>
            <w:tcW w:w="1860" w:type="dxa"/>
            <w:vAlign w:val="bottom"/>
            <w:tcBorders>
              <w:bottom w:val="single" w:sz="8" w:color="auto"/>
            </w:tcBorders>
            <w:shd w:val="clear" w:color="auto" w:fill="CCEEFF"/>
          </w:tcPr>
          <w:p>
            <w:pPr>
              <w:jc w:val="right"/>
              <w:ind w:right="888"/>
              <w:spacing w:after="0" w:line="149" w:lineRule="exact"/>
              <w:rPr>
                <w:sz w:val="20"/>
                <w:szCs w:val="20"/>
                <w:color w:val="auto"/>
              </w:rPr>
            </w:pPr>
            <w:r>
              <w:rPr>
                <w:rFonts w:ascii="Arial" w:cs="Arial" w:eastAsia="Arial" w:hAnsi="Arial"/>
                <w:sz w:val="14"/>
                <w:szCs w:val="14"/>
                <w:color w:val="auto"/>
              </w:rPr>
              <w:t>5,260</w:t>
            </w:r>
          </w:p>
        </w:tc>
        <w:tc>
          <w:tcPr>
            <w:tcW w:w="1060" w:type="dxa"/>
            <w:vAlign w:val="bottom"/>
            <w:tcBorders>
              <w:bottom w:val="single" w:sz="8" w:color="auto"/>
            </w:tcBorders>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5,851</w:t>
            </w:r>
          </w:p>
        </w:tc>
        <w:tc>
          <w:tcPr>
            <w:tcW w:w="1200" w:type="dxa"/>
            <w:vAlign w:val="bottom"/>
            <w:tcBorders>
              <w:bottom w:val="single" w:sz="8" w:color="auto"/>
            </w:tcBorders>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5,783</w:t>
            </w:r>
          </w:p>
        </w:tc>
        <w:tc>
          <w:tcPr>
            <w:tcW w:w="20" w:type="dxa"/>
            <w:vAlign w:val="bottom"/>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29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Net income</w:t>
            </w:r>
          </w:p>
        </w:tc>
        <w:tc>
          <w:tcPr>
            <w:tcW w:w="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868"/>
              <w:spacing w:after="0" w:line="155" w:lineRule="exact"/>
              <w:rPr>
                <w:sz w:val="20"/>
                <w:szCs w:val="20"/>
                <w:color w:val="auto"/>
              </w:rPr>
            </w:pPr>
            <w:r>
              <w:rPr>
                <w:rFonts w:ascii="Arial" w:cs="Arial" w:eastAsia="Arial" w:hAnsi="Arial"/>
                <w:sz w:val="14"/>
                <w:szCs w:val="14"/>
                <w:color w:val="auto"/>
              </w:rPr>
              <w:t>51,188</w:t>
            </w:r>
          </w:p>
        </w:tc>
        <w:tc>
          <w:tcPr>
            <w:tcW w:w="106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color w:val="auto"/>
              </w:rPr>
              <w:t>64,221</w:t>
            </w:r>
          </w:p>
        </w:tc>
        <w:tc>
          <w:tcPr>
            <w:tcW w:w="146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color w:val="auto"/>
              </w:rPr>
              <w:t>102,241</w:t>
            </w:r>
          </w:p>
        </w:tc>
        <w:tc>
          <w:tcPr>
            <w:tcW w:w="1860" w:type="dxa"/>
            <w:vAlign w:val="bottom"/>
            <w:tcBorders>
              <w:bottom w:val="single" w:sz="8" w:color="auto"/>
            </w:tcBorders>
          </w:tcPr>
          <w:p>
            <w:pPr>
              <w:jc w:val="right"/>
              <w:ind w:right="888"/>
              <w:spacing w:after="0" w:line="155" w:lineRule="exact"/>
              <w:rPr>
                <w:sz w:val="20"/>
                <w:szCs w:val="20"/>
                <w:color w:val="auto"/>
              </w:rPr>
            </w:pPr>
            <w:r>
              <w:rPr>
                <w:rFonts w:ascii="Arial" w:cs="Arial" w:eastAsia="Arial" w:hAnsi="Arial"/>
                <w:sz w:val="14"/>
                <w:szCs w:val="14"/>
                <w:color w:val="auto"/>
              </w:rPr>
              <w:t>91,185</w:t>
            </w:r>
          </w:p>
        </w:tc>
        <w:tc>
          <w:tcPr>
            <w:tcW w:w="106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color w:val="auto"/>
                <w:w w:val="94"/>
              </w:rPr>
              <w:t>160,265</w:t>
            </w:r>
          </w:p>
        </w:tc>
        <w:tc>
          <w:tcPr>
            <w:tcW w:w="120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rPr>
              <w:t>202,196</w:t>
            </w:r>
          </w:p>
        </w:tc>
        <w:tc>
          <w:tcPr>
            <w:tcW w:w="20" w:type="dxa"/>
            <w:vAlign w:val="bottom"/>
          </w:tcPr>
          <w:p>
            <w:pPr>
              <w:spacing w:after="0"/>
              <w:rPr>
                <w:sz w:val="14"/>
                <w:szCs w:val="14"/>
                <w:color w:val="auto"/>
              </w:rPr>
            </w:pPr>
          </w:p>
        </w:tc>
      </w:tr>
      <w:tr>
        <w:trPr>
          <w:trHeight w:val="130"/>
        </w:trPr>
        <w:tc>
          <w:tcPr>
            <w:tcW w:w="20" w:type="dxa"/>
            <w:vAlign w:val="bottom"/>
          </w:tcPr>
          <w:p>
            <w:pPr>
              <w:spacing w:after="0"/>
              <w:rPr>
                <w:sz w:val="11"/>
                <w:szCs w:val="11"/>
                <w:color w:val="auto"/>
              </w:rPr>
            </w:pPr>
          </w:p>
        </w:tc>
        <w:tc>
          <w:tcPr>
            <w:tcW w:w="29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income available to common</w:t>
            </w:r>
          </w:p>
        </w:tc>
        <w:tc>
          <w:tcPr>
            <w:tcW w:w="4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9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shareholders</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40,516</w:t>
            </w:r>
          </w:p>
        </w:tc>
        <w:tc>
          <w:tcPr>
            <w:tcW w:w="10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54,618</w:t>
            </w:r>
          </w:p>
        </w:tc>
        <w:tc>
          <w:tcPr>
            <w:tcW w:w="14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101,451</w:t>
            </w:r>
          </w:p>
        </w:tc>
        <w:tc>
          <w:tcPr>
            <w:tcW w:w="18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91,185</w:t>
            </w:r>
          </w:p>
        </w:tc>
        <w:tc>
          <w:tcPr>
            <w:tcW w:w="10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w w:val="94"/>
              </w:rPr>
              <w:t>160,265</w:t>
            </w:r>
          </w:p>
        </w:tc>
        <w:tc>
          <w:tcPr>
            <w:tcW w:w="12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202,196</w:t>
            </w: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line="149" w:lineRule="exact"/>
              <w:rPr>
                <w:sz w:val="20"/>
                <w:szCs w:val="20"/>
                <w:color w:val="auto"/>
              </w:rPr>
            </w:pPr>
            <w:r>
              <w:rPr>
                <w:rFonts w:ascii="Arial" w:cs="Arial" w:eastAsia="Arial" w:hAnsi="Arial"/>
                <w:sz w:val="14"/>
                <w:szCs w:val="14"/>
                <w:color w:val="auto"/>
              </w:rPr>
              <w:t>Per common share data</w:t>
            </w:r>
          </w:p>
        </w:tc>
        <w:tc>
          <w:tcPr>
            <w:tcW w:w="4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Basic earnings</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868"/>
              <w:spacing w:after="0" w:line="149" w:lineRule="exact"/>
              <w:rPr>
                <w:sz w:val="20"/>
                <w:szCs w:val="20"/>
                <w:color w:val="auto"/>
              </w:rPr>
            </w:pPr>
            <w:r>
              <w:rPr>
                <w:rFonts w:ascii="Arial" w:cs="Arial" w:eastAsia="Arial" w:hAnsi="Arial"/>
                <w:sz w:val="14"/>
                <w:szCs w:val="14"/>
                <w:color w:val="auto"/>
              </w:rPr>
              <w:t>.36</w:t>
            </w:r>
          </w:p>
        </w:tc>
        <w:tc>
          <w:tcPr>
            <w:tcW w:w="106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.49</w:t>
            </w:r>
          </w:p>
        </w:tc>
        <w:tc>
          <w:tcPr>
            <w:tcW w:w="146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.92</w:t>
            </w:r>
          </w:p>
        </w:tc>
        <w:tc>
          <w:tcPr>
            <w:tcW w:w="1860" w:type="dxa"/>
            <w:vAlign w:val="bottom"/>
            <w:shd w:val="clear" w:color="auto" w:fill="CCEEFF"/>
          </w:tcPr>
          <w:p>
            <w:pPr>
              <w:jc w:val="right"/>
              <w:ind w:right="888"/>
              <w:spacing w:after="0" w:line="149" w:lineRule="exact"/>
              <w:rPr>
                <w:sz w:val="20"/>
                <w:szCs w:val="20"/>
                <w:color w:val="auto"/>
              </w:rPr>
            </w:pPr>
            <w:r>
              <w:rPr>
                <w:rFonts w:ascii="Arial" w:cs="Arial" w:eastAsia="Arial" w:hAnsi="Arial"/>
                <w:sz w:val="14"/>
                <w:szCs w:val="14"/>
                <w:color w:val="auto"/>
              </w:rPr>
              <w:t>.83</w:t>
            </w:r>
          </w:p>
        </w:tc>
        <w:tc>
          <w:tcPr>
            <w:tcW w:w="106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1.45</w:t>
            </w:r>
          </w:p>
        </w:tc>
        <w:tc>
          <w:tcPr>
            <w:tcW w:w="120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1.84</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Diluted earnings</w:t>
            </w:r>
          </w:p>
        </w:tc>
        <w:tc>
          <w:tcPr>
            <w:tcW w:w="400" w:type="dxa"/>
            <w:vAlign w:val="bottom"/>
          </w:tcPr>
          <w:p>
            <w:pPr>
              <w:spacing w:after="0"/>
              <w:rPr>
                <w:sz w:val="12"/>
                <w:szCs w:val="12"/>
                <w:color w:val="auto"/>
              </w:rPr>
            </w:pPr>
          </w:p>
        </w:tc>
        <w:tc>
          <w:tcPr>
            <w:tcW w:w="1420" w:type="dxa"/>
            <w:vAlign w:val="bottom"/>
          </w:tcPr>
          <w:p>
            <w:pPr>
              <w:jc w:val="right"/>
              <w:ind w:right="868"/>
              <w:spacing w:after="0" w:line="149" w:lineRule="exact"/>
              <w:rPr>
                <w:sz w:val="20"/>
                <w:szCs w:val="20"/>
                <w:color w:val="auto"/>
              </w:rPr>
            </w:pPr>
            <w:r>
              <w:rPr>
                <w:rFonts w:ascii="Arial" w:cs="Arial" w:eastAsia="Arial" w:hAnsi="Arial"/>
                <w:sz w:val="14"/>
                <w:szCs w:val="14"/>
                <w:color w:val="auto"/>
              </w:rPr>
              <w:t>.36</w:t>
            </w:r>
          </w:p>
        </w:tc>
        <w:tc>
          <w:tcPr>
            <w:tcW w:w="106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.49</w:t>
            </w:r>
          </w:p>
        </w:tc>
        <w:tc>
          <w:tcPr>
            <w:tcW w:w="146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.92</w:t>
            </w:r>
          </w:p>
        </w:tc>
        <w:tc>
          <w:tcPr>
            <w:tcW w:w="1860" w:type="dxa"/>
            <w:vAlign w:val="bottom"/>
          </w:tcPr>
          <w:p>
            <w:pPr>
              <w:jc w:val="right"/>
              <w:ind w:right="888"/>
              <w:spacing w:after="0" w:line="149" w:lineRule="exact"/>
              <w:rPr>
                <w:sz w:val="20"/>
                <w:szCs w:val="20"/>
                <w:color w:val="auto"/>
              </w:rPr>
            </w:pPr>
            <w:r>
              <w:rPr>
                <w:rFonts w:ascii="Arial" w:cs="Arial" w:eastAsia="Arial" w:hAnsi="Arial"/>
                <w:sz w:val="14"/>
                <w:szCs w:val="14"/>
                <w:color w:val="auto"/>
              </w:rPr>
              <w:t>.82</w:t>
            </w:r>
          </w:p>
        </w:tc>
        <w:tc>
          <w:tcPr>
            <w:tcW w:w="106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1.44</w:t>
            </w:r>
          </w:p>
        </w:tc>
        <w:tc>
          <w:tcPr>
            <w:tcW w:w="120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1.82</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dividends</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868"/>
              <w:spacing w:after="0" w:line="149" w:lineRule="exact"/>
              <w:rPr>
                <w:sz w:val="20"/>
                <w:szCs w:val="20"/>
                <w:color w:val="auto"/>
              </w:rPr>
            </w:pPr>
            <w:r>
              <w:rPr>
                <w:rFonts w:ascii="Arial" w:cs="Arial" w:eastAsia="Arial" w:hAnsi="Arial"/>
                <w:sz w:val="14"/>
                <w:szCs w:val="14"/>
                <w:color w:val="auto"/>
              </w:rPr>
              <w:t>.70</w:t>
            </w:r>
          </w:p>
        </w:tc>
        <w:tc>
          <w:tcPr>
            <w:tcW w:w="106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.70</w:t>
            </w:r>
          </w:p>
        </w:tc>
        <w:tc>
          <w:tcPr>
            <w:tcW w:w="146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.70</w:t>
            </w:r>
          </w:p>
        </w:tc>
        <w:tc>
          <w:tcPr>
            <w:tcW w:w="1860" w:type="dxa"/>
            <w:vAlign w:val="bottom"/>
            <w:shd w:val="clear" w:color="auto" w:fill="CCEEFF"/>
          </w:tcPr>
          <w:p>
            <w:pPr>
              <w:jc w:val="right"/>
              <w:ind w:right="888"/>
              <w:spacing w:after="0" w:line="149" w:lineRule="exact"/>
              <w:rPr>
                <w:sz w:val="20"/>
                <w:szCs w:val="20"/>
                <w:color w:val="auto"/>
              </w:rPr>
            </w:pPr>
            <w:r>
              <w:rPr>
                <w:rFonts w:ascii="Arial" w:cs="Arial" w:eastAsia="Arial" w:hAnsi="Arial"/>
                <w:sz w:val="14"/>
                <w:szCs w:val="14"/>
                <w:color w:val="auto"/>
              </w:rPr>
              <w:t>.70</w:t>
            </w:r>
          </w:p>
        </w:tc>
        <w:tc>
          <w:tcPr>
            <w:tcW w:w="106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.70</w:t>
            </w:r>
          </w:p>
        </w:tc>
        <w:tc>
          <w:tcPr>
            <w:tcW w:w="120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.70</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line="149" w:lineRule="exact"/>
              <w:rPr>
                <w:sz w:val="20"/>
                <w:szCs w:val="20"/>
                <w:color w:val="auto"/>
              </w:rPr>
            </w:pPr>
            <w:r>
              <w:rPr>
                <w:rFonts w:ascii="Arial" w:cs="Arial" w:eastAsia="Arial" w:hAnsi="Arial"/>
                <w:sz w:val="14"/>
                <w:szCs w:val="14"/>
                <w:color w:val="auto"/>
              </w:rPr>
              <w:t>Average common shares outstanding</w:t>
            </w:r>
          </w:p>
        </w:tc>
        <w:tc>
          <w:tcPr>
            <w:tcW w:w="4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Basic</w:t>
            </w:r>
          </w:p>
        </w:tc>
        <w:tc>
          <w:tcPr>
            <w:tcW w:w="400" w:type="dxa"/>
            <w:vAlign w:val="bottom"/>
            <w:shd w:val="clear" w:color="auto" w:fill="CCEEFF"/>
          </w:tcPr>
          <w:p>
            <w:pPr>
              <w:spacing w:after="0"/>
              <w:rPr>
                <w:sz w:val="12"/>
                <w:szCs w:val="12"/>
                <w:color w:val="auto"/>
              </w:rPr>
            </w:pPr>
          </w:p>
        </w:tc>
        <w:tc>
          <w:tcPr>
            <w:tcW w:w="1420" w:type="dxa"/>
            <w:vAlign w:val="bottom"/>
            <w:shd w:val="clear" w:color="auto" w:fill="CCEEFF"/>
          </w:tcPr>
          <w:p>
            <w:pPr>
              <w:jc w:val="right"/>
              <w:ind w:right="868"/>
              <w:spacing w:after="0" w:line="149" w:lineRule="exact"/>
              <w:rPr>
                <w:sz w:val="20"/>
                <w:szCs w:val="20"/>
                <w:color w:val="auto"/>
              </w:rPr>
            </w:pPr>
            <w:r>
              <w:rPr>
                <w:rFonts w:ascii="Arial" w:cs="Arial" w:eastAsia="Arial" w:hAnsi="Arial"/>
                <w:sz w:val="14"/>
                <w:szCs w:val="14"/>
                <w:color w:val="auto"/>
                <w:w w:val="90"/>
              </w:rPr>
              <w:t>113,218</w:t>
            </w:r>
          </w:p>
        </w:tc>
        <w:tc>
          <w:tcPr>
            <w:tcW w:w="106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w w:val="94"/>
              </w:rPr>
              <w:t>110,439</w:t>
            </w:r>
          </w:p>
        </w:tc>
        <w:tc>
          <w:tcPr>
            <w:tcW w:w="146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110,370</w:t>
            </w:r>
          </w:p>
        </w:tc>
        <w:tc>
          <w:tcPr>
            <w:tcW w:w="1860" w:type="dxa"/>
            <w:vAlign w:val="bottom"/>
            <w:shd w:val="clear" w:color="auto" w:fill="CCEEFF"/>
          </w:tcPr>
          <w:p>
            <w:pPr>
              <w:jc w:val="right"/>
              <w:ind w:right="888"/>
              <w:spacing w:after="0" w:line="149" w:lineRule="exact"/>
              <w:rPr>
                <w:sz w:val="20"/>
                <w:szCs w:val="20"/>
                <w:color w:val="auto"/>
              </w:rPr>
            </w:pPr>
            <w:r>
              <w:rPr>
                <w:rFonts w:ascii="Arial" w:cs="Arial" w:eastAsia="Arial" w:hAnsi="Arial"/>
                <w:sz w:val="14"/>
                <w:szCs w:val="14"/>
                <w:color w:val="auto"/>
              </w:rPr>
              <w:t>110,265</w:t>
            </w:r>
          </w:p>
        </w:tc>
        <w:tc>
          <w:tcPr>
            <w:tcW w:w="106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w w:val="94"/>
              </w:rPr>
              <w:t>110,191</w:t>
            </w:r>
          </w:p>
        </w:tc>
        <w:tc>
          <w:tcPr>
            <w:tcW w:w="120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110,017</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4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Diluted</w:t>
            </w:r>
          </w:p>
        </w:tc>
        <w:tc>
          <w:tcPr>
            <w:tcW w:w="4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868"/>
              <w:spacing w:after="0" w:line="149" w:lineRule="exact"/>
              <w:rPr>
                <w:sz w:val="20"/>
                <w:szCs w:val="20"/>
                <w:color w:val="auto"/>
              </w:rPr>
            </w:pPr>
            <w:r>
              <w:rPr>
                <w:rFonts w:ascii="Arial" w:cs="Arial" w:eastAsia="Arial" w:hAnsi="Arial"/>
                <w:sz w:val="14"/>
                <w:szCs w:val="14"/>
                <w:color w:val="auto"/>
                <w:w w:val="90"/>
              </w:rPr>
              <w:t>113,521</w:t>
            </w:r>
          </w:p>
        </w:tc>
        <w:tc>
          <w:tcPr>
            <w:tcW w:w="1060" w:type="dxa"/>
            <w:vAlign w:val="bottom"/>
            <w:tcBorders>
              <w:bottom w:val="single" w:sz="8" w:color="auto"/>
            </w:tcBorders>
          </w:tcPr>
          <w:p>
            <w:pPr>
              <w:jc w:val="right"/>
              <w:ind w:right="488"/>
              <w:spacing w:after="0" w:line="149" w:lineRule="exact"/>
              <w:rPr>
                <w:sz w:val="20"/>
                <w:szCs w:val="20"/>
                <w:color w:val="auto"/>
              </w:rPr>
            </w:pPr>
            <w:r>
              <w:rPr>
                <w:rFonts w:ascii="Arial" w:cs="Arial" w:eastAsia="Arial" w:hAnsi="Arial"/>
                <w:sz w:val="14"/>
                <w:szCs w:val="14"/>
                <w:color w:val="auto"/>
                <w:w w:val="94"/>
              </w:rPr>
              <w:t>110,439</w:t>
            </w:r>
          </w:p>
        </w:tc>
        <w:tc>
          <w:tcPr>
            <w:tcW w:w="1460" w:type="dxa"/>
            <w:vAlign w:val="bottom"/>
            <w:tcBorders>
              <w:bottom w:val="single" w:sz="8" w:color="auto"/>
            </w:tcBorders>
          </w:tcPr>
          <w:p>
            <w:pPr>
              <w:jc w:val="right"/>
              <w:ind w:right="488"/>
              <w:spacing w:after="0" w:line="149" w:lineRule="exact"/>
              <w:rPr>
                <w:sz w:val="20"/>
                <w:szCs w:val="20"/>
                <w:color w:val="auto"/>
              </w:rPr>
            </w:pPr>
            <w:r>
              <w:rPr>
                <w:rFonts w:ascii="Arial" w:cs="Arial" w:eastAsia="Arial" w:hAnsi="Arial"/>
                <w:sz w:val="14"/>
                <w:szCs w:val="14"/>
                <w:color w:val="auto"/>
              </w:rPr>
              <w:t>110,620</w:t>
            </w:r>
          </w:p>
        </w:tc>
        <w:tc>
          <w:tcPr>
            <w:tcW w:w="1860" w:type="dxa"/>
            <w:vAlign w:val="bottom"/>
            <w:tcBorders>
              <w:bottom w:val="single" w:sz="8" w:color="auto"/>
            </w:tcBorders>
          </w:tcPr>
          <w:p>
            <w:pPr>
              <w:jc w:val="right"/>
              <w:ind w:right="888"/>
              <w:spacing w:after="0" w:line="149" w:lineRule="exact"/>
              <w:rPr>
                <w:sz w:val="20"/>
                <w:szCs w:val="20"/>
                <w:color w:val="auto"/>
              </w:rPr>
            </w:pPr>
            <w:r>
              <w:rPr>
                <w:rFonts w:ascii="Arial" w:cs="Arial" w:eastAsia="Arial" w:hAnsi="Arial"/>
                <w:sz w:val="14"/>
                <w:szCs w:val="14"/>
                <w:color w:val="auto"/>
              </w:rPr>
              <w:t>110,807</w:t>
            </w:r>
          </w:p>
        </w:tc>
        <w:tc>
          <w:tcPr>
            <w:tcW w:w="1060" w:type="dxa"/>
            <w:vAlign w:val="bottom"/>
            <w:tcBorders>
              <w:bottom w:val="single" w:sz="8" w:color="auto"/>
            </w:tcBorders>
          </w:tcPr>
          <w:p>
            <w:pPr>
              <w:jc w:val="right"/>
              <w:ind w:right="488"/>
              <w:spacing w:after="0" w:line="149" w:lineRule="exact"/>
              <w:rPr>
                <w:sz w:val="20"/>
                <w:szCs w:val="20"/>
                <w:color w:val="auto"/>
              </w:rPr>
            </w:pPr>
            <w:r>
              <w:rPr>
                <w:rFonts w:ascii="Arial" w:cs="Arial" w:eastAsia="Arial" w:hAnsi="Arial"/>
                <w:sz w:val="14"/>
                <w:szCs w:val="14"/>
                <w:color w:val="auto"/>
                <w:w w:val="94"/>
              </w:rPr>
              <w:t>111,227</w:t>
            </w:r>
          </w:p>
        </w:tc>
        <w:tc>
          <w:tcPr>
            <w:tcW w:w="1200" w:type="dxa"/>
            <w:vAlign w:val="bottom"/>
            <w:tcBorders>
              <w:bottom w:val="single" w:sz="8" w:color="auto"/>
            </w:tcBorders>
          </w:tcPr>
          <w:p>
            <w:pPr>
              <w:jc w:val="right"/>
              <w:ind w:right="208"/>
              <w:spacing w:after="0" w:line="149" w:lineRule="exact"/>
              <w:rPr>
                <w:sz w:val="20"/>
                <w:szCs w:val="20"/>
                <w:color w:val="auto"/>
              </w:rPr>
            </w:pPr>
            <w:r>
              <w:rPr>
                <w:rFonts w:ascii="Arial" w:cs="Arial" w:eastAsia="Arial" w:hAnsi="Arial"/>
                <w:sz w:val="14"/>
                <w:szCs w:val="14"/>
                <w:color w:val="auto"/>
              </w:rPr>
              <w:t>110,967</w:t>
            </w:r>
          </w:p>
        </w:tc>
        <w:tc>
          <w:tcPr>
            <w:tcW w:w="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9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Performance ratios, annualized</w:t>
            </w:r>
          </w:p>
        </w:tc>
        <w:tc>
          <w:tcPr>
            <w:tcW w:w="4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line="149" w:lineRule="exact"/>
              <w:rPr>
                <w:sz w:val="20"/>
                <w:szCs w:val="20"/>
                <w:color w:val="auto"/>
              </w:rPr>
            </w:pPr>
            <w:r>
              <w:rPr>
                <w:rFonts w:ascii="Arial" w:cs="Arial" w:eastAsia="Arial" w:hAnsi="Arial"/>
                <w:sz w:val="14"/>
                <w:szCs w:val="14"/>
                <w:color w:val="auto"/>
              </w:rPr>
              <w:t>Return on</w:t>
            </w:r>
          </w:p>
        </w:tc>
        <w:tc>
          <w:tcPr>
            <w:tcW w:w="4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Average assets</w:t>
            </w:r>
          </w:p>
        </w:tc>
        <w:tc>
          <w:tcPr>
            <w:tcW w:w="400" w:type="dxa"/>
            <w:vAlign w:val="bottom"/>
            <w:shd w:val="clear" w:color="auto" w:fill="CCEEFF"/>
          </w:tcPr>
          <w:p>
            <w:pPr>
              <w:spacing w:after="0"/>
              <w:rPr>
                <w:sz w:val="12"/>
                <w:szCs w:val="12"/>
                <w:color w:val="auto"/>
              </w:rPr>
            </w:pPr>
          </w:p>
        </w:tc>
        <w:tc>
          <w:tcPr>
            <w:tcW w:w="1420" w:type="dxa"/>
            <w:vAlign w:val="bottom"/>
            <w:shd w:val="clear" w:color="auto" w:fill="CCEEFF"/>
          </w:tcPr>
          <w:p>
            <w:pPr>
              <w:jc w:val="right"/>
              <w:ind w:right="748"/>
              <w:spacing w:after="0" w:line="149" w:lineRule="exact"/>
              <w:rPr>
                <w:sz w:val="20"/>
                <w:szCs w:val="20"/>
                <w:color w:val="auto"/>
              </w:rPr>
            </w:pPr>
            <w:r>
              <w:rPr>
                <w:rFonts w:ascii="Arial" w:cs="Arial" w:eastAsia="Arial" w:hAnsi="Arial"/>
                <w:sz w:val="14"/>
                <w:szCs w:val="14"/>
                <w:color w:val="auto"/>
              </w:rPr>
              <w:t>.31%</w:t>
            </w:r>
          </w:p>
        </w:tc>
        <w:tc>
          <w:tcPr>
            <w:tcW w:w="106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rPr>
              <w:t>.40%</w:t>
            </w:r>
          </w:p>
        </w:tc>
        <w:tc>
          <w:tcPr>
            <w:tcW w:w="146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rPr>
              <w:t>.63%</w:t>
            </w:r>
          </w:p>
        </w:tc>
        <w:tc>
          <w:tcPr>
            <w:tcW w:w="1860" w:type="dxa"/>
            <w:vAlign w:val="bottom"/>
            <w:shd w:val="clear" w:color="auto" w:fill="CCEEFF"/>
          </w:tcPr>
          <w:p>
            <w:pPr>
              <w:jc w:val="right"/>
              <w:ind w:right="768"/>
              <w:spacing w:after="0" w:line="149" w:lineRule="exact"/>
              <w:rPr>
                <w:sz w:val="20"/>
                <w:szCs w:val="20"/>
                <w:color w:val="auto"/>
              </w:rPr>
            </w:pPr>
            <w:r>
              <w:rPr>
                <w:rFonts w:ascii="Arial" w:cs="Arial" w:eastAsia="Arial" w:hAnsi="Arial"/>
                <w:sz w:val="14"/>
                <w:szCs w:val="14"/>
                <w:color w:val="auto"/>
              </w:rPr>
              <w:t>.56%</w:t>
            </w:r>
          </w:p>
        </w:tc>
        <w:tc>
          <w:tcPr>
            <w:tcW w:w="106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rPr>
              <w:t>.98%</w:t>
            </w:r>
          </w:p>
        </w:tc>
        <w:tc>
          <w:tcPr>
            <w:tcW w:w="120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1.25%</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Average common stockholders’ equity</w:t>
            </w:r>
          </w:p>
        </w:tc>
        <w:tc>
          <w:tcPr>
            <w:tcW w:w="400" w:type="dxa"/>
            <w:vAlign w:val="bottom"/>
          </w:tcPr>
          <w:p>
            <w:pPr>
              <w:spacing w:after="0"/>
              <w:rPr>
                <w:sz w:val="12"/>
                <w:szCs w:val="12"/>
                <w:color w:val="auto"/>
              </w:rPr>
            </w:pPr>
          </w:p>
        </w:tc>
        <w:tc>
          <w:tcPr>
            <w:tcW w:w="1420" w:type="dxa"/>
            <w:vAlign w:val="bottom"/>
          </w:tcPr>
          <w:p>
            <w:pPr>
              <w:jc w:val="right"/>
              <w:ind w:right="748"/>
              <w:spacing w:after="0" w:line="149" w:lineRule="exact"/>
              <w:rPr>
                <w:sz w:val="20"/>
                <w:szCs w:val="20"/>
                <w:color w:val="auto"/>
              </w:rPr>
            </w:pPr>
            <w:r>
              <w:rPr>
                <w:rFonts w:ascii="Arial" w:cs="Arial" w:eastAsia="Arial" w:hAnsi="Arial"/>
                <w:sz w:val="14"/>
                <w:szCs w:val="14"/>
                <w:color w:val="auto"/>
              </w:rPr>
              <w:t>2.53%</w:t>
            </w:r>
          </w:p>
        </w:tc>
        <w:tc>
          <w:tcPr>
            <w:tcW w:w="1060" w:type="dxa"/>
            <w:vAlign w:val="bottom"/>
          </w:tcPr>
          <w:p>
            <w:pPr>
              <w:jc w:val="right"/>
              <w:ind w:right="368"/>
              <w:spacing w:after="0" w:line="149" w:lineRule="exact"/>
              <w:rPr>
                <w:sz w:val="20"/>
                <w:szCs w:val="20"/>
                <w:color w:val="auto"/>
              </w:rPr>
            </w:pPr>
            <w:r>
              <w:rPr>
                <w:rFonts w:ascii="Arial" w:cs="Arial" w:eastAsia="Arial" w:hAnsi="Arial"/>
                <w:sz w:val="14"/>
                <w:szCs w:val="14"/>
                <w:color w:val="auto"/>
              </w:rPr>
              <w:t>3.61%</w:t>
            </w:r>
          </w:p>
        </w:tc>
        <w:tc>
          <w:tcPr>
            <w:tcW w:w="1460" w:type="dxa"/>
            <w:vAlign w:val="bottom"/>
          </w:tcPr>
          <w:p>
            <w:pPr>
              <w:jc w:val="right"/>
              <w:ind w:right="368"/>
              <w:spacing w:after="0" w:line="149" w:lineRule="exact"/>
              <w:rPr>
                <w:sz w:val="20"/>
                <w:szCs w:val="20"/>
                <w:color w:val="auto"/>
              </w:rPr>
            </w:pPr>
            <w:r>
              <w:rPr>
                <w:rFonts w:ascii="Arial" w:cs="Arial" w:eastAsia="Arial" w:hAnsi="Arial"/>
                <w:sz w:val="14"/>
                <w:szCs w:val="14"/>
                <w:color w:val="auto"/>
              </w:rPr>
              <w:t>6.41%</w:t>
            </w:r>
          </w:p>
        </w:tc>
        <w:tc>
          <w:tcPr>
            <w:tcW w:w="1860" w:type="dxa"/>
            <w:vAlign w:val="bottom"/>
          </w:tcPr>
          <w:p>
            <w:pPr>
              <w:jc w:val="right"/>
              <w:ind w:right="768"/>
              <w:spacing w:after="0" w:line="149" w:lineRule="exact"/>
              <w:rPr>
                <w:sz w:val="20"/>
                <w:szCs w:val="20"/>
                <w:color w:val="auto"/>
              </w:rPr>
            </w:pPr>
            <w:r>
              <w:rPr>
                <w:rFonts w:ascii="Arial" w:cs="Arial" w:eastAsia="Arial" w:hAnsi="Arial"/>
                <w:sz w:val="14"/>
                <w:szCs w:val="14"/>
                <w:color w:val="auto"/>
              </w:rPr>
              <w:t>5.66%</w:t>
            </w:r>
          </w:p>
        </w:tc>
        <w:tc>
          <w:tcPr>
            <w:tcW w:w="1060" w:type="dxa"/>
            <w:vAlign w:val="bottom"/>
          </w:tcPr>
          <w:p>
            <w:pPr>
              <w:jc w:val="right"/>
              <w:ind w:right="368"/>
              <w:spacing w:after="0" w:line="149" w:lineRule="exact"/>
              <w:rPr>
                <w:sz w:val="20"/>
                <w:szCs w:val="20"/>
                <w:color w:val="auto"/>
              </w:rPr>
            </w:pPr>
            <w:r>
              <w:rPr>
                <w:rFonts w:ascii="Arial" w:cs="Arial" w:eastAsia="Arial" w:hAnsi="Arial"/>
                <w:sz w:val="14"/>
                <w:szCs w:val="14"/>
                <w:color w:val="auto"/>
              </w:rPr>
              <w:t>9.96%</w:t>
            </w:r>
          </w:p>
        </w:tc>
        <w:tc>
          <w:tcPr>
            <w:tcW w:w="12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12.49%</w:t>
            </w:r>
          </w:p>
        </w:tc>
        <w:tc>
          <w:tcPr>
            <w:tcW w:w="20" w:type="dxa"/>
            <w:vAlign w:val="bottom"/>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29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interest margin on average earning assets</w:t>
            </w:r>
          </w:p>
        </w:tc>
        <w:tc>
          <w:tcPr>
            <w:tcW w:w="4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9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(taxable-equivalent basis)</w:t>
            </w:r>
          </w:p>
        </w:tc>
        <w:tc>
          <w:tcPr>
            <w:tcW w:w="40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3.43%</w:t>
            </w:r>
          </w:p>
        </w:tc>
        <w:tc>
          <w:tcPr>
            <w:tcW w:w="106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3.19%</w:t>
            </w:r>
          </w:p>
        </w:tc>
        <w:tc>
          <w:tcPr>
            <w:tcW w:w="146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3.37%</w:t>
            </w:r>
          </w:p>
        </w:tc>
        <w:tc>
          <w:tcPr>
            <w:tcW w:w="186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3.39%</w:t>
            </w:r>
          </w:p>
        </w:tc>
        <w:tc>
          <w:tcPr>
            <w:tcW w:w="106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3.39%</w:t>
            </w:r>
          </w:p>
        </w:tc>
        <w:tc>
          <w:tcPr>
            <w:tcW w:w="12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3.38%</w:t>
            </w:r>
          </w:p>
        </w:tc>
        <w:tc>
          <w:tcPr>
            <w:tcW w:w="20" w:type="dxa"/>
            <w:vAlign w:val="bottom"/>
          </w:tcPr>
          <w:p>
            <w:pPr>
              <w:spacing w:after="0"/>
              <w:rPr>
                <w:sz w:val="14"/>
                <w:szCs w:val="14"/>
                <w:color w:val="auto"/>
              </w:rPr>
            </w:pPr>
          </w:p>
        </w:tc>
      </w:tr>
      <w:tr>
        <w:trPr>
          <w:trHeight w:val="130"/>
        </w:trPr>
        <w:tc>
          <w:tcPr>
            <w:tcW w:w="20" w:type="dxa"/>
            <w:vAlign w:val="bottom"/>
          </w:tcPr>
          <w:p>
            <w:pPr>
              <w:spacing w:after="0"/>
              <w:rPr>
                <w:sz w:val="11"/>
                <w:szCs w:val="11"/>
                <w:color w:val="auto"/>
              </w:rPr>
            </w:pPr>
          </w:p>
        </w:tc>
        <w:tc>
          <w:tcPr>
            <w:tcW w:w="2940" w:type="dxa"/>
            <w:vAlign w:val="bottom"/>
          </w:tcPr>
          <w:p>
            <w:pPr>
              <w:spacing w:after="0" w:line="130" w:lineRule="exact"/>
              <w:rPr>
                <w:sz w:val="20"/>
                <w:szCs w:val="20"/>
                <w:color w:val="auto"/>
              </w:rPr>
            </w:pPr>
            <w:r>
              <w:rPr>
                <w:rFonts w:ascii="Arial" w:cs="Arial" w:eastAsia="Arial" w:hAnsi="Arial"/>
                <w:sz w:val="14"/>
                <w:szCs w:val="14"/>
                <w:color w:val="auto"/>
              </w:rPr>
              <w:t>Nonaccrual loans to total loans and leases,</w:t>
            </w:r>
          </w:p>
        </w:tc>
        <w:tc>
          <w:tcPr>
            <w:tcW w:w="4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940" w:type="dxa"/>
            <w:vAlign w:val="bottom"/>
          </w:tcPr>
          <w:p>
            <w:pPr>
              <w:ind w:left="200"/>
              <w:spacing w:after="0"/>
              <w:rPr>
                <w:sz w:val="20"/>
                <w:szCs w:val="20"/>
                <w:color w:val="auto"/>
              </w:rPr>
            </w:pPr>
            <w:r>
              <w:rPr>
                <w:rFonts w:ascii="Arial" w:cs="Arial" w:eastAsia="Arial" w:hAnsi="Arial"/>
                <w:sz w:val="14"/>
                <w:szCs w:val="14"/>
                <w:color w:val="auto"/>
              </w:rPr>
              <w:t>net of unearned discount</w:t>
            </w:r>
          </w:p>
        </w:tc>
        <w:tc>
          <w:tcPr>
            <w:tcW w:w="400" w:type="dxa"/>
            <w:vAlign w:val="bottom"/>
          </w:tcPr>
          <w:p>
            <w:pPr>
              <w:spacing w:after="0"/>
              <w:rPr>
                <w:sz w:val="14"/>
                <w:szCs w:val="14"/>
                <w:color w:val="auto"/>
              </w:rPr>
            </w:pPr>
          </w:p>
        </w:tc>
        <w:tc>
          <w:tcPr>
            <w:tcW w:w="1420" w:type="dxa"/>
            <w:vAlign w:val="bottom"/>
          </w:tcPr>
          <w:p>
            <w:pPr>
              <w:jc w:val="right"/>
              <w:ind w:right="748"/>
              <w:spacing w:after="0"/>
              <w:rPr>
                <w:sz w:val="20"/>
                <w:szCs w:val="20"/>
                <w:color w:val="auto"/>
              </w:rPr>
            </w:pPr>
            <w:r>
              <w:rPr>
                <w:rFonts w:ascii="Arial" w:cs="Arial" w:eastAsia="Arial" w:hAnsi="Arial"/>
                <w:sz w:val="14"/>
                <w:szCs w:val="14"/>
                <w:color w:val="auto"/>
              </w:rPr>
              <w:t>2.11%</w:t>
            </w:r>
          </w:p>
        </w:tc>
        <w:tc>
          <w:tcPr>
            <w:tcW w:w="1060" w:type="dxa"/>
            <w:vAlign w:val="bottom"/>
          </w:tcPr>
          <w:p>
            <w:pPr>
              <w:jc w:val="right"/>
              <w:ind w:right="368"/>
              <w:spacing w:after="0"/>
              <w:rPr>
                <w:sz w:val="20"/>
                <w:szCs w:val="20"/>
                <w:color w:val="auto"/>
              </w:rPr>
            </w:pPr>
            <w:r>
              <w:rPr>
                <w:rFonts w:ascii="Arial" w:cs="Arial" w:eastAsia="Arial" w:hAnsi="Arial"/>
                <w:sz w:val="14"/>
                <w:szCs w:val="14"/>
                <w:color w:val="auto"/>
              </w:rPr>
              <w:t>2.05%</w:t>
            </w:r>
          </w:p>
        </w:tc>
        <w:tc>
          <w:tcPr>
            <w:tcW w:w="1460" w:type="dxa"/>
            <w:vAlign w:val="bottom"/>
          </w:tcPr>
          <w:p>
            <w:pPr>
              <w:jc w:val="right"/>
              <w:ind w:right="368"/>
              <w:spacing w:after="0"/>
              <w:rPr>
                <w:sz w:val="20"/>
                <w:szCs w:val="20"/>
                <w:color w:val="auto"/>
              </w:rPr>
            </w:pPr>
            <w:r>
              <w:rPr>
                <w:rFonts w:ascii="Arial" w:cs="Arial" w:eastAsia="Arial" w:hAnsi="Arial"/>
                <w:sz w:val="14"/>
                <w:szCs w:val="14"/>
                <w:color w:val="auto"/>
              </w:rPr>
              <w:t>1.54%</w:t>
            </w:r>
          </w:p>
        </w:tc>
        <w:tc>
          <w:tcPr>
            <w:tcW w:w="1860" w:type="dxa"/>
            <w:vAlign w:val="bottom"/>
          </w:tcPr>
          <w:p>
            <w:pPr>
              <w:jc w:val="right"/>
              <w:ind w:right="768"/>
              <w:spacing w:after="0"/>
              <w:rPr>
                <w:sz w:val="20"/>
                <w:szCs w:val="20"/>
                <w:color w:val="auto"/>
              </w:rPr>
            </w:pPr>
            <w:r>
              <w:rPr>
                <w:rFonts w:ascii="Arial" w:cs="Arial" w:eastAsia="Arial" w:hAnsi="Arial"/>
                <w:sz w:val="14"/>
                <w:szCs w:val="14"/>
                <w:color w:val="auto"/>
              </w:rPr>
              <w:t>1.41%</w:t>
            </w:r>
          </w:p>
        </w:tc>
        <w:tc>
          <w:tcPr>
            <w:tcW w:w="1060" w:type="dxa"/>
            <w:vAlign w:val="bottom"/>
          </w:tcPr>
          <w:p>
            <w:pPr>
              <w:jc w:val="right"/>
              <w:ind w:right="368"/>
              <w:spacing w:after="0"/>
              <w:rPr>
                <w:sz w:val="20"/>
                <w:szCs w:val="20"/>
                <w:color w:val="auto"/>
              </w:rPr>
            </w:pPr>
            <w:r>
              <w:rPr>
                <w:rFonts w:ascii="Arial" w:cs="Arial" w:eastAsia="Arial" w:hAnsi="Arial"/>
                <w:sz w:val="14"/>
                <w:szCs w:val="14"/>
                <w:color w:val="auto"/>
              </w:rPr>
              <w:t>1.16%</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.97%</w:t>
            </w: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94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Efficiency ratio (a)</w:t>
            </w:r>
          </w:p>
        </w:tc>
        <w:tc>
          <w:tcPr>
            <w:tcW w:w="40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ind w:right="748"/>
              <w:spacing w:after="0" w:line="149" w:lineRule="exact"/>
              <w:rPr>
                <w:sz w:val="20"/>
                <w:szCs w:val="20"/>
                <w:color w:val="auto"/>
              </w:rPr>
            </w:pPr>
            <w:r>
              <w:rPr>
                <w:rFonts w:ascii="Arial" w:cs="Arial" w:eastAsia="Arial" w:hAnsi="Arial"/>
                <w:sz w:val="14"/>
                <w:szCs w:val="14"/>
                <w:color w:val="auto"/>
              </w:rPr>
              <w:t>61.93%</w:t>
            </w:r>
          </w:p>
        </w:tc>
        <w:tc>
          <w:tcPr>
            <w:tcW w:w="1060" w:type="dxa"/>
            <w:vAlign w:val="bottom"/>
            <w:tcBorders>
              <w:bottom w:val="single" w:sz="8" w:color="auto"/>
            </w:tcBorders>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rPr>
              <w:t>60.82%</w:t>
            </w:r>
          </w:p>
        </w:tc>
        <w:tc>
          <w:tcPr>
            <w:tcW w:w="1460" w:type="dxa"/>
            <w:vAlign w:val="bottom"/>
            <w:tcBorders>
              <w:bottom w:val="single" w:sz="8" w:color="auto"/>
            </w:tcBorders>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rPr>
              <w:t>59.11%</w:t>
            </w:r>
          </w:p>
        </w:tc>
        <w:tc>
          <w:tcPr>
            <w:tcW w:w="1860" w:type="dxa"/>
            <w:vAlign w:val="bottom"/>
            <w:tcBorders>
              <w:bottom w:val="single" w:sz="8" w:color="auto"/>
            </w:tcBorders>
            <w:shd w:val="clear" w:color="auto" w:fill="CCEEFF"/>
          </w:tcPr>
          <w:p>
            <w:pPr>
              <w:jc w:val="right"/>
              <w:ind w:right="768"/>
              <w:spacing w:after="0" w:line="149" w:lineRule="exact"/>
              <w:rPr>
                <w:sz w:val="20"/>
                <w:szCs w:val="20"/>
                <w:color w:val="auto"/>
              </w:rPr>
            </w:pPr>
            <w:r>
              <w:rPr>
                <w:rFonts w:ascii="Arial" w:cs="Arial" w:eastAsia="Arial" w:hAnsi="Arial"/>
                <w:sz w:val="14"/>
                <w:szCs w:val="14"/>
                <w:color w:val="auto"/>
              </w:rPr>
              <w:t>57.24%</w:t>
            </w:r>
          </w:p>
        </w:tc>
        <w:tc>
          <w:tcPr>
            <w:tcW w:w="1060" w:type="dxa"/>
            <w:vAlign w:val="bottom"/>
            <w:tcBorders>
              <w:bottom w:val="single" w:sz="8" w:color="auto"/>
            </w:tcBorders>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rPr>
              <w:t>54.57%</w:t>
            </w:r>
          </w:p>
        </w:tc>
        <w:tc>
          <w:tcPr>
            <w:tcW w:w="1200" w:type="dxa"/>
            <w:vAlign w:val="bottom"/>
            <w:tcBorders>
              <w:bottom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55.27%</w:t>
            </w:r>
          </w:p>
        </w:tc>
        <w:tc>
          <w:tcPr>
            <w:tcW w:w="20" w:type="dxa"/>
            <w:vAlign w:val="bottom"/>
          </w:tcPr>
          <w:p>
            <w:pPr>
              <w:spacing w:after="0"/>
              <w:rPr>
                <w:sz w:val="12"/>
                <w:szCs w:val="12"/>
                <w:color w:val="auto"/>
              </w:rPr>
            </w:pPr>
          </w:p>
        </w:tc>
      </w:tr>
      <w:tr>
        <w:trPr>
          <w:trHeight w:val="20"/>
        </w:trPr>
        <w:tc>
          <w:tcPr>
            <w:tcW w:w="29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940" w:type="dxa"/>
            <w:vAlign w:val="bottom"/>
            <w:tcBorders>
              <w:top w:val="single" w:sz="8" w:color="auto"/>
            </w:tcBorders>
          </w:tcPr>
          <w:p>
            <w:pPr>
              <w:spacing w:after="0" w:line="143" w:lineRule="exact"/>
              <w:rPr>
                <w:sz w:val="20"/>
                <w:szCs w:val="20"/>
                <w:color w:val="auto"/>
              </w:rPr>
            </w:pPr>
            <w:r>
              <w:rPr>
                <w:rFonts w:ascii="Arial" w:cs="Arial" w:eastAsia="Arial" w:hAnsi="Arial"/>
                <w:sz w:val="14"/>
                <w:szCs w:val="14"/>
                <w:b w:val="1"/>
                <w:bCs w:val="1"/>
                <w:color w:val="auto"/>
              </w:rPr>
              <w:t>Net operating (tangible) results (b)</w:t>
            </w:r>
          </w:p>
        </w:tc>
        <w:tc>
          <w:tcPr>
            <w:tcW w:w="40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operating income (in thousands)</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868"/>
              <w:spacing w:after="0" w:line="149" w:lineRule="exact"/>
              <w:rPr>
                <w:sz w:val="20"/>
                <w:szCs w:val="20"/>
                <w:color w:val="auto"/>
              </w:rPr>
            </w:pPr>
            <w:r>
              <w:rPr>
                <w:rFonts w:ascii="Arial" w:cs="Arial" w:eastAsia="Arial" w:hAnsi="Arial"/>
                <w:sz w:val="14"/>
                <w:szCs w:val="14"/>
                <w:color w:val="auto"/>
                <w:w w:val="90"/>
              </w:rPr>
              <w:t>100,805</w:t>
            </w:r>
          </w:p>
        </w:tc>
        <w:tc>
          <w:tcPr>
            <w:tcW w:w="106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75,034</w:t>
            </w:r>
          </w:p>
        </w:tc>
        <w:tc>
          <w:tcPr>
            <w:tcW w:w="146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111,784</w:t>
            </w:r>
          </w:p>
        </w:tc>
        <w:tc>
          <w:tcPr>
            <w:tcW w:w="1860" w:type="dxa"/>
            <w:vAlign w:val="bottom"/>
            <w:shd w:val="clear" w:color="auto" w:fill="CCEEFF"/>
          </w:tcPr>
          <w:p>
            <w:pPr>
              <w:jc w:val="right"/>
              <w:ind w:right="888"/>
              <w:spacing w:after="0" w:line="149" w:lineRule="exact"/>
              <w:rPr>
                <w:sz w:val="20"/>
                <w:szCs w:val="20"/>
                <w:color w:val="auto"/>
              </w:rPr>
            </w:pPr>
            <w:r>
              <w:rPr>
                <w:rFonts w:ascii="Arial" w:cs="Arial" w:eastAsia="Arial" w:hAnsi="Arial"/>
                <w:sz w:val="14"/>
                <w:szCs w:val="14"/>
                <w:color w:val="auto"/>
              </w:rPr>
              <w:t>100,809</w:t>
            </w:r>
          </w:p>
        </w:tc>
        <w:tc>
          <w:tcPr>
            <w:tcW w:w="106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w w:val="94"/>
              </w:rPr>
              <w:t>170,361</w:t>
            </w:r>
          </w:p>
        </w:tc>
        <w:tc>
          <w:tcPr>
            <w:tcW w:w="120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215,597</w:t>
            </w:r>
          </w:p>
        </w:tc>
        <w:tc>
          <w:tcPr>
            <w:tcW w:w="20" w:type="dxa"/>
            <w:vAlign w:val="bottom"/>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2940" w:type="dxa"/>
            <w:vAlign w:val="bottom"/>
          </w:tcPr>
          <w:p>
            <w:pPr>
              <w:spacing w:after="0" w:line="130" w:lineRule="exact"/>
              <w:rPr>
                <w:sz w:val="20"/>
                <w:szCs w:val="20"/>
                <w:color w:val="auto"/>
              </w:rPr>
            </w:pPr>
            <w:r>
              <w:rPr>
                <w:rFonts w:ascii="Arial" w:cs="Arial" w:eastAsia="Arial" w:hAnsi="Arial"/>
                <w:sz w:val="14"/>
                <w:szCs w:val="14"/>
                <w:color w:val="auto"/>
              </w:rPr>
              <w:t>Diluted net operating income per common</w:t>
            </w:r>
          </w:p>
        </w:tc>
        <w:tc>
          <w:tcPr>
            <w:tcW w:w="4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940" w:type="dxa"/>
            <w:vAlign w:val="bottom"/>
          </w:tcPr>
          <w:p>
            <w:pPr>
              <w:ind w:left="200"/>
              <w:spacing w:after="0"/>
              <w:rPr>
                <w:sz w:val="20"/>
                <w:szCs w:val="20"/>
                <w:color w:val="auto"/>
              </w:rPr>
            </w:pPr>
            <w:r>
              <w:rPr>
                <w:rFonts w:ascii="Arial" w:cs="Arial" w:eastAsia="Arial" w:hAnsi="Arial"/>
                <w:sz w:val="14"/>
                <w:szCs w:val="14"/>
                <w:color w:val="auto"/>
              </w:rPr>
              <w:t>share</w:t>
            </w:r>
          </w:p>
        </w:tc>
        <w:tc>
          <w:tcPr>
            <w:tcW w:w="400" w:type="dxa"/>
            <w:vAlign w:val="bottom"/>
          </w:tcPr>
          <w:p>
            <w:pPr>
              <w:spacing w:after="0"/>
              <w:rPr>
                <w:sz w:val="14"/>
                <w:szCs w:val="14"/>
                <w:color w:val="auto"/>
              </w:rPr>
            </w:pPr>
          </w:p>
        </w:tc>
        <w:tc>
          <w:tcPr>
            <w:tcW w:w="1420" w:type="dxa"/>
            <w:vAlign w:val="bottom"/>
          </w:tcPr>
          <w:p>
            <w:pPr>
              <w:jc w:val="right"/>
              <w:ind w:right="868"/>
              <w:spacing w:after="0"/>
              <w:rPr>
                <w:sz w:val="20"/>
                <w:szCs w:val="20"/>
                <w:color w:val="auto"/>
              </w:rPr>
            </w:pPr>
            <w:r>
              <w:rPr>
                <w:rFonts w:ascii="Arial" w:cs="Arial" w:eastAsia="Arial" w:hAnsi="Arial"/>
                <w:sz w:val="14"/>
                <w:szCs w:val="14"/>
                <w:color w:val="auto"/>
              </w:rPr>
              <w:t>.79</w:t>
            </w:r>
          </w:p>
        </w:tc>
        <w:tc>
          <w:tcPr>
            <w:tcW w:w="1060" w:type="dxa"/>
            <w:vAlign w:val="bottom"/>
          </w:tcPr>
          <w:p>
            <w:pPr>
              <w:jc w:val="right"/>
              <w:ind w:right="488"/>
              <w:spacing w:after="0"/>
              <w:rPr>
                <w:sz w:val="20"/>
                <w:szCs w:val="20"/>
                <w:color w:val="auto"/>
              </w:rPr>
            </w:pPr>
            <w:r>
              <w:rPr>
                <w:rFonts w:ascii="Arial" w:cs="Arial" w:eastAsia="Arial" w:hAnsi="Arial"/>
                <w:sz w:val="14"/>
                <w:szCs w:val="14"/>
                <w:color w:val="auto"/>
              </w:rPr>
              <w:t>.59</w:t>
            </w:r>
          </w:p>
        </w:tc>
        <w:tc>
          <w:tcPr>
            <w:tcW w:w="1460" w:type="dxa"/>
            <w:vAlign w:val="bottom"/>
          </w:tcPr>
          <w:p>
            <w:pPr>
              <w:jc w:val="right"/>
              <w:ind w:right="488"/>
              <w:spacing w:after="0"/>
              <w:rPr>
                <w:sz w:val="20"/>
                <w:szCs w:val="20"/>
                <w:color w:val="auto"/>
              </w:rPr>
            </w:pPr>
            <w:r>
              <w:rPr>
                <w:rFonts w:ascii="Arial" w:cs="Arial" w:eastAsia="Arial" w:hAnsi="Arial"/>
                <w:sz w:val="14"/>
                <w:szCs w:val="14"/>
                <w:color w:val="auto"/>
              </w:rPr>
              <w:t>1.00</w:t>
            </w:r>
          </w:p>
        </w:tc>
        <w:tc>
          <w:tcPr>
            <w:tcW w:w="1860" w:type="dxa"/>
            <w:vAlign w:val="bottom"/>
          </w:tcPr>
          <w:p>
            <w:pPr>
              <w:jc w:val="right"/>
              <w:ind w:right="888"/>
              <w:spacing w:after="0"/>
              <w:rPr>
                <w:sz w:val="20"/>
                <w:szCs w:val="20"/>
                <w:color w:val="auto"/>
              </w:rPr>
            </w:pPr>
            <w:r>
              <w:rPr>
                <w:rFonts w:ascii="Arial" w:cs="Arial" w:eastAsia="Arial" w:hAnsi="Arial"/>
                <w:sz w:val="14"/>
                <w:szCs w:val="14"/>
                <w:color w:val="auto"/>
              </w:rPr>
              <w:t>.91</w:t>
            </w:r>
          </w:p>
        </w:tc>
        <w:tc>
          <w:tcPr>
            <w:tcW w:w="1060" w:type="dxa"/>
            <w:vAlign w:val="bottom"/>
          </w:tcPr>
          <w:p>
            <w:pPr>
              <w:jc w:val="right"/>
              <w:ind w:right="488"/>
              <w:spacing w:after="0"/>
              <w:rPr>
                <w:sz w:val="20"/>
                <w:szCs w:val="20"/>
                <w:color w:val="auto"/>
              </w:rPr>
            </w:pPr>
            <w:r>
              <w:rPr>
                <w:rFonts w:ascii="Arial" w:cs="Arial" w:eastAsia="Arial" w:hAnsi="Arial"/>
                <w:sz w:val="14"/>
                <w:szCs w:val="14"/>
                <w:color w:val="auto"/>
              </w:rPr>
              <w:t>1.53</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1.94</w:t>
            </w: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Annualized return on</w:t>
            </w:r>
          </w:p>
        </w:tc>
        <w:tc>
          <w:tcPr>
            <w:tcW w:w="4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Average tangible assets</w:t>
            </w:r>
          </w:p>
        </w:tc>
        <w:tc>
          <w:tcPr>
            <w:tcW w:w="400" w:type="dxa"/>
            <w:vAlign w:val="bottom"/>
          </w:tcPr>
          <w:p>
            <w:pPr>
              <w:spacing w:after="0"/>
              <w:rPr>
                <w:sz w:val="12"/>
                <w:szCs w:val="12"/>
                <w:color w:val="auto"/>
              </w:rPr>
            </w:pPr>
          </w:p>
        </w:tc>
        <w:tc>
          <w:tcPr>
            <w:tcW w:w="1420" w:type="dxa"/>
            <w:vAlign w:val="bottom"/>
          </w:tcPr>
          <w:p>
            <w:pPr>
              <w:jc w:val="right"/>
              <w:ind w:right="748"/>
              <w:spacing w:after="0" w:line="149" w:lineRule="exact"/>
              <w:rPr>
                <w:sz w:val="20"/>
                <w:szCs w:val="20"/>
                <w:color w:val="auto"/>
              </w:rPr>
            </w:pPr>
            <w:r>
              <w:rPr>
                <w:rFonts w:ascii="Arial" w:cs="Arial" w:eastAsia="Arial" w:hAnsi="Arial"/>
                <w:sz w:val="14"/>
                <w:szCs w:val="14"/>
                <w:color w:val="auto"/>
              </w:rPr>
              <w:t>.64%</w:t>
            </w:r>
          </w:p>
        </w:tc>
        <w:tc>
          <w:tcPr>
            <w:tcW w:w="1060" w:type="dxa"/>
            <w:vAlign w:val="bottom"/>
          </w:tcPr>
          <w:p>
            <w:pPr>
              <w:jc w:val="right"/>
              <w:ind w:right="368"/>
              <w:spacing w:after="0" w:line="149" w:lineRule="exact"/>
              <w:rPr>
                <w:sz w:val="20"/>
                <w:szCs w:val="20"/>
                <w:color w:val="auto"/>
              </w:rPr>
            </w:pPr>
            <w:r>
              <w:rPr>
                <w:rFonts w:ascii="Arial" w:cs="Arial" w:eastAsia="Arial" w:hAnsi="Arial"/>
                <w:sz w:val="14"/>
                <w:szCs w:val="14"/>
                <w:color w:val="auto"/>
              </w:rPr>
              <w:t>.50%</w:t>
            </w:r>
          </w:p>
        </w:tc>
        <w:tc>
          <w:tcPr>
            <w:tcW w:w="1460" w:type="dxa"/>
            <w:vAlign w:val="bottom"/>
          </w:tcPr>
          <w:p>
            <w:pPr>
              <w:jc w:val="right"/>
              <w:ind w:right="368"/>
              <w:spacing w:after="0" w:line="149" w:lineRule="exact"/>
              <w:rPr>
                <w:sz w:val="20"/>
                <w:szCs w:val="20"/>
                <w:color w:val="auto"/>
              </w:rPr>
            </w:pPr>
            <w:r>
              <w:rPr>
                <w:rFonts w:ascii="Arial" w:cs="Arial" w:eastAsia="Arial" w:hAnsi="Arial"/>
                <w:sz w:val="14"/>
                <w:szCs w:val="14"/>
                <w:color w:val="auto"/>
              </w:rPr>
              <w:t>.72%</w:t>
            </w:r>
          </w:p>
        </w:tc>
        <w:tc>
          <w:tcPr>
            <w:tcW w:w="1860" w:type="dxa"/>
            <w:vAlign w:val="bottom"/>
          </w:tcPr>
          <w:p>
            <w:pPr>
              <w:jc w:val="right"/>
              <w:ind w:right="768"/>
              <w:spacing w:after="0" w:line="149" w:lineRule="exact"/>
              <w:rPr>
                <w:sz w:val="20"/>
                <w:szCs w:val="20"/>
                <w:color w:val="auto"/>
              </w:rPr>
            </w:pPr>
            <w:r>
              <w:rPr>
                <w:rFonts w:ascii="Arial" w:cs="Arial" w:eastAsia="Arial" w:hAnsi="Arial"/>
                <w:sz w:val="14"/>
                <w:szCs w:val="14"/>
                <w:color w:val="auto"/>
              </w:rPr>
              <w:t>.65%</w:t>
            </w:r>
          </w:p>
        </w:tc>
        <w:tc>
          <w:tcPr>
            <w:tcW w:w="1060" w:type="dxa"/>
            <w:vAlign w:val="bottom"/>
          </w:tcPr>
          <w:p>
            <w:pPr>
              <w:jc w:val="right"/>
              <w:ind w:right="368"/>
              <w:spacing w:after="0" w:line="149" w:lineRule="exact"/>
              <w:rPr>
                <w:sz w:val="20"/>
                <w:szCs w:val="20"/>
                <w:color w:val="auto"/>
              </w:rPr>
            </w:pPr>
            <w:r>
              <w:rPr>
                <w:rFonts w:ascii="Arial" w:cs="Arial" w:eastAsia="Arial" w:hAnsi="Arial"/>
                <w:sz w:val="14"/>
                <w:szCs w:val="14"/>
                <w:color w:val="auto"/>
              </w:rPr>
              <w:t>1.10%</w:t>
            </w:r>
          </w:p>
        </w:tc>
        <w:tc>
          <w:tcPr>
            <w:tcW w:w="12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1.41%</w:t>
            </w:r>
          </w:p>
        </w:tc>
        <w:tc>
          <w:tcPr>
            <w:tcW w:w="20" w:type="dxa"/>
            <w:vAlign w:val="bottom"/>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294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Average tangible common stockholders’</w:t>
            </w:r>
          </w:p>
        </w:tc>
        <w:tc>
          <w:tcPr>
            <w:tcW w:w="4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940" w:type="dxa"/>
            <w:vAlign w:val="bottom"/>
            <w:shd w:val="clear" w:color="auto" w:fill="CCEEFF"/>
          </w:tcPr>
          <w:p>
            <w:pPr>
              <w:ind w:left="400"/>
              <w:spacing w:after="0"/>
              <w:rPr>
                <w:sz w:val="20"/>
                <w:szCs w:val="20"/>
                <w:color w:val="auto"/>
              </w:rPr>
            </w:pPr>
            <w:r>
              <w:rPr>
                <w:rFonts w:ascii="Arial" w:cs="Arial" w:eastAsia="Arial" w:hAnsi="Arial"/>
                <w:sz w:val="14"/>
                <w:szCs w:val="14"/>
                <w:color w:val="auto"/>
              </w:rPr>
              <w:t>equity</w:t>
            </w:r>
          </w:p>
        </w:tc>
        <w:tc>
          <w:tcPr>
            <w:tcW w:w="40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12.08%</w:t>
            </w:r>
          </w:p>
        </w:tc>
        <w:tc>
          <w:tcPr>
            <w:tcW w:w="106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9.36%</w:t>
            </w:r>
          </w:p>
        </w:tc>
        <w:tc>
          <w:tcPr>
            <w:tcW w:w="146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15.01%</w:t>
            </w:r>
          </w:p>
        </w:tc>
        <w:tc>
          <w:tcPr>
            <w:tcW w:w="186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13.17%</w:t>
            </w:r>
          </w:p>
        </w:tc>
        <w:tc>
          <w:tcPr>
            <w:tcW w:w="106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22.20%</w:t>
            </w:r>
          </w:p>
        </w:tc>
        <w:tc>
          <w:tcPr>
            <w:tcW w:w="12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27.86%</w:t>
            </w: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9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Efficiency ratio (a)</w:t>
            </w:r>
          </w:p>
        </w:tc>
        <w:tc>
          <w:tcPr>
            <w:tcW w:w="4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748"/>
              <w:spacing w:after="0" w:line="149" w:lineRule="exact"/>
              <w:rPr>
                <w:sz w:val="20"/>
                <w:szCs w:val="20"/>
                <w:color w:val="auto"/>
              </w:rPr>
            </w:pPr>
            <w:r>
              <w:rPr>
                <w:rFonts w:ascii="Arial" w:cs="Arial" w:eastAsia="Arial" w:hAnsi="Arial"/>
                <w:sz w:val="14"/>
                <w:szCs w:val="14"/>
                <w:color w:val="auto"/>
              </w:rPr>
              <w:t>60.03%</w:t>
            </w:r>
          </w:p>
        </w:tc>
        <w:tc>
          <w:tcPr>
            <w:tcW w:w="1060" w:type="dxa"/>
            <w:vAlign w:val="bottom"/>
            <w:tcBorders>
              <w:bottom w:val="single" w:sz="8" w:color="auto"/>
            </w:tcBorders>
          </w:tcPr>
          <w:p>
            <w:pPr>
              <w:jc w:val="right"/>
              <w:ind w:right="368"/>
              <w:spacing w:after="0" w:line="149" w:lineRule="exact"/>
              <w:rPr>
                <w:sz w:val="20"/>
                <w:szCs w:val="20"/>
                <w:color w:val="auto"/>
              </w:rPr>
            </w:pPr>
            <w:r>
              <w:rPr>
                <w:rFonts w:ascii="Arial" w:cs="Arial" w:eastAsia="Arial" w:hAnsi="Arial"/>
                <w:sz w:val="14"/>
                <w:szCs w:val="14"/>
                <w:color w:val="auto"/>
              </w:rPr>
              <w:t>58.68%</w:t>
            </w:r>
          </w:p>
        </w:tc>
        <w:tc>
          <w:tcPr>
            <w:tcW w:w="1460" w:type="dxa"/>
            <w:vAlign w:val="bottom"/>
            <w:tcBorders>
              <w:bottom w:val="single" w:sz="8" w:color="auto"/>
            </w:tcBorders>
          </w:tcPr>
          <w:p>
            <w:pPr>
              <w:jc w:val="right"/>
              <w:ind w:right="368"/>
              <w:spacing w:after="0" w:line="149" w:lineRule="exact"/>
              <w:rPr>
                <w:sz w:val="20"/>
                <w:szCs w:val="20"/>
                <w:color w:val="auto"/>
              </w:rPr>
            </w:pPr>
            <w:r>
              <w:rPr>
                <w:rFonts w:ascii="Arial" w:cs="Arial" w:eastAsia="Arial" w:hAnsi="Arial"/>
                <w:sz w:val="14"/>
                <w:szCs w:val="14"/>
                <w:color w:val="auto"/>
              </w:rPr>
              <w:t>57.03%</w:t>
            </w:r>
          </w:p>
        </w:tc>
        <w:tc>
          <w:tcPr>
            <w:tcW w:w="1860" w:type="dxa"/>
            <w:vAlign w:val="bottom"/>
            <w:tcBorders>
              <w:bottom w:val="single" w:sz="8" w:color="auto"/>
            </w:tcBorders>
          </w:tcPr>
          <w:p>
            <w:pPr>
              <w:jc w:val="right"/>
              <w:ind w:right="768"/>
              <w:spacing w:after="0" w:line="149" w:lineRule="exact"/>
              <w:rPr>
                <w:sz w:val="20"/>
                <w:szCs w:val="20"/>
                <w:color w:val="auto"/>
              </w:rPr>
            </w:pPr>
            <w:r>
              <w:rPr>
                <w:rFonts w:ascii="Arial" w:cs="Arial" w:eastAsia="Arial" w:hAnsi="Arial"/>
                <w:sz w:val="14"/>
                <w:szCs w:val="14"/>
                <w:color w:val="auto"/>
              </w:rPr>
              <w:t>55.16%</w:t>
            </w:r>
          </w:p>
        </w:tc>
        <w:tc>
          <w:tcPr>
            <w:tcW w:w="1060" w:type="dxa"/>
            <w:vAlign w:val="bottom"/>
            <w:tcBorders>
              <w:bottom w:val="single" w:sz="8" w:color="auto"/>
            </w:tcBorders>
          </w:tcPr>
          <w:p>
            <w:pPr>
              <w:jc w:val="right"/>
              <w:ind w:right="368"/>
              <w:spacing w:after="0" w:line="149" w:lineRule="exact"/>
              <w:rPr>
                <w:sz w:val="20"/>
                <w:szCs w:val="20"/>
                <w:color w:val="auto"/>
              </w:rPr>
            </w:pPr>
            <w:r>
              <w:rPr>
                <w:rFonts w:ascii="Arial" w:cs="Arial" w:eastAsia="Arial" w:hAnsi="Arial"/>
                <w:sz w:val="14"/>
                <w:szCs w:val="14"/>
                <w:color w:val="auto"/>
              </w:rPr>
              <w:t>52.41%</w:t>
            </w:r>
          </w:p>
        </w:tc>
        <w:tc>
          <w:tcPr>
            <w:tcW w:w="1200" w:type="dxa"/>
            <w:vAlign w:val="bottom"/>
            <w:tcBorders>
              <w:bottom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rPr>
              <w:t>52.85%</w:t>
            </w:r>
          </w:p>
        </w:tc>
        <w:tc>
          <w:tcPr>
            <w:tcW w:w="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9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Balance sheet data</w:t>
            </w:r>
          </w:p>
        </w:tc>
        <w:tc>
          <w:tcPr>
            <w:tcW w:w="4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line="149" w:lineRule="exact"/>
              <w:rPr>
                <w:sz w:val="20"/>
                <w:szCs w:val="20"/>
                <w:color w:val="auto"/>
              </w:rPr>
            </w:pPr>
            <w:r>
              <w:rPr>
                <w:rFonts w:ascii="Arial" w:cs="Arial" w:eastAsia="Arial" w:hAnsi="Arial"/>
                <w:sz w:val="14"/>
                <w:szCs w:val="14"/>
                <w:i w:val="1"/>
                <w:iCs w:val="1"/>
                <w:color w:val="auto"/>
              </w:rPr>
              <w:t>In millions, except per share</w:t>
            </w:r>
          </w:p>
        </w:tc>
        <w:tc>
          <w:tcPr>
            <w:tcW w:w="4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Average balances</w:t>
            </w:r>
          </w:p>
        </w:tc>
        <w:tc>
          <w:tcPr>
            <w:tcW w:w="4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Total assets (c)</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20" w:type="dxa"/>
            <w:vAlign w:val="bottom"/>
          </w:tcPr>
          <w:p>
            <w:pPr>
              <w:jc w:val="right"/>
              <w:ind w:right="868"/>
              <w:spacing w:after="0" w:line="149" w:lineRule="exact"/>
              <w:rPr>
                <w:sz w:val="20"/>
                <w:szCs w:val="20"/>
                <w:color w:val="auto"/>
              </w:rPr>
            </w:pPr>
            <w:r>
              <w:rPr>
                <w:rFonts w:ascii="Arial" w:cs="Arial" w:eastAsia="Arial" w:hAnsi="Arial"/>
                <w:sz w:val="14"/>
                <w:szCs w:val="14"/>
                <w:color w:val="auto"/>
              </w:rPr>
              <w:t>66,984</w:t>
            </w:r>
          </w:p>
        </w:tc>
        <w:tc>
          <w:tcPr>
            <w:tcW w:w="106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64,766</w:t>
            </w:r>
          </w:p>
        </w:tc>
        <w:tc>
          <w:tcPr>
            <w:tcW w:w="146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64,942</w:t>
            </w:r>
          </w:p>
        </w:tc>
        <w:tc>
          <w:tcPr>
            <w:tcW w:w="1860" w:type="dxa"/>
            <w:vAlign w:val="bottom"/>
          </w:tcPr>
          <w:p>
            <w:pPr>
              <w:jc w:val="right"/>
              <w:ind w:right="888"/>
              <w:spacing w:after="0" w:line="149" w:lineRule="exact"/>
              <w:rPr>
                <w:sz w:val="20"/>
                <w:szCs w:val="20"/>
                <w:color w:val="auto"/>
              </w:rPr>
            </w:pPr>
            <w:r>
              <w:rPr>
                <w:rFonts w:ascii="Arial" w:cs="Arial" w:eastAsia="Arial" w:hAnsi="Arial"/>
                <w:sz w:val="14"/>
                <w:szCs w:val="14"/>
                <w:color w:val="auto"/>
              </w:rPr>
              <w:t>64,997</w:t>
            </w:r>
          </w:p>
        </w:tc>
        <w:tc>
          <w:tcPr>
            <w:tcW w:w="106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65,584</w:t>
            </w:r>
          </w:p>
        </w:tc>
        <w:tc>
          <w:tcPr>
            <w:tcW w:w="120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65,015</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tangible assets (c)</w:t>
            </w:r>
          </w:p>
        </w:tc>
        <w:tc>
          <w:tcPr>
            <w:tcW w:w="400" w:type="dxa"/>
            <w:vAlign w:val="bottom"/>
            <w:shd w:val="clear" w:color="auto" w:fill="CCEEFF"/>
          </w:tcPr>
          <w:p>
            <w:pPr>
              <w:spacing w:after="0"/>
              <w:rPr>
                <w:sz w:val="12"/>
                <w:szCs w:val="12"/>
                <w:color w:val="auto"/>
              </w:rPr>
            </w:pPr>
          </w:p>
        </w:tc>
        <w:tc>
          <w:tcPr>
            <w:tcW w:w="1420" w:type="dxa"/>
            <w:vAlign w:val="bottom"/>
            <w:shd w:val="clear" w:color="auto" w:fill="CCEEFF"/>
          </w:tcPr>
          <w:p>
            <w:pPr>
              <w:jc w:val="right"/>
              <w:ind w:right="868"/>
              <w:spacing w:after="0" w:line="149" w:lineRule="exact"/>
              <w:rPr>
                <w:sz w:val="20"/>
                <w:szCs w:val="20"/>
                <w:color w:val="auto"/>
              </w:rPr>
            </w:pPr>
            <w:r>
              <w:rPr>
                <w:rFonts w:ascii="Arial" w:cs="Arial" w:eastAsia="Arial" w:hAnsi="Arial"/>
                <w:sz w:val="14"/>
                <w:szCs w:val="14"/>
                <w:color w:val="auto"/>
              </w:rPr>
              <w:t>63,500</w:t>
            </w:r>
          </w:p>
        </w:tc>
        <w:tc>
          <w:tcPr>
            <w:tcW w:w="106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61,420</w:t>
            </w:r>
          </w:p>
        </w:tc>
        <w:tc>
          <w:tcPr>
            <w:tcW w:w="146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61,584</w:t>
            </w:r>
          </w:p>
        </w:tc>
        <w:tc>
          <w:tcPr>
            <w:tcW w:w="1860" w:type="dxa"/>
            <w:vAlign w:val="bottom"/>
            <w:shd w:val="clear" w:color="auto" w:fill="CCEEFF"/>
          </w:tcPr>
          <w:p>
            <w:pPr>
              <w:jc w:val="right"/>
              <w:ind w:right="888"/>
              <w:spacing w:after="0" w:line="149" w:lineRule="exact"/>
              <w:rPr>
                <w:sz w:val="20"/>
                <w:szCs w:val="20"/>
                <w:color w:val="auto"/>
              </w:rPr>
            </w:pPr>
            <w:r>
              <w:rPr>
                <w:rFonts w:ascii="Arial" w:cs="Arial" w:eastAsia="Arial" w:hAnsi="Arial"/>
                <w:sz w:val="14"/>
                <w:szCs w:val="14"/>
                <w:color w:val="auto"/>
              </w:rPr>
              <w:t>61,627</w:t>
            </w:r>
          </w:p>
        </w:tc>
        <w:tc>
          <w:tcPr>
            <w:tcW w:w="106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62,201</w:t>
            </w:r>
          </w:p>
        </w:tc>
        <w:tc>
          <w:tcPr>
            <w:tcW w:w="120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61,614</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Earning assets</w:t>
            </w:r>
          </w:p>
        </w:tc>
        <w:tc>
          <w:tcPr>
            <w:tcW w:w="400" w:type="dxa"/>
            <w:vAlign w:val="bottom"/>
          </w:tcPr>
          <w:p>
            <w:pPr>
              <w:spacing w:after="0"/>
              <w:rPr>
                <w:sz w:val="12"/>
                <w:szCs w:val="12"/>
                <w:color w:val="auto"/>
              </w:rPr>
            </w:pPr>
          </w:p>
        </w:tc>
        <w:tc>
          <w:tcPr>
            <w:tcW w:w="1420" w:type="dxa"/>
            <w:vAlign w:val="bottom"/>
          </w:tcPr>
          <w:p>
            <w:pPr>
              <w:jc w:val="right"/>
              <w:ind w:right="868"/>
              <w:spacing w:after="0" w:line="149" w:lineRule="exact"/>
              <w:rPr>
                <w:sz w:val="20"/>
                <w:szCs w:val="20"/>
                <w:color w:val="auto"/>
              </w:rPr>
            </w:pPr>
            <w:r>
              <w:rPr>
                <w:rFonts w:ascii="Arial" w:cs="Arial" w:eastAsia="Arial" w:hAnsi="Arial"/>
                <w:sz w:val="14"/>
                <w:szCs w:val="14"/>
                <w:color w:val="auto"/>
              </w:rPr>
              <w:t>59,297</w:t>
            </w:r>
          </w:p>
        </w:tc>
        <w:tc>
          <w:tcPr>
            <w:tcW w:w="106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57,509</w:t>
            </w:r>
          </w:p>
        </w:tc>
        <w:tc>
          <w:tcPr>
            <w:tcW w:w="146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57,919</w:t>
            </w:r>
          </w:p>
        </w:tc>
        <w:tc>
          <w:tcPr>
            <w:tcW w:w="1860" w:type="dxa"/>
            <w:vAlign w:val="bottom"/>
          </w:tcPr>
          <w:p>
            <w:pPr>
              <w:jc w:val="right"/>
              <w:ind w:right="888"/>
              <w:spacing w:after="0" w:line="149" w:lineRule="exact"/>
              <w:rPr>
                <w:sz w:val="20"/>
                <w:szCs w:val="20"/>
                <w:color w:val="auto"/>
              </w:rPr>
            </w:pPr>
            <w:r>
              <w:rPr>
                <w:rFonts w:ascii="Arial" w:cs="Arial" w:eastAsia="Arial" w:hAnsi="Arial"/>
                <w:sz w:val="14"/>
                <w:szCs w:val="14"/>
                <w:color w:val="auto"/>
              </w:rPr>
              <w:t>57,971</w:t>
            </w:r>
          </w:p>
        </w:tc>
        <w:tc>
          <w:tcPr>
            <w:tcW w:w="106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58,465</w:t>
            </w:r>
          </w:p>
        </w:tc>
        <w:tc>
          <w:tcPr>
            <w:tcW w:w="120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57,713</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Investment securities</w:t>
            </w:r>
          </w:p>
        </w:tc>
        <w:tc>
          <w:tcPr>
            <w:tcW w:w="400" w:type="dxa"/>
            <w:vAlign w:val="bottom"/>
            <w:shd w:val="clear" w:color="auto" w:fill="CCEEFF"/>
          </w:tcPr>
          <w:p>
            <w:pPr>
              <w:spacing w:after="0"/>
              <w:rPr>
                <w:sz w:val="12"/>
                <w:szCs w:val="12"/>
                <w:color w:val="auto"/>
              </w:rPr>
            </w:pPr>
          </w:p>
        </w:tc>
        <w:tc>
          <w:tcPr>
            <w:tcW w:w="1420" w:type="dxa"/>
            <w:vAlign w:val="bottom"/>
            <w:shd w:val="clear" w:color="auto" w:fill="CCEEFF"/>
          </w:tcPr>
          <w:p>
            <w:pPr>
              <w:jc w:val="right"/>
              <w:ind w:right="868"/>
              <w:spacing w:after="0" w:line="149" w:lineRule="exact"/>
              <w:rPr>
                <w:sz w:val="20"/>
                <w:szCs w:val="20"/>
                <w:color w:val="auto"/>
              </w:rPr>
            </w:pPr>
            <w:r>
              <w:rPr>
                <w:rFonts w:ascii="Arial" w:cs="Arial" w:eastAsia="Arial" w:hAnsi="Arial"/>
                <w:sz w:val="14"/>
                <w:szCs w:val="14"/>
                <w:color w:val="auto"/>
              </w:rPr>
              <w:t>8,508</w:t>
            </w:r>
          </w:p>
        </w:tc>
        <w:tc>
          <w:tcPr>
            <w:tcW w:w="106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8,490</w:t>
            </w:r>
          </w:p>
        </w:tc>
        <w:tc>
          <w:tcPr>
            <w:tcW w:w="146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8,894</w:t>
            </w:r>
          </w:p>
        </w:tc>
        <w:tc>
          <w:tcPr>
            <w:tcW w:w="1860" w:type="dxa"/>
            <w:vAlign w:val="bottom"/>
            <w:shd w:val="clear" w:color="auto" w:fill="CCEEFF"/>
          </w:tcPr>
          <w:p>
            <w:pPr>
              <w:jc w:val="right"/>
              <w:ind w:right="888"/>
              <w:spacing w:after="0" w:line="149" w:lineRule="exact"/>
              <w:rPr>
                <w:sz w:val="20"/>
                <w:szCs w:val="20"/>
                <w:color w:val="auto"/>
              </w:rPr>
            </w:pPr>
            <w:r>
              <w:rPr>
                <w:rFonts w:ascii="Arial" w:cs="Arial" w:eastAsia="Arial" w:hAnsi="Arial"/>
                <w:sz w:val="14"/>
                <w:szCs w:val="14"/>
                <w:color w:val="auto"/>
              </w:rPr>
              <w:t>9,303</w:t>
            </w:r>
          </w:p>
        </w:tc>
        <w:tc>
          <w:tcPr>
            <w:tcW w:w="106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8,770</w:t>
            </w:r>
          </w:p>
        </w:tc>
        <w:tc>
          <w:tcPr>
            <w:tcW w:w="120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8,924</w:t>
            </w:r>
          </w:p>
        </w:tc>
        <w:tc>
          <w:tcPr>
            <w:tcW w:w="20" w:type="dxa"/>
            <w:vAlign w:val="bottom"/>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2940" w:type="dxa"/>
            <w:vAlign w:val="bottom"/>
          </w:tcPr>
          <w:p>
            <w:pPr>
              <w:ind w:left="200"/>
              <w:spacing w:after="0" w:line="130" w:lineRule="exact"/>
              <w:rPr>
                <w:sz w:val="20"/>
                <w:szCs w:val="20"/>
                <w:color w:val="auto"/>
              </w:rPr>
            </w:pPr>
            <w:r>
              <w:rPr>
                <w:rFonts w:ascii="Arial" w:cs="Arial" w:eastAsia="Arial" w:hAnsi="Arial"/>
                <w:sz w:val="14"/>
                <w:szCs w:val="14"/>
                <w:color w:val="auto"/>
              </w:rPr>
              <w:t>Loans and leases, net of unearned</w:t>
            </w:r>
          </w:p>
        </w:tc>
        <w:tc>
          <w:tcPr>
            <w:tcW w:w="4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940" w:type="dxa"/>
            <w:vAlign w:val="bottom"/>
          </w:tcPr>
          <w:p>
            <w:pPr>
              <w:ind w:left="400"/>
              <w:spacing w:after="0"/>
              <w:rPr>
                <w:sz w:val="20"/>
                <w:szCs w:val="20"/>
                <w:color w:val="auto"/>
              </w:rPr>
            </w:pPr>
            <w:r>
              <w:rPr>
                <w:rFonts w:ascii="Arial" w:cs="Arial" w:eastAsia="Arial" w:hAnsi="Arial"/>
                <w:sz w:val="14"/>
                <w:szCs w:val="14"/>
                <w:color w:val="auto"/>
              </w:rPr>
              <w:t>discount</w:t>
            </w:r>
          </w:p>
        </w:tc>
        <w:tc>
          <w:tcPr>
            <w:tcW w:w="400" w:type="dxa"/>
            <w:vAlign w:val="bottom"/>
          </w:tcPr>
          <w:p>
            <w:pPr>
              <w:spacing w:after="0"/>
              <w:rPr>
                <w:sz w:val="14"/>
                <w:szCs w:val="14"/>
                <w:color w:val="auto"/>
              </w:rPr>
            </w:pPr>
          </w:p>
        </w:tc>
        <w:tc>
          <w:tcPr>
            <w:tcW w:w="1420" w:type="dxa"/>
            <w:vAlign w:val="bottom"/>
          </w:tcPr>
          <w:p>
            <w:pPr>
              <w:jc w:val="right"/>
              <w:ind w:right="868"/>
              <w:spacing w:after="0"/>
              <w:rPr>
                <w:sz w:val="20"/>
                <w:szCs w:val="20"/>
                <w:color w:val="auto"/>
              </w:rPr>
            </w:pPr>
            <w:r>
              <w:rPr>
                <w:rFonts w:ascii="Arial" w:cs="Arial" w:eastAsia="Arial" w:hAnsi="Arial"/>
                <w:sz w:val="14"/>
                <w:szCs w:val="14"/>
                <w:color w:val="auto"/>
              </w:rPr>
              <w:t>50,554</w:t>
            </w:r>
          </w:p>
        </w:tc>
        <w:tc>
          <w:tcPr>
            <w:tcW w:w="1060" w:type="dxa"/>
            <w:vAlign w:val="bottom"/>
          </w:tcPr>
          <w:p>
            <w:pPr>
              <w:jc w:val="right"/>
              <w:ind w:right="488"/>
              <w:spacing w:after="0"/>
              <w:rPr>
                <w:sz w:val="20"/>
                <w:szCs w:val="20"/>
                <w:color w:val="auto"/>
              </w:rPr>
            </w:pPr>
            <w:r>
              <w:rPr>
                <w:rFonts w:ascii="Arial" w:cs="Arial" w:eastAsia="Arial" w:hAnsi="Arial"/>
                <w:sz w:val="14"/>
                <w:szCs w:val="14"/>
                <w:color w:val="auto"/>
              </w:rPr>
              <w:t>48,824</w:t>
            </w:r>
          </w:p>
        </w:tc>
        <w:tc>
          <w:tcPr>
            <w:tcW w:w="1460" w:type="dxa"/>
            <w:vAlign w:val="bottom"/>
          </w:tcPr>
          <w:p>
            <w:pPr>
              <w:jc w:val="right"/>
              <w:ind w:right="488"/>
              <w:spacing w:after="0"/>
              <w:rPr>
                <w:sz w:val="20"/>
                <w:szCs w:val="20"/>
                <w:color w:val="auto"/>
              </w:rPr>
            </w:pPr>
            <w:r>
              <w:rPr>
                <w:rFonts w:ascii="Arial" w:cs="Arial" w:eastAsia="Arial" w:hAnsi="Arial"/>
                <w:sz w:val="14"/>
                <w:szCs w:val="14"/>
                <w:color w:val="auto"/>
              </w:rPr>
              <w:t>48,810</w:t>
            </w:r>
          </w:p>
        </w:tc>
        <w:tc>
          <w:tcPr>
            <w:tcW w:w="1860" w:type="dxa"/>
            <w:vAlign w:val="bottom"/>
          </w:tcPr>
          <w:p>
            <w:pPr>
              <w:jc w:val="right"/>
              <w:ind w:right="888"/>
              <w:spacing w:after="0"/>
              <w:rPr>
                <w:sz w:val="20"/>
                <w:szCs w:val="20"/>
                <w:color w:val="auto"/>
              </w:rPr>
            </w:pPr>
            <w:r>
              <w:rPr>
                <w:rFonts w:ascii="Arial" w:cs="Arial" w:eastAsia="Arial" w:hAnsi="Arial"/>
                <w:sz w:val="14"/>
                <w:szCs w:val="14"/>
                <w:color w:val="auto"/>
              </w:rPr>
              <w:t>48,477</w:t>
            </w:r>
          </w:p>
        </w:tc>
        <w:tc>
          <w:tcPr>
            <w:tcW w:w="1060" w:type="dxa"/>
            <w:vAlign w:val="bottom"/>
          </w:tcPr>
          <w:p>
            <w:pPr>
              <w:jc w:val="right"/>
              <w:ind w:right="488"/>
              <w:spacing w:after="0"/>
              <w:rPr>
                <w:sz w:val="20"/>
                <w:szCs w:val="20"/>
                <w:color w:val="auto"/>
              </w:rPr>
            </w:pPr>
            <w:r>
              <w:rPr>
                <w:rFonts w:ascii="Arial" w:cs="Arial" w:eastAsia="Arial" w:hAnsi="Arial"/>
                <w:sz w:val="14"/>
                <w:szCs w:val="14"/>
                <w:color w:val="auto"/>
              </w:rPr>
              <w:t>49,522</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48,575</w:t>
            </w: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Deposits</w:t>
            </w:r>
          </w:p>
        </w:tc>
        <w:tc>
          <w:tcPr>
            <w:tcW w:w="400" w:type="dxa"/>
            <w:vAlign w:val="bottom"/>
            <w:shd w:val="clear" w:color="auto" w:fill="CCEEFF"/>
          </w:tcPr>
          <w:p>
            <w:pPr>
              <w:spacing w:after="0"/>
              <w:rPr>
                <w:sz w:val="12"/>
                <w:szCs w:val="12"/>
                <w:color w:val="auto"/>
              </w:rPr>
            </w:pPr>
          </w:p>
        </w:tc>
        <w:tc>
          <w:tcPr>
            <w:tcW w:w="1420" w:type="dxa"/>
            <w:vAlign w:val="bottom"/>
            <w:shd w:val="clear" w:color="auto" w:fill="CCEEFF"/>
          </w:tcPr>
          <w:p>
            <w:pPr>
              <w:jc w:val="right"/>
              <w:ind w:right="868"/>
              <w:spacing w:after="0" w:line="149" w:lineRule="exact"/>
              <w:rPr>
                <w:sz w:val="20"/>
                <w:szCs w:val="20"/>
                <w:color w:val="auto"/>
              </w:rPr>
            </w:pPr>
            <w:r>
              <w:rPr>
                <w:rFonts w:ascii="Arial" w:cs="Arial" w:eastAsia="Arial" w:hAnsi="Arial"/>
                <w:sz w:val="14"/>
                <w:szCs w:val="14"/>
                <w:color w:val="auto"/>
              </w:rPr>
              <w:t>43,846</w:t>
            </w:r>
          </w:p>
        </w:tc>
        <w:tc>
          <w:tcPr>
            <w:tcW w:w="106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41,487</w:t>
            </w:r>
          </w:p>
        </w:tc>
        <w:tc>
          <w:tcPr>
            <w:tcW w:w="146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40,447</w:t>
            </w:r>
          </w:p>
        </w:tc>
        <w:tc>
          <w:tcPr>
            <w:tcW w:w="1860" w:type="dxa"/>
            <w:vAlign w:val="bottom"/>
            <w:shd w:val="clear" w:color="auto" w:fill="CCEEFF"/>
          </w:tcPr>
          <w:p>
            <w:pPr>
              <w:jc w:val="right"/>
              <w:ind w:right="888"/>
              <w:spacing w:after="0" w:line="149" w:lineRule="exact"/>
              <w:rPr>
                <w:sz w:val="20"/>
                <w:szCs w:val="20"/>
                <w:color w:val="auto"/>
              </w:rPr>
            </w:pPr>
            <w:r>
              <w:rPr>
                <w:rFonts w:ascii="Arial" w:cs="Arial" w:eastAsia="Arial" w:hAnsi="Arial"/>
                <w:sz w:val="14"/>
                <w:szCs w:val="14"/>
                <w:color w:val="auto"/>
              </w:rPr>
              <w:t>39,503</w:t>
            </w:r>
          </w:p>
        </w:tc>
        <w:tc>
          <w:tcPr>
            <w:tcW w:w="106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39,711</w:t>
            </w:r>
          </w:p>
        </w:tc>
        <w:tc>
          <w:tcPr>
            <w:tcW w:w="120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39,999</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Common stockholders’ equity (c)</w:t>
            </w:r>
          </w:p>
        </w:tc>
        <w:tc>
          <w:tcPr>
            <w:tcW w:w="400" w:type="dxa"/>
            <w:vAlign w:val="bottom"/>
          </w:tcPr>
          <w:p>
            <w:pPr>
              <w:spacing w:after="0"/>
              <w:rPr>
                <w:sz w:val="12"/>
                <w:szCs w:val="12"/>
                <w:color w:val="auto"/>
              </w:rPr>
            </w:pPr>
          </w:p>
        </w:tc>
        <w:tc>
          <w:tcPr>
            <w:tcW w:w="1420" w:type="dxa"/>
            <w:vAlign w:val="bottom"/>
          </w:tcPr>
          <w:p>
            <w:pPr>
              <w:jc w:val="right"/>
              <w:ind w:right="868"/>
              <w:spacing w:after="0" w:line="149" w:lineRule="exact"/>
              <w:rPr>
                <w:sz w:val="20"/>
                <w:szCs w:val="20"/>
                <w:color w:val="auto"/>
              </w:rPr>
            </w:pPr>
            <w:r>
              <w:rPr>
                <w:rFonts w:ascii="Arial" w:cs="Arial" w:eastAsia="Arial" w:hAnsi="Arial"/>
                <w:sz w:val="14"/>
                <w:szCs w:val="14"/>
                <w:color w:val="auto"/>
              </w:rPr>
              <w:t>6,491</w:t>
            </w:r>
          </w:p>
        </w:tc>
        <w:tc>
          <w:tcPr>
            <w:tcW w:w="106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6,212</w:t>
            </w:r>
          </w:p>
        </w:tc>
        <w:tc>
          <w:tcPr>
            <w:tcW w:w="146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6,299</w:t>
            </w:r>
          </w:p>
        </w:tc>
        <w:tc>
          <w:tcPr>
            <w:tcW w:w="1860" w:type="dxa"/>
            <w:vAlign w:val="bottom"/>
          </w:tcPr>
          <w:p>
            <w:pPr>
              <w:jc w:val="right"/>
              <w:ind w:right="888"/>
              <w:spacing w:after="0" w:line="149" w:lineRule="exact"/>
              <w:rPr>
                <w:sz w:val="20"/>
                <w:szCs w:val="20"/>
                <w:color w:val="auto"/>
              </w:rPr>
            </w:pPr>
            <w:r>
              <w:rPr>
                <w:rFonts w:ascii="Arial" w:cs="Arial" w:eastAsia="Arial" w:hAnsi="Arial"/>
                <w:sz w:val="14"/>
                <w:szCs w:val="14"/>
                <w:color w:val="auto"/>
              </w:rPr>
              <w:t>6,415</w:t>
            </w:r>
          </w:p>
        </w:tc>
        <w:tc>
          <w:tcPr>
            <w:tcW w:w="106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6,469</w:t>
            </w:r>
          </w:p>
        </w:tc>
        <w:tc>
          <w:tcPr>
            <w:tcW w:w="120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6,513</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40" w:type="dxa"/>
            <w:vAlign w:val="bottom"/>
            <w:tcBorders>
              <w:bottom w:val="single" w:sz="8" w:color="auto"/>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Tangible common stockholders’ equity (c)</w:t>
            </w:r>
          </w:p>
        </w:tc>
        <w:tc>
          <w:tcPr>
            <w:tcW w:w="40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ind w:right="868"/>
              <w:spacing w:after="0" w:line="149" w:lineRule="exact"/>
              <w:rPr>
                <w:sz w:val="20"/>
                <w:szCs w:val="20"/>
                <w:color w:val="auto"/>
              </w:rPr>
            </w:pPr>
            <w:r>
              <w:rPr>
                <w:rFonts w:ascii="Arial" w:cs="Arial" w:eastAsia="Arial" w:hAnsi="Arial"/>
                <w:sz w:val="14"/>
                <w:szCs w:val="14"/>
                <w:color w:val="auto"/>
              </w:rPr>
              <w:t>3,007</w:t>
            </w:r>
          </w:p>
        </w:tc>
        <w:tc>
          <w:tcPr>
            <w:tcW w:w="1060" w:type="dxa"/>
            <w:vAlign w:val="bottom"/>
            <w:tcBorders>
              <w:bottom w:val="single" w:sz="8" w:color="auto"/>
            </w:tcBorders>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2,866</w:t>
            </w:r>
          </w:p>
        </w:tc>
        <w:tc>
          <w:tcPr>
            <w:tcW w:w="1460" w:type="dxa"/>
            <w:vAlign w:val="bottom"/>
            <w:tcBorders>
              <w:bottom w:val="single" w:sz="8" w:color="auto"/>
            </w:tcBorders>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2,941</w:t>
            </w:r>
          </w:p>
        </w:tc>
        <w:tc>
          <w:tcPr>
            <w:tcW w:w="1860" w:type="dxa"/>
            <w:vAlign w:val="bottom"/>
            <w:tcBorders>
              <w:bottom w:val="single" w:sz="8" w:color="auto"/>
            </w:tcBorders>
            <w:shd w:val="clear" w:color="auto" w:fill="CCEEFF"/>
          </w:tcPr>
          <w:p>
            <w:pPr>
              <w:jc w:val="right"/>
              <w:ind w:right="888"/>
              <w:spacing w:after="0" w:line="149" w:lineRule="exact"/>
              <w:rPr>
                <w:sz w:val="20"/>
                <w:szCs w:val="20"/>
                <w:color w:val="auto"/>
              </w:rPr>
            </w:pPr>
            <w:r>
              <w:rPr>
                <w:rFonts w:ascii="Arial" w:cs="Arial" w:eastAsia="Arial" w:hAnsi="Arial"/>
                <w:sz w:val="14"/>
                <w:szCs w:val="14"/>
                <w:color w:val="auto"/>
              </w:rPr>
              <w:t>3,045</w:t>
            </w:r>
          </w:p>
        </w:tc>
        <w:tc>
          <w:tcPr>
            <w:tcW w:w="1060" w:type="dxa"/>
            <w:vAlign w:val="bottom"/>
            <w:tcBorders>
              <w:bottom w:val="single" w:sz="8" w:color="auto"/>
            </w:tcBorders>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3,086</w:t>
            </w:r>
          </w:p>
        </w:tc>
        <w:tc>
          <w:tcPr>
            <w:tcW w:w="1200" w:type="dxa"/>
            <w:vAlign w:val="bottom"/>
            <w:tcBorders>
              <w:bottom w:val="single" w:sz="8" w:color="auto"/>
            </w:tcBorders>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3,112</w:t>
            </w:r>
          </w:p>
        </w:tc>
        <w:tc>
          <w:tcPr>
            <w:tcW w:w="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2940" w:type="dxa"/>
            <w:vAlign w:val="bottom"/>
          </w:tcPr>
          <w:p>
            <w:pPr>
              <w:spacing w:after="0" w:line="155" w:lineRule="exact"/>
              <w:rPr>
                <w:sz w:val="20"/>
                <w:szCs w:val="20"/>
                <w:color w:val="auto"/>
              </w:rPr>
            </w:pPr>
            <w:r>
              <w:rPr>
                <w:rFonts w:ascii="Arial" w:cs="Arial" w:eastAsia="Arial" w:hAnsi="Arial"/>
                <w:sz w:val="14"/>
                <w:szCs w:val="14"/>
                <w:color w:val="auto"/>
              </w:rPr>
              <w:t>At end of quarter</w:t>
            </w:r>
          </w:p>
        </w:tc>
        <w:tc>
          <w:tcPr>
            <w:tcW w:w="4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assets (c)</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868"/>
              <w:spacing w:after="0" w:line="149" w:lineRule="exact"/>
              <w:rPr>
                <w:sz w:val="20"/>
                <w:szCs w:val="20"/>
                <w:color w:val="auto"/>
              </w:rPr>
            </w:pPr>
            <w:r>
              <w:rPr>
                <w:rFonts w:ascii="Arial" w:cs="Arial" w:eastAsia="Arial" w:hAnsi="Arial"/>
                <w:sz w:val="14"/>
                <w:szCs w:val="14"/>
                <w:color w:val="auto"/>
              </w:rPr>
              <w:t>69,913</w:t>
            </w:r>
          </w:p>
        </w:tc>
        <w:tc>
          <w:tcPr>
            <w:tcW w:w="106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64,883</w:t>
            </w:r>
          </w:p>
        </w:tc>
        <w:tc>
          <w:tcPr>
            <w:tcW w:w="146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65,816</w:t>
            </w:r>
          </w:p>
        </w:tc>
        <w:tc>
          <w:tcPr>
            <w:tcW w:w="1860" w:type="dxa"/>
            <w:vAlign w:val="bottom"/>
            <w:shd w:val="clear" w:color="auto" w:fill="CCEEFF"/>
          </w:tcPr>
          <w:p>
            <w:pPr>
              <w:jc w:val="right"/>
              <w:ind w:right="888"/>
              <w:spacing w:after="0" w:line="149" w:lineRule="exact"/>
              <w:rPr>
                <w:sz w:val="20"/>
                <w:szCs w:val="20"/>
                <w:color w:val="auto"/>
              </w:rPr>
            </w:pPr>
            <w:r>
              <w:rPr>
                <w:rFonts w:ascii="Arial" w:cs="Arial" w:eastAsia="Arial" w:hAnsi="Arial"/>
                <w:sz w:val="14"/>
                <w:szCs w:val="14"/>
                <w:color w:val="auto"/>
              </w:rPr>
              <w:t>65,247</w:t>
            </w:r>
          </w:p>
        </w:tc>
        <w:tc>
          <w:tcPr>
            <w:tcW w:w="106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65,893</w:t>
            </w:r>
          </w:p>
        </w:tc>
        <w:tc>
          <w:tcPr>
            <w:tcW w:w="120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66,086</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Total tangible assets (c)</w:t>
            </w:r>
          </w:p>
        </w:tc>
        <w:tc>
          <w:tcPr>
            <w:tcW w:w="400" w:type="dxa"/>
            <w:vAlign w:val="bottom"/>
          </w:tcPr>
          <w:p>
            <w:pPr>
              <w:spacing w:after="0"/>
              <w:rPr>
                <w:sz w:val="12"/>
                <w:szCs w:val="12"/>
                <w:color w:val="auto"/>
              </w:rPr>
            </w:pPr>
          </w:p>
        </w:tc>
        <w:tc>
          <w:tcPr>
            <w:tcW w:w="1420" w:type="dxa"/>
            <w:vAlign w:val="bottom"/>
          </w:tcPr>
          <w:p>
            <w:pPr>
              <w:jc w:val="right"/>
              <w:ind w:right="868"/>
              <w:spacing w:after="0" w:line="149" w:lineRule="exact"/>
              <w:rPr>
                <w:sz w:val="20"/>
                <w:szCs w:val="20"/>
                <w:color w:val="auto"/>
              </w:rPr>
            </w:pPr>
            <w:r>
              <w:rPr>
                <w:rFonts w:ascii="Arial" w:cs="Arial" w:eastAsia="Arial" w:hAnsi="Arial"/>
                <w:sz w:val="14"/>
                <w:szCs w:val="14"/>
                <w:color w:val="auto"/>
              </w:rPr>
              <w:t>66,215</w:t>
            </w:r>
          </w:p>
        </w:tc>
        <w:tc>
          <w:tcPr>
            <w:tcW w:w="106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61,544</w:t>
            </w:r>
          </w:p>
        </w:tc>
        <w:tc>
          <w:tcPr>
            <w:tcW w:w="146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62,464</w:t>
            </w:r>
          </w:p>
        </w:tc>
        <w:tc>
          <w:tcPr>
            <w:tcW w:w="1860" w:type="dxa"/>
            <w:vAlign w:val="bottom"/>
          </w:tcPr>
          <w:p>
            <w:pPr>
              <w:jc w:val="right"/>
              <w:ind w:right="888"/>
              <w:spacing w:after="0" w:line="149" w:lineRule="exact"/>
              <w:rPr>
                <w:sz w:val="20"/>
                <w:szCs w:val="20"/>
                <w:color w:val="auto"/>
              </w:rPr>
            </w:pPr>
            <w:r>
              <w:rPr>
                <w:rFonts w:ascii="Arial" w:cs="Arial" w:eastAsia="Arial" w:hAnsi="Arial"/>
                <w:sz w:val="14"/>
                <w:szCs w:val="14"/>
                <w:color w:val="auto"/>
              </w:rPr>
              <w:t>61,883</w:t>
            </w:r>
          </w:p>
        </w:tc>
        <w:tc>
          <w:tcPr>
            <w:tcW w:w="106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62,517</w:t>
            </w:r>
          </w:p>
        </w:tc>
        <w:tc>
          <w:tcPr>
            <w:tcW w:w="120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62,696</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Earning assets</w:t>
            </w:r>
          </w:p>
        </w:tc>
        <w:tc>
          <w:tcPr>
            <w:tcW w:w="400" w:type="dxa"/>
            <w:vAlign w:val="bottom"/>
            <w:shd w:val="clear" w:color="auto" w:fill="CCEEFF"/>
          </w:tcPr>
          <w:p>
            <w:pPr>
              <w:spacing w:after="0"/>
              <w:rPr>
                <w:sz w:val="12"/>
                <w:szCs w:val="12"/>
                <w:color w:val="auto"/>
              </w:rPr>
            </w:pPr>
          </w:p>
        </w:tc>
        <w:tc>
          <w:tcPr>
            <w:tcW w:w="1420" w:type="dxa"/>
            <w:vAlign w:val="bottom"/>
            <w:shd w:val="clear" w:color="auto" w:fill="CCEEFF"/>
          </w:tcPr>
          <w:p>
            <w:pPr>
              <w:jc w:val="right"/>
              <w:ind w:right="868"/>
              <w:spacing w:after="0" w:line="149" w:lineRule="exact"/>
              <w:rPr>
                <w:sz w:val="20"/>
                <w:szCs w:val="20"/>
                <w:color w:val="auto"/>
              </w:rPr>
            </w:pPr>
            <w:r>
              <w:rPr>
                <w:rFonts w:ascii="Arial" w:cs="Arial" w:eastAsia="Arial" w:hAnsi="Arial"/>
                <w:sz w:val="14"/>
                <w:szCs w:val="14"/>
                <w:color w:val="auto"/>
              </w:rPr>
              <w:t>61,044</w:t>
            </w:r>
          </w:p>
        </w:tc>
        <w:tc>
          <w:tcPr>
            <w:tcW w:w="106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56,823</w:t>
            </w:r>
          </w:p>
        </w:tc>
        <w:tc>
          <w:tcPr>
            <w:tcW w:w="146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57,107</w:t>
            </w:r>
          </w:p>
        </w:tc>
        <w:tc>
          <w:tcPr>
            <w:tcW w:w="1860" w:type="dxa"/>
            <w:vAlign w:val="bottom"/>
            <w:shd w:val="clear" w:color="auto" w:fill="CCEEFF"/>
          </w:tcPr>
          <w:p>
            <w:pPr>
              <w:jc w:val="right"/>
              <w:ind w:right="888"/>
              <w:spacing w:after="0" w:line="149" w:lineRule="exact"/>
              <w:rPr>
                <w:sz w:val="20"/>
                <w:szCs w:val="20"/>
                <w:color w:val="auto"/>
              </w:rPr>
            </w:pPr>
            <w:r>
              <w:rPr>
                <w:rFonts w:ascii="Arial" w:cs="Arial" w:eastAsia="Arial" w:hAnsi="Arial"/>
                <w:sz w:val="14"/>
                <w:szCs w:val="14"/>
                <w:color w:val="auto"/>
              </w:rPr>
              <w:t>57,430</w:t>
            </w:r>
          </w:p>
        </w:tc>
        <w:tc>
          <w:tcPr>
            <w:tcW w:w="106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57,949</w:t>
            </w:r>
          </w:p>
        </w:tc>
        <w:tc>
          <w:tcPr>
            <w:tcW w:w="120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58,030</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Investment securities</w:t>
            </w:r>
          </w:p>
        </w:tc>
        <w:tc>
          <w:tcPr>
            <w:tcW w:w="400" w:type="dxa"/>
            <w:vAlign w:val="bottom"/>
          </w:tcPr>
          <w:p>
            <w:pPr>
              <w:spacing w:after="0"/>
              <w:rPr>
                <w:sz w:val="12"/>
                <w:szCs w:val="12"/>
                <w:color w:val="auto"/>
              </w:rPr>
            </w:pPr>
          </w:p>
        </w:tc>
        <w:tc>
          <w:tcPr>
            <w:tcW w:w="1420" w:type="dxa"/>
            <w:vAlign w:val="bottom"/>
          </w:tcPr>
          <w:p>
            <w:pPr>
              <w:jc w:val="right"/>
              <w:ind w:right="868"/>
              <w:spacing w:after="0" w:line="149" w:lineRule="exact"/>
              <w:rPr>
                <w:sz w:val="20"/>
                <w:szCs w:val="20"/>
                <w:color w:val="auto"/>
              </w:rPr>
            </w:pPr>
            <w:r>
              <w:rPr>
                <w:rFonts w:ascii="Arial" w:cs="Arial" w:eastAsia="Arial" w:hAnsi="Arial"/>
                <w:sz w:val="14"/>
                <w:szCs w:val="14"/>
                <w:color w:val="auto"/>
              </w:rPr>
              <w:t>8,155</w:t>
            </w:r>
          </w:p>
        </w:tc>
        <w:tc>
          <w:tcPr>
            <w:tcW w:w="106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7,687</w:t>
            </w:r>
          </w:p>
        </w:tc>
        <w:tc>
          <w:tcPr>
            <w:tcW w:w="146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7,919</w:t>
            </w:r>
          </w:p>
        </w:tc>
        <w:tc>
          <w:tcPr>
            <w:tcW w:w="1860" w:type="dxa"/>
            <w:vAlign w:val="bottom"/>
          </w:tcPr>
          <w:p>
            <w:pPr>
              <w:jc w:val="right"/>
              <w:ind w:right="888"/>
              <w:spacing w:after="0" w:line="149" w:lineRule="exact"/>
              <w:rPr>
                <w:sz w:val="20"/>
                <w:szCs w:val="20"/>
                <w:color w:val="auto"/>
              </w:rPr>
            </w:pPr>
            <w:r>
              <w:rPr>
                <w:rFonts w:ascii="Arial" w:cs="Arial" w:eastAsia="Arial" w:hAnsi="Arial"/>
                <w:sz w:val="14"/>
                <w:szCs w:val="14"/>
                <w:color w:val="auto"/>
              </w:rPr>
              <w:t>8,433</w:t>
            </w:r>
          </w:p>
        </w:tc>
        <w:tc>
          <w:tcPr>
            <w:tcW w:w="106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8,659</w:t>
            </w:r>
          </w:p>
        </w:tc>
        <w:tc>
          <w:tcPr>
            <w:tcW w:w="120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8,676</w:t>
            </w:r>
          </w:p>
        </w:tc>
        <w:tc>
          <w:tcPr>
            <w:tcW w:w="20" w:type="dxa"/>
            <w:vAlign w:val="bottom"/>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294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Loans and leases, net of unearned</w:t>
            </w:r>
          </w:p>
        </w:tc>
        <w:tc>
          <w:tcPr>
            <w:tcW w:w="4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940" w:type="dxa"/>
            <w:vAlign w:val="bottom"/>
            <w:shd w:val="clear" w:color="auto" w:fill="CCEEFF"/>
          </w:tcPr>
          <w:p>
            <w:pPr>
              <w:ind w:left="400"/>
              <w:spacing w:after="0"/>
              <w:rPr>
                <w:sz w:val="20"/>
                <w:szCs w:val="20"/>
                <w:color w:val="auto"/>
              </w:rPr>
            </w:pPr>
            <w:r>
              <w:rPr>
                <w:rFonts w:ascii="Arial" w:cs="Arial" w:eastAsia="Arial" w:hAnsi="Arial"/>
                <w:sz w:val="14"/>
                <w:szCs w:val="14"/>
                <w:color w:val="auto"/>
              </w:rPr>
              <w:t>discount</w:t>
            </w:r>
          </w:p>
        </w:tc>
        <w:tc>
          <w:tcPr>
            <w:tcW w:w="40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52,715</w:t>
            </w:r>
          </w:p>
        </w:tc>
        <w:tc>
          <w:tcPr>
            <w:tcW w:w="10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48,918</w:t>
            </w:r>
          </w:p>
        </w:tc>
        <w:tc>
          <w:tcPr>
            <w:tcW w:w="14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49,000</w:t>
            </w:r>
          </w:p>
        </w:tc>
        <w:tc>
          <w:tcPr>
            <w:tcW w:w="18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48,694</w:t>
            </w:r>
          </w:p>
        </w:tc>
        <w:tc>
          <w:tcPr>
            <w:tcW w:w="10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49,115</w:t>
            </w:r>
          </w:p>
        </w:tc>
        <w:tc>
          <w:tcPr>
            <w:tcW w:w="12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49,279</w:t>
            </w: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Deposits</w:t>
            </w:r>
          </w:p>
        </w:tc>
        <w:tc>
          <w:tcPr>
            <w:tcW w:w="400" w:type="dxa"/>
            <w:vAlign w:val="bottom"/>
          </w:tcPr>
          <w:p>
            <w:pPr>
              <w:spacing w:after="0"/>
              <w:rPr>
                <w:sz w:val="12"/>
                <w:szCs w:val="12"/>
                <w:color w:val="auto"/>
              </w:rPr>
            </w:pPr>
          </w:p>
        </w:tc>
        <w:tc>
          <w:tcPr>
            <w:tcW w:w="1420" w:type="dxa"/>
            <w:vAlign w:val="bottom"/>
          </w:tcPr>
          <w:p>
            <w:pPr>
              <w:jc w:val="right"/>
              <w:ind w:right="868"/>
              <w:spacing w:after="0" w:line="149" w:lineRule="exact"/>
              <w:rPr>
                <w:sz w:val="20"/>
                <w:szCs w:val="20"/>
                <w:color w:val="auto"/>
              </w:rPr>
            </w:pPr>
            <w:r>
              <w:rPr>
                <w:rFonts w:ascii="Arial" w:cs="Arial" w:eastAsia="Arial" w:hAnsi="Arial"/>
                <w:sz w:val="14"/>
                <w:szCs w:val="14"/>
                <w:color w:val="auto"/>
              </w:rPr>
              <w:t>46,755</w:t>
            </w:r>
          </w:p>
        </w:tc>
        <w:tc>
          <w:tcPr>
            <w:tcW w:w="106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42,477</w:t>
            </w:r>
          </w:p>
        </w:tc>
        <w:tc>
          <w:tcPr>
            <w:tcW w:w="146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42,581</w:t>
            </w:r>
          </w:p>
        </w:tc>
        <w:tc>
          <w:tcPr>
            <w:tcW w:w="1860" w:type="dxa"/>
            <w:vAlign w:val="bottom"/>
          </w:tcPr>
          <w:p>
            <w:pPr>
              <w:jc w:val="right"/>
              <w:ind w:right="888"/>
              <w:spacing w:after="0" w:line="149" w:lineRule="exact"/>
              <w:rPr>
                <w:sz w:val="20"/>
                <w:szCs w:val="20"/>
                <w:color w:val="auto"/>
              </w:rPr>
            </w:pPr>
            <w:r>
              <w:rPr>
                <w:rFonts w:ascii="Arial" w:cs="Arial" w:eastAsia="Arial" w:hAnsi="Arial"/>
                <w:sz w:val="14"/>
                <w:szCs w:val="14"/>
                <w:color w:val="auto"/>
              </w:rPr>
              <w:t>42,501</w:t>
            </w:r>
          </w:p>
        </w:tc>
        <w:tc>
          <w:tcPr>
            <w:tcW w:w="106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41,926</w:t>
            </w:r>
          </w:p>
        </w:tc>
        <w:tc>
          <w:tcPr>
            <w:tcW w:w="120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41,533</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Common stockholders’ equity (c)</w:t>
            </w:r>
          </w:p>
        </w:tc>
        <w:tc>
          <w:tcPr>
            <w:tcW w:w="400" w:type="dxa"/>
            <w:vAlign w:val="bottom"/>
            <w:shd w:val="clear" w:color="auto" w:fill="CCEEFF"/>
          </w:tcPr>
          <w:p>
            <w:pPr>
              <w:spacing w:after="0"/>
              <w:rPr>
                <w:sz w:val="12"/>
                <w:szCs w:val="12"/>
                <w:color w:val="auto"/>
              </w:rPr>
            </w:pPr>
          </w:p>
        </w:tc>
        <w:tc>
          <w:tcPr>
            <w:tcW w:w="1420" w:type="dxa"/>
            <w:vAlign w:val="bottom"/>
            <w:shd w:val="clear" w:color="auto" w:fill="CCEEFF"/>
          </w:tcPr>
          <w:p>
            <w:pPr>
              <w:jc w:val="right"/>
              <w:ind w:right="868"/>
              <w:spacing w:after="0" w:line="149" w:lineRule="exact"/>
              <w:rPr>
                <w:sz w:val="20"/>
                <w:szCs w:val="20"/>
                <w:color w:val="auto"/>
              </w:rPr>
            </w:pPr>
            <w:r>
              <w:rPr>
                <w:rFonts w:ascii="Arial" w:cs="Arial" w:eastAsia="Arial" w:hAnsi="Arial"/>
                <w:sz w:val="14"/>
                <w:szCs w:val="14"/>
                <w:color w:val="auto"/>
              </w:rPr>
              <w:t>6,669</w:t>
            </w:r>
          </w:p>
        </w:tc>
        <w:tc>
          <w:tcPr>
            <w:tcW w:w="106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6,329</w:t>
            </w:r>
          </w:p>
        </w:tc>
        <w:tc>
          <w:tcPr>
            <w:tcW w:w="146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6,217</w:t>
            </w:r>
          </w:p>
        </w:tc>
        <w:tc>
          <w:tcPr>
            <w:tcW w:w="1860" w:type="dxa"/>
            <w:vAlign w:val="bottom"/>
            <w:shd w:val="clear" w:color="auto" w:fill="CCEEFF"/>
          </w:tcPr>
          <w:p>
            <w:pPr>
              <w:jc w:val="right"/>
              <w:ind w:right="888"/>
              <w:spacing w:after="0" w:line="149" w:lineRule="exact"/>
              <w:rPr>
                <w:sz w:val="20"/>
                <w:szCs w:val="20"/>
                <w:color w:val="auto"/>
              </w:rPr>
            </w:pPr>
            <w:r>
              <w:rPr>
                <w:rFonts w:ascii="Arial" w:cs="Arial" w:eastAsia="Arial" w:hAnsi="Arial"/>
                <w:sz w:val="14"/>
                <w:szCs w:val="14"/>
                <w:color w:val="auto"/>
              </w:rPr>
              <w:t>6,417</w:t>
            </w:r>
          </w:p>
        </w:tc>
        <w:tc>
          <w:tcPr>
            <w:tcW w:w="106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6,519</w:t>
            </w:r>
          </w:p>
        </w:tc>
        <w:tc>
          <w:tcPr>
            <w:tcW w:w="120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6,488</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Tangible common stockholders’ equity (c)</w:t>
            </w:r>
          </w:p>
        </w:tc>
        <w:tc>
          <w:tcPr>
            <w:tcW w:w="400" w:type="dxa"/>
            <w:vAlign w:val="bottom"/>
          </w:tcPr>
          <w:p>
            <w:pPr>
              <w:spacing w:after="0"/>
              <w:rPr>
                <w:sz w:val="12"/>
                <w:szCs w:val="12"/>
                <w:color w:val="auto"/>
              </w:rPr>
            </w:pPr>
          </w:p>
        </w:tc>
        <w:tc>
          <w:tcPr>
            <w:tcW w:w="1420" w:type="dxa"/>
            <w:vAlign w:val="bottom"/>
          </w:tcPr>
          <w:p>
            <w:pPr>
              <w:jc w:val="right"/>
              <w:ind w:right="868"/>
              <w:spacing w:after="0" w:line="149" w:lineRule="exact"/>
              <w:rPr>
                <w:sz w:val="20"/>
                <w:szCs w:val="20"/>
                <w:color w:val="auto"/>
              </w:rPr>
            </w:pPr>
            <w:r>
              <w:rPr>
                <w:rFonts w:ascii="Arial" w:cs="Arial" w:eastAsia="Arial" w:hAnsi="Arial"/>
                <w:sz w:val="14"/>
                <w:szCs w:val="14"/>
                <w:color w:val="auto"/>
              </w:rPr>
              <w:t>2,971</w:t>
            </w:r>
          </w:p>
        </w:tc>
        <w:tc>
          <w:tcPr>
            <w:tcW w:w="106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2,990</w:t>
            </w:r>
          </w:p>
        </w:tc>
        <w:tc>
          <w:tcPr>
            <w:tcW w:w="146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2,865</w:t>
            </w:r>
          </w:p>
        </w:tc>
        <w:tc>
          <w:tcPr>
            <w:tcW w:w="1860" w:type="dxa"/>
            <w:vAlign w:val="bottom"/>
          </w:tcPr>
          <w:p>
            <w:pPr>
              <w:jc w:val="right"/>
              <w:ind w:right="888"/>
              <w:spacing w:after="0" w:line="149" w:lineRule="exact"/>
              <w:rPr>
                <w:sz w:val="20"/>
                <w:szCs w:val="20"/>
                <w:color w:val="auto"/>
              </w:rPr>
            </w:pPr>
            <w:r>
              <w:rPr>
                <w:rFonts w:ascii="Arial" w:cs="Arial" w:eastAsia="Arial" w:hAnsi="Arial"/>
                <w:sz w:val="14"/>
                <w:szCs w:val="14"/>
                <w:color w:val="auto"/>
              </w:rPr>
              <w:t>3,053</w:t>
            </w:r>
          </w:p>
        </w:tc>
        <w:tc>
          <w:tcPr>
            <w:tcW w:w="106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3,143</w:t>
            </w:r>
          </w:p>
        </w:tc>
        <w:tc>
          <w:tcPr>
            <w:tcW w:w="120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3,098</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per common share</w:t>
            </w:r>
          </w:p>
        </w:tc>
        <w:tc>
          <w:tcPr>
            <w:tcW w:w="400" w:type="dxa"/>
            <w:vAlign w:val="bottom"/>
            <w:shd w:val="clear" w:color="auto" w:fill="CCEEFF"/>
          </w:tcPr>
          <w:p>
            <w:pPr>
              <w:spacing w:after="0"/>
              <w:rPr>
                <w:sz w:val="12"/>
                <w:szCs w:val="12"/>
                <w:color w:val="auto"/>
              </w:rPr>
            </w:pPr>
          </w:p>
        </w:tc>
        <w:tc>
          <w:tcPr>
            <w:tcW w:w="1420" w:type="dxa"/>
            <w:vAlign w:val="bottom"/>
            <w:shd w:val="clear" w:color="auto" w:fill="CCEEFF"/>
          </w:tcPr>
          <w:p>
            <w:pPr>
              <w:jc w:val="right"/>
              <w:ind w:right="868"/>
              <w:spacing w:after="0" w:line="149" w:lineRule="exact"/>
              <w:rPr>
                <w:sz w:val="20"/>
                <w:szCs w:val="20"/>
                <w:color w:val="auto"/>
              </w:rPr>
            </w:pPr>
            <w:r>
              <w:rPr>
                <w:rFonts w:ascii="Arial" w:cs="Arial" w:eastAsia="Arial" w:hAnsi="Arial"/>
                <w:sz w:val="14"/>
                <w:szCs w:val="14"/>
                <w:color w:val="auto"/>
              </w:rPr>
              <w:t>56.51</w:t>
            </w:r>
          </w:p>
        </w:tc>
        <w:tc>
          <w:tcPr>
            <w:tcW w:w="106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56.95</w:t>
            </w:r>
          </w:p>
        </w:tc>
        <w:tc>
          <w:tcPr>
            <w:tcW w:w="146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56.29</w:t>
            </w:r>
          </w:p>
        </w:tc>
        <w:tc>
          <w:tcPr>
            <w:tcW w:w="1860" w:type="dxa"/>
            <w:vAlign w:val="bottom"/>
            <w:shd w:val="clear" w:color="auto" w:fill="CCEEFF"/>
          </w:tcPr>
          <w:p>
            <w:pPr>
              <w:jc w:val="right"/>
              <w:ind w:right="888"/>
              <w:spacing w:after="0" w:line="149" w:lineRule="exact"/>
              <w:rPr>
                <w:sz w:val="20"/>
                <w:szCs w:val="20"/>
                <w:color w:val="auto"/>
              </w:rPr>
            </w:pPr>
            <w:r>
              <w:rPr>
                <w:rFonts w:ascii="Arial" w:cs="Arial" w:eastAsia="Arial" w:hAnsi="Arial"/>
                <w:sz w:val="14"/>
                <w:szCs w:val="14"/>
                <w:color w:val="auto"/>
              </w:rPr>
              <w:t>58.17</w:t>
            </w:r>
          </w:p>
        </w:tc>
        <w:tc>
          <w:tcPr>
            <w:tcW w:w="106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59.12</w:t>
            </w:r>
          </w:p>
        </w:tc>
        <w:tc>
          <w:tcPr>
            <w:tcW w:w="120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58.92</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4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Tangible equity per common share</w:t>
            </w:r>
          </w:p>
        </w:tc>
        <w:tc>
          <w:tcPr>
            <w:tcW w:w="4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868"/>
              <w:spacing w:after="0" w:line="149" w:lineRule="exact"/>
              <w:rPr>
                <w:sz w:val="20"/>
                <w:szCs w:val="20"/>
                <w:color w:val="auto"/>
              </w:rPr>
            </w:pPr>
            <w:r>
              <w:rPr>
                <w:rFonts w:ascii="Arial" w:cs="Arial" w:eastAsia="Arial" w:hAnsi="Arial"/>
                <w:sz w:val="14"/>
                <w:szCs w:val="14"/>
                <w:color w:val="auto"/>
              </w:rPr>
              <w:t>25.17</w:t>
            </w:r>
          </w:p>
        </w:tc>
        <w:tc>
          <w:tcPr>
            <w:tcW w:w="1060" w:type="dxa"/>
            <w:vAlign w:val="bottom"/>
            <w:tcBorders>
              <w:bottom w:val="single" w:sz="8" w:color="auto"/>
            </w:tcBorders>
          </w:tcPr>
          <w:p>
            <w:pPr>
              <w:jc w:val="right"/>
              <w:ind w:right="488"/>
              <w:spacing w:after="0" w:line="149" w:lineRule="exact"/>
              <w:rPr>
                <w:sz w:val="20"/>
                <w:szCs w:val="20"/>
                <w:color w:val="auto"/>
              </w:rPr>
            </w:pPr>
            <w:r>
              <w:rPr>
                <w:rFonts w:ascii="Arial" w:cs="Arial" w:eastAsia="Arial" w:hAnsi="Arial"/>
                <w:sz w:val="14"/>
                <w:szCs w:val="14"/>
                <w:color w:val="auto"/>
              </w:rPr>
              <w:t>26.90</w:t>
            </w:r>
          </w:p>
        </w:tc>
        <w:tc>
          <w:tcPr>
            <w:tcW w:w="1460" w:type="dxa"/>
            <w:vAlign w:val="bottom"/>
            <w:tcBorders>
              <w:bottom w:val="single" w:sz="8" w:color="auto"/>
            </w:tcBorders>
          </w:tcPr>
          <w:p>
            <w:pPr>
              <w:jc w:val="right"/>
              <w:ind w:right="488"/>
              <w:spacing w:after="0" w:line="149" w:lineRule="exact"/>
              <w:rPr>
                <w:sz w:val="20"/>
                <w:szCs w:val="20"/>
                <w:color w:val="auto"/>
              </w:rPr>
            </w:pPr>
            <w:r>
              <w:rPr>
                <w:rFonts w:ascii="Arial" w:cs="Arial" w:eastAsia="Arial" w:hAnsi="Arial"/>
                <w:sz w:val="14"/>
                <w:szCs w:val="14"/>
                <w:color w:val="auto"/>
              </w:rPr>
              <w:t>25.94</w:t>
            </w:r>
          </w:p>
        </w:tc>
        <w:tc>
          <w:tcPr>
            <w:tcW w:w="1860" w:type="dxa"/>
            <w:vAlign w:val="bottom"/>
            <w:tcBorders>
              <w:bottom w:val="single" w:sz="8" w:color="auto"/>
            </w:tcBorders>
          </w:tcPr>
          <w:p>
            <w:pPr>
              <w:jc w:val="right"/>
              <w:ind w:right="888"/>
              <w:spacing w:after="0" w:line="149" w:lineRule="exact"/>
              <w:rPr>
                <w:sz w:val="20"/>
                <w:szCs w:val="20"/>
                <w:color w:val="auto"/>
              </w:rPr>
            </w:pPr>
            <w:r>
              <w:rPr>
                <w:rFonts w:ascii="Arial" w:cs="Arial" w:eastAsia="Arial" w:hAnsi="Arial"/>
                <w:sz w:val="14"/>
                <w:szCs w:val="14"/>
                <w:color w:val="auto"/>
              </w:rPr>
              <w:t>27.67</w:t>
            </w:r>
          </w:p>
        </w:tc>
        <w:tc>
          <w:tcPr>
            <w:tcW w:w="1060" w:type="dxa"/>
            <w:vAlign w:val="bottom"/>
            <w:tcBorders>
              <w:bottom w:val="single" w:sz="8" w:color="auto"/>
            </w:tcBorders>
          </w:tcPr>
          <w:p>
            <w:pPr>
              <w:jc w:val="right"/>
              <w:ind w:right="488"/>
              <w:spacing w:after="0" w:line="149" w:lineRule="exact"/>
              <w:rPr>
                <w:sz w:val="20"/>
                <w:szCs w:val="20"/>
                <w:color w:val="auto"/>
              </w:rPr>
            </w:pPr>
            <w:r>
              <w:rPr>
                <w:rFonts w:ascii="Arial" w:cs="Arial" w:eastAsia="Arial" w:hAnsi="Arial"/>
                <w:sz w:val="14"/>
                <w:szCs w:val="14"/>
                <w:color w:val="auto"/>
              </w:rPr>
              <w:t>28.50</w:t>
            </w:r>
          </w:p>
        </w:tc>
        <w:tc>
          <w:tcPr>
            <w:tcW w:w="1200" w:type="dxa"/>
            <w:vAlign w:val="bottom"/>
            <w:tcBorders>
              <w:bottom w:val="single" w:sz="8" w:color="auto"/>
            </w:tcBorders>
          </w:tcPr>
          <w:p>
            <w:pPr>
              <w:jc w:val="right"/>
              <w:ind w:right="208"/>
              <w:spacing w:after="0" w:line="149" w:lineRule="exact"/>
              <w:rPr>
                <w:sz w:val="20"/>
                <w:szCs w:val="20"/>
                <w:color w:val="auto"/>
              </w:rPr>
            </w:pPr>
            <w:r>
              <w:rPr>
                <w:rFonts w:ascii="Arial" w:cs="Arial" w:eastAsia="Arial" w:hAnsi="Arial"/>
                <w:sz w:val="14"/>
                <w:szCs w:val="14"/>
                <w:color w:val="auto"/>
              </w:rPr>
              <w:t>28.14</w:t>
            </w:r>
          </w:p>
        </w:tc>
        <w:tc>
          <w:tcPr>
            <w:tcW w:w="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9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Market price per common share</w:t>
            </w:r>
          </w:p>
        </w:tc>
        <w:tc>
          <w:tcPr>
            <w:tcW w:w="4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High</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20" w:type="dxa"/>
            <w:vAlign w:val="bottom"/>
          </w:tcPr>
          <w:p>
            <w:pPr>
              <w:jc w:val="right"/>
              <w:ind w:right="868"/>
              <w:spacing w:after="0" w:line="149" w:lineRule="exact"/>
              <w:rPr>
                <w:sz w:val="20"/>
                <w:szCs w:val="20"/>
                <w:color w:val="auto"/>
              </w:rPr>
            </w:pPr>
            <w:r>
              <w:rPr>
                <w:rFonts w:ascii="Arial" w:cs="Arial" w:eastAsia="Arial" w:hAnsi="Arial"/>
                <w:sz w:val="14"/>
                <w:szCs w:val="14"/>
                <w:color w:val="auto"/>
              </w:rPr>
              <w:t>61.87</w:t>
            </w:r>
          </w:p>
        </w:tc>
        <w:tc>
          <w:tcPr>
            <w:tcW w:w="106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59.08</w:t>
            </w:r>
          </w:p>
        </w:tc>
        <w:tc>
          <w:tcPr>
            <w:tcW w:w="146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99.50</w:t>
            </w:r>
          </w:p>
        </w:tc>
        <w:tc>
          <w:tcPr>
            <w:tcW w:w="1860" w:type="dxa"/>
            <w:vAlign w:val="bottom"/>
          </w:tcPr>
          <w:p>
            <w:pPr>
              <w:jc w:val="right"/>
              <w:ind w:right="888"/>
              <w:spacing w:after="0" w:line="149" w:lineRule="exact"/>
              <w:rPr>
                <w:sz w:val="20"/>
                <w:szCs w:val="20"/>
                <w:color w:val="auto"/>
              </w:rPr>
            </w:pPr>
            <w:r>
              <w:rPr>
                <w:rFonts w:ascii="Arial" w:cs="Arial" w:eastAsia="Arial" w:hAnsi="Arial"/>
                <w:sz w:val="14"/>
                <w:szCs w:val="14"/>
                <w:color w:val="auto"/>
              </w:rPr>
              <w:t>108.53</w:t>
            </w:r>
          </w:p>
        </w:tc>
        <w:tc>
          <w:tcPr>
            <w:tcW w:w="106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98.38</w:t>
            </w:r>
          </w:p>
        </w:tc>
        <w:tc>
          <w:tcPr>
            <w:tcW w:w="120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94.03</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Low</w:t>
            </w:r>
          </w:p>
        </w:tc>
        <w:tc>
          <w:tcPr>
            <w:tcW w:w="400" w:type="dxa"/>
            <w:vAlign w:val="bottom"/>
            <w:shd w:val="clear" w:color="auto" w:fill="CCEEFF"/>
          </w:tcPr>
          <w:p>
            <w:pPr>
              <w:spacing w:after="0"/>
              <w:rPr>
                <w:sz w:val="12"/>
                <w:szCs w:val="12"/>
                <w:color w:val="auto"/>
              </w:rPr>
            </w:pPr>
          </w:p>
        </w:tc>
        <w:tc>
          <w:tcPr>
            <w:tcW w:w="1420" w:type="dxa"/>
            <w:vAlign w:val="bottom"/>
            <w:shd w:val="clear" w:color="auto" w:fill="CCEEFF"/>
          </w:tcPr>
          <w:p>
            <w:pPr>
              <w:jc w:val="right"/>
              <w:ind w:right="868"/>
              <w:spacing w:after="0" w:line="149" w:lineRule="exact"/>
              <w:rPr>
                <w:sz w:val="20"/>
                <w:szCs w:val="20"/>
                <w:color w:val="auto"/>
              </w:rPr>
            </w:pPr>
            <w:r>
              <w:rPr>
                <w:rFonts w:ascii="Arial" w:cs="Arial" w:eastAsia="Arial" w:hAnsi="Arial"/>
                <w:sz w:val="14"/>
                <w:szCs w:val="14"/>
                <w:color w:val="auto"/>
              </w:rPr>
              <w:t>43.50</w:t>
            </w:r>
          </w:p>
        </w:tc>
        <w:tc>
          <w:tcPr>
            <w:tcW w:w="106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29.11</w:t>
            </w:r>
          </w:p>
        </w:tc>
        <w:tc>
          <w:tcPr>
            <w:tcW w:w="146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52.20</w:t>
            </w:r>
          </w:p>
        </w:tc>
        <w:tc>
          <w:tcPr>
            <w:tcW w:w="1860" w:type="dxa"/>
            <w:vAlign w:val="bottom"/>
            <w:shd w:val="clear" w:color="auto" w:fill="CCEEFF"/>
          </w:tcPr>
          <w:p>
            <w:pPr>
              <w:jc w:val="right"/>
              <w:ind w:right="888"/>
              <w:spacing w:after="0" w:line="149" w:lineRule="exact"/>
              <w:rPr>
                <w:sz w:val="20"/>
                <w:szCs w:val="20"/>
                <w:color w:val="auto"/>
              </w:rPr>
            </w:pPr>
            <w:r>
              <w:rPr>
                <w:rFonts w:ascii="Arial" w:cs="Arial" w:eastAsia="Arial" w:hAnsi="Arial"/>
                <w:sz w:val="14"/>
                <w:szCs w:val="14"/>
                <w:color w:val="auto"/>
              </w:rPr>
              <w:t>53.61</w:t>
            </w:r>
          </w:p>
        </w:tc>
        <w:tc>
          <w:tcPr>
            <w:tcW w:w="106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69.90</w:t>
            </w:r>
          </w:p>
        </w:tc>
        <w:tc>
          <w:tcPr>
            <w:tcW w:w="120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70.49</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4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Closing</w:t>
            </w:r>
          </w:p>
        </w:tc>
        <w:tc>
          <w:tcPr>
            <w:tcW w:w="4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868"/>
              <w:spacing w:after="0" w:line="149" w:lineRule="exact"/>
              <w:rPr>
                <w:sz w:val="20"/>
                <w:szCs w:val="20"/>
                <w:color w:val="auto"/>
              </w:rPr>
            </w:pPr>
            <w:r>
              <w:rPr>
                <w:rFonts w:ascii="Arial" w:cs="Arial" w:eastAsia="Arial" w:hAnsi="Arial"/>
                <w:sz w:val="14"/>
                <w:szCs w:val="14"/>
                <w:color w:val="auto"/>
              </w:rPr>
              <w:t>50.93</w:t>
            </w:r>
          </w:p>
        </w:tc>
        <w:tc>
          <w:tcPr>
            <w:tcW w:w="1060" w:type="dxa"/>
            <w:vAlign w:val="bottom"/>
            <w:tcBorders>
              <w:bottom w:val="single" w:sz="8" w:color="auto"/>
            </w:tcBorders>
          </w:tcPr>
          <w:p>
            <w:pPr>
              <w:jc w:val="right"/>
              <w:ind w:right="488"/>
              <w:spacing w:after="0" w:line="149" w:lineRule="exact"/>
              <w:rPr>
                <w:sz w:val="20"/>
                <w:szCs w:val="20"/>
                <w:color w:val="auto"/>
              </w:rPr>
            </w:pPr>
            <w:r>
              <w:rPr>
                <w:rFonts w:ascii="Arial" w:cs="Arial" w:eastAsia="Arial" w:hAnsi="Arial"/>
                <w:sz w:val="14"/>
                <w:szCs w:val="14"/>
                <w:color w:val="auto"/>
              </w:rPr>
              <w:t>45.24</w:t>
            </w:r>
          </w:p>
        </w:tc>
        <w:tc>
          <w:tcPr>
            <w:tcW w:w="1460" w:type="dxa"/>
            <w:vAlign w:val="bottom"/>
            <w:tcBorders>
              <w:bottom w:val="single" w:sz="8" w:color="auto"/>
            </w:tcBorders>
          </w:tcPr>
          <w:p>
            <w:pPr>
              <w:jc w:val="right"/>
              <w:ind w:right="488"/>
              <w:spacing w:after="0" w:line="149" w:lineRule="exact"/>
              <w:rPr>
                <w:sz w:val="20"/>
                <w:szCs w:val="20"/>
                <w:color w:val="auto"/>
              </w:rPr>
            </w:pPr>
            <w:r>
              <w:rPr>
                <w:rFonts w:ascii="Arial" w:cs="Arial" w:eastAsia="Arial" w:hAnsi="Arial"/>
                <w:sz w:val="14"/>
                <w:szCs w:val="14"/>
                <w:color w:val="auto"/>
              </w:rPr>
              <w:t>57.41</w:t>
            </w:r>
          </w:p>
        </w:tc>
        <w:tc>
          <w:tcPr>
            <w:tcW w:w="1860" w:type="dxa"/>
            <w:vAlign w:val="bottom"/>
            <w:tcBorders>
              <w:bottom w:val="single" w:sz="8" w:color="auto"/>
            </w:tcBorders>
          </w:tcPr>
          <w:p>
            <w:pPr>
              <w:jc w:val="right"/>
              <w:ind w:right="888"/>
              <w:spacing w:after="0" w:line="149" w:lineRule="exact"/>
              <w:rPr>
                <w:sz w:val="20"/>
                <w:szCs w:val="20"/>
                <w:color w:val="auto"/>
              </w:rPr>
            </w:pPr>
            <w:r>
              <w:rPr>
                <w:rFonts w:ascii="Arial" w:cs="Arial" w:eastAsia="Arial" w:hAnsi="Arial"/>
                <w:sz w:val="14"/>
                <w:szCs w:val="14"/>
                <w:color w:val="auto"/>
              </w:rPr>
              <w:t>89.25</w:t>
            </w:r>
          </w:p>
        </w:tc>
        <w:tc>
          <w:tcPr>
            <w:tcW w:w="1060" w:type="dxa"/>
            <w:vAlign w:val="bottom"/>
            <w:tcBorders>
              <w:bottom w:val="single" w:sz="8" w:color="auto"/>
            </w:tcBorders>
          </w:tcPr>
          <w:p>
            <w:pPr>
              <w:jc w:val="right"/>
              <w:ind w:right="488"/>
              <w:spacing w:after="0" w:line="149" w:lineRule="exact"/>
              <w:rPr>
                <w:sz w:val="20"/>
                <w:szCs w:val="20"/>
                <w:color w:val="auto"/>
              </w:rPr>
            </w:pPr>
            <w:r>
              <w:rPr>
                <w:rFonts w:ascii="Arial" w:cs="Arial" w:eastAsia="Arial" w:hAnsi="Arial"/>
                <w:sz w:val="14"/>
                <w:szCs w:val="14"/>
                <w:color w:val="auto"/>
              </w:rPr>
              <w:t>70.54</w:t>
            </w:r>
          </w:p>
        </w:tc>
        <w:tc>
          <w:tcPr>
            <w:tcW w:w="1200" w:type="dxa"/>
            <w:vAlign w:val="bottom"/>
            <w:tcBorders>
              <w:bottom w:val="single" w:sz="8" w:color="auto"/>
            </w:tcBorders>
          </w:tcPr>
          <w:p>
            <w:pPr>
              <w:jc w:val="right"/>
              <w:ind w:right="208"/>
              <w:spacing w:after="0" w:line="149" w:lineRule="exact"/>
              <w:rPr>
                <w:sz w:val="20"/>
                <w:szCs w:val="20"/>
                <w:color w:val="auto"/>
              </w:rPr>
            </w:pPr>
            <w:r>
              <w:rPr>
                <w:rFonts w:ascii="Arial" w:cs="Arial" w:eastAsia="Arial" w:hAnsi="Arial"/>
                <w:sz w:val="14"/>
                <w:szCs w:val="14"/>
                <w:color w:val="auto"/>
              </w:rPr>
              <w:t>80.48</w:t>
            </w:r>
          </w:p>
        </w:tc>
        <w:tc>
          <w:tcPr>
            <w:tcW w:w="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7"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Excludes impact of merger-related expenses and net securities transactions.</w:t>
      </w:r>
    </w:p>
    <w:p>
      <w:pPr>
        <w:spacing w:after="0" w:line="76" w:lineRule="exact"/>
        <w:rPr>
          <w:rFonts w:ascii="Arial" w:cs="Arial" w:eastAsia="Arial" w:hAnsi="Arial"/>
          <w:sz w:val="18"/>
          <w:szCs w:val="18"/>
          <w:color w:val="auto"/>
        </w:rPr>
      </w:pPr>
    </w:p>
    <w:p>
      <w:pPr>
        <w:jc w:val="both"/>
        <w:ind w:left="460" w:right="160" w:hanging="452"/>
        <w:spacing w:after="0" w:line="325"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Excludes amortization and balances related to goodwill and core deposit and other intangible assets and merger-related expenses which, except in the calculation of the efficiency ratio, are net of applicable income tax effects. A reconciliation of net income and net operating income appears in table 2.</w:t>
      </w:r>
    </w:p>
    <w:p>
      <w:pPr>
        <w:spacing w:after="0" w:line="1" w:lineRule="exact"/>
        <w:rPr>
          <w:rFonts w:ascii="Arial" w:cs="Arial" w:eastAsia="Arial" w:hAnsi="Arial"/>
          <w:sz w:val="16"/>
          <w:szCs w:val="16"/>
          <w:color w:val="auto"/>
        </w:rPr>
      </w:pPr>
    </w:p>
    <w:p>
      <w:pPr>
        <w:ind w:left="460" w:right="240" w:hanging="452"/>
        <w:spacing w:after="0" w:line="342"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difference between total assets and total tangible assets, and common stockholders’ equity and tangible common stockholders’ equity, represents goodwill, core deposit and other intangible assets, net of applicable deferred tax balances. A reconciliation of such balances appears in table 2.</w:t>
      </w:r>
    </w:p>
    <w:p>
      <w:pPr>
        <w:spacing w:after="0" w:line="96" w:lineRule="exact"/>
        <w:rPr>
          <w:rFonts w:ascii="Arial" w:cs="Arial" w:eastAsia="Arial" w:hAnsi="Arial"/>
          <w:sz w:val="16"/>
          <w:szCs w:val="16"/>
          <w:color w:val="auto"/>
        </w:rPr>
      </w:pPr>
    </w:p>
    <w:p>
      <w:pPr>
        <w:ind w:left="5620" w:hanging="101"/>
        <w:spacing w:after="0"/>
        <w:tabs>
          <w:tab w:leader="none" w:pos="5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80" w:type="dxa"/>
            <w:vAlign w:val="bottom"/>
            <w:gridSpan w:val="2"/>
          </w:tcPr>
          <w:p>
            <w:pPr>
              <w:ind w:left="720"/>
              <w:spacing w:after="0"/>
              <w:rPr>
                <w:sz w:val="20"/>
                <w:szCs w:val="20"/>
                <w:color w:val="auto"/>
              </w:rPr>
            </w:pPr>
            <w:r>
              <w:rPr>
                <w:rFonts w:ascii="Arial" w:cs="Arial" w:eastAsia="Arial" w:hAnsi="Arial"/>
                <w:sz w:val="18"/>
                <w:szCs w:val="18"/>
                <w:color w:val="auto"/>
                <w:w w:val="89"/>
              </w:rPr>
              <w:t>Table 2</w:t>
            </w:r>
          </w:p>
        </w:tc>
      </w:tr>
      <w:tr>
        <w:trPr>
          <w:trHeight w:val="432"/>
        </w:trPr>
        <w:tc>
          <w:tcPr>
            <w:tcW w:w="5900" w:type="dxa"/>
            <w:vAlign w:val="bottom"/>
            <w:gridSpan w:val="5"/>
          </w:tcPr>
          <w:p>
            <w:pPr>
              <w:spacing w:after="0"/>
              <w:rPr>
                <w:sz w:val="20"/>
                <w:szCs w:val="20"/>
                <w:color w:val="auto"/>
              </w:rPr>
            </w:pPr>
            <w:r>
              <w:rPr>
                <w:rFonts w:ascii="Arial" w:cs="Arial" w:eastAsia="Arial" w:hAnsi="Arial"/>
                <w:sz w:val="18"/>
                <w:szCs w:val="18"/>
                <w:color w:val="auto"/>
                <w:w w:val="99"/>
              </w:rPr>
              <w:t>RECONCILIATION OF QUARTERLY GAAP TO NON-GAAP MEASURES</w:t>
            </w:r>
          </w:p>
        </w:tc>
        <w:tc>
          <w:tcPr>
            <w:tcW w:w="1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 Quarters</w:t>
            </w:r>
          </w:p>
        </w:tc>
        <w:tc>
          <w:tcPr>
            <w:tcW w:w="1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2008 Quarters</w:t>
            </w:r>
          </w:p>
        </w:tc>
        <w:tc>
          <w:tcPr>
            <w:tcW w:w="1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27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871"/>
              <w:spacing w:after="0" w:line="142" w:lineRule="exact"/>
              <w:rPr>
                <w:sz w:val="20"/>
                <w:szCs w:val="20"/>
                <w:color w:val="auto"/>
              </w:rPr>
            </w:pPr>
            <w:r>
              <w:rPr>
                <w:rFonts w:ascii="Arial" w:cs="Arial" w:eastAsia="Arial" w:hAnsi="Arial"/>
                <w:sz w:val="14"/>
                <w:szCs w:val="14"/>
                <w:color w:val="auto"/>
              </w:rPr>
              <w:t>Second</w:t>
            </w:r>
          </w:p>
        </w:tc>
        <w:tc>
          <w:tcPr>
            <w:tcW w:w="1300" w:type="dxa"/>
            <w:vAlign w:val="bottom"/>
            <w:tcBorders>
              <w:bottom w:val="single" w:sz="8" w:color="auto"/>
            </w:tcBorders>
          </w:tcPr>
          <w:p>
            <w:pPr>
              <w:jc w:val="right"/>
              <w:ind w:right="770"/>
              <w:spacing w:after="0" w:line="142" w:lineRule="exact"/>
              <w:rPr>
                <w:sz w:val="20"/>
                <w:szCs w:val="20"/>
                <w:color w:val="auto"/>
              </w:rPr>
            </w:pPr>
            <w:r>
              <w:rPr>
                <w:rFonts w:ascii="Arial" w:cs="Arial" w:eastAsia="Arial" w:hAnsi="Arial"/>
                <w:sz w:val="14"/>
                <w:szCs w:val="14"/>
                <w:color w:val="auto"/>
              </w:rPr>
              <w:t>First</w:t>
            </w:r>
          </w:p>
        </w:tc>
        <w:tc>
          <w:tcPr>
            <w:tcW w:w="1280" w:type="dxa"/>
            <w:vAlign w:val="bottom"/>
            <w:tcBorders>
              <w:bottom w:val="single" w:sz="8" w:color="auto"/>
            </w:tcBorders>
          </w:tcPr>
          <w:p>
            <w:pPr>
              <w:jc w:val="right"/>
              <w:ind w:right="490"/>
              <w:spacing w:after="0" w:line="142" w:lineRule="exact"/>
              <w:rPr>
                <w:sz w:val="20"/>
                <w:szCs w:val="20"/>
                <w:color w:val="auto"/>
              </w:rPr>
            </w:pPr>
            <w:r>
              <w:rPr>
                <w:rFonts w:ascii="Arial" w:cs="Arial" w:eastAsia="Arial" w:hAnsi="Arial"/>
                <w:sz w:val="14"/>
                <w:szCs w:val="14"/>
                <w:color w:val="auto"/>
              </w:rPr>
              <w:t>Fourth</w:t>
            </w:r>
          </w:p>
        </w:tc>
        <w:tc>
          <w:tcPr>
            <w:tcW w:w="1880" w:type="dxa"/>
            <w:vAlign w:val="bottom"/>
            <w:tcBorders>
              <w:bottom w:val="single" w:sz="8" w:color="auto"/>
            </w:tcBorders>
          </w:tcPr>
          <w:p>
            <w:pPr>
              <w:jc w:val="right"/>
              <w:ind w:right="931"/>
              <w:spacing w:after="0" w:line="142" w:lineRule="exact"/>
              <w:rPr>
                <w:sz w:val="20"/>
                <w:szCs w:val="20"/>
                <w:color w:val="auto"/>
              </w:rPr>
            </w:pPr>
            <w:r>
              <w:rPr>
                <w:rFonts w:ascii="Arial" w:cs="Arial" w:eastAsia="Arial" w:hAnsi="Arial"/>
                <w:sz w:val="14"/>
                <w:szCs w:val="14"/>
                <w:color w:val="auto"/>
              </w:rPr>
              <w:t>Third</w:t>
            </w:r>
          </w:p>
        </w:tc>
        <w:tc>
          <w:tcPr>
            <w:tcW w:w="1100" w:type="dxa"/>
            <w:vAlign w:val="bottom"/>
            <w:tcBorders>
              <w:bottom w:val="single" w:sz="8" w:color="auto"/>
            </w:tcBorders>
          </w:tcPr>
          <w:p>
            <w:pPr>
              <w:jc w:val="right"/>
              <w:ind w:right="490"/>
              <w:spacing w:after="0" w:line="142" w:lineRule="exact"/>
              <w:rPr>
                <w:sz w:val="20"/>
                <w:szCs w:val="20"/>
                <w:color w:val="auto"/>
              </w:rPr>
            </w:pPr>
            <w:r>
              <w:rPr>
                <w:rFonts w:ascii="Arial" w:cs="Arial" w:eastAsia="Arial" w:hAnsi="Arial"/>
                <w:sz w:val="14"/>
                <w:szCs w:val="14"/>
                <w:color w:val="auto"/>
              </w:rPr>
              <w:t>Second</w:t>
            </w:r>
          </w:p>
        </w:tc>
        <w:tc>
          <w:tcPr>
            <w:tcW w:w="1260" w:type="dxa"/>
            <w:vAlign w:val="bottom"/>
            <w:tcBorders>
              <w:bottom w:val="single" w:sz="8" w:color="auto"/>
            </w:tcBorders>
          </w:tcPr>
          <w:p>
            <w:pPr>
              <w:jc w:val="right"/>
              <w:ind w:right="330"/>
              <w:spacing w:after="0" w:line="142" w:lineRule="exact"/>
              <w:rPr>
                <w:sz w:val="20"/>
                <w:szCs w:val="20"/>
                <w:color w:val="auto"/>
              </w:rPr>
            </w:pPr>
            <w:r>
              <w:rPr>
                <w:rFonts w:ascii="Arial" w:cs="Arial" w:eastAsia="Arial" w:hAnsi="Arial"/>
                <w:sz w:val="14"/>
                <w:szCs w:val="14"/>
                <w:color w:val="auto"/>
              </w:rPr>
              <w:t>First</w:t>
            </w:r>
          </w:p>
        </w:tc>
        <w:tc>
          <w:tcPr>
            <w:tcW w:w="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i w:val="1"/>
                <w:iCs w:val="1"/>
                <w:color w:val="auto"/>
              </w:rPr>
              <w:t>In thousands, except per share</w:t>
            </w: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71"/>
              <w:spacing w:after="0"/>
              <w:rPr>
                <w:sz w:val="20"/>
                <w:szCs w:val="20"/>
                <w:color w:val="auto"/>
              </w:rPr>
            </w:pPr>
            <w:r>
              <w:rPr>
                <w:rFonts w:ascii="Arial" w:cs="Arial" w:eastAsia="Arial" w:hAnsi="Arial"/>
                <w:sz w:val="18"/>
                <w:szCs w:val="18"/>
                <w:color w:val="auto"/>
              </w:rPr>
              <w:t>51,188</w:t>
            </w:r>
          </w:p>
        </w:tc>
        <w:tc>
          <w:tcPr>
            <w:tcW w:w="1300" w:type="dxa"/>
            <w:vAlign w:val="bottom"/>
          </w:tcPr>
          <w:p>
            <w:pPr>
              <w:jc w:val="right"/>
              <w:ind w:right="610"/>
              <w:spacing w:after="0"/>
              <w:rPr>
                <w:sz w:val="20"/>
                <w:szCs w:val="20"/>
                <w:color w:val="auto"/>
              </w:rPr>
            </w:pPr>
            <w:r>
              <w:rPr>
                <w:rFonts w:ascii="Arial" w:cs="Arial" w:eastAsia="Arial" w:hAnsi="Arial"/>
                <w:sz w:val="18"/>
                <w:szCs w:val="18"/>
                <w:color w:val="auto"/>
              </w:rPr>
              <w:t>64,221</w:t>
            </w: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102,241</w:t>
            </w:r>
          </w:p>
        </w:tc>
        <w:tc>
          <w:tcPr>
            <w:tcW w:w="1880" w:type="dxa"/>
            <w:vAlign w:val="bottom"/>
          </w:tcPr>
          <w:p>
            <w:pPr>
              <w:jc w:val="right"/>
              <w:ind w:right="791"/>
              <w:spacing w:after="0"/>
              <w:rPr>
                <w:sz w:val="20"/>
                <w:szCs w:val="20"/>
                <w:color w:val="auto"/>
              </w:rPr>
            </w:pPr>
            <w:r>
              <w:rPr>
                <w:rFonts w:ascii="Arial" w:cs="Arial" w:eastAsia="Arial" w:hAnsi="Arial"/>
                <w:sz w:val="18"/>
                <w:szCs w:val="18"/>
                <w:color w:val="auto"/>
              </w:rPr>
              <w:t>91,185</w:t>
            </w:r>
          </w:p>
        </w:tc>
        <w:tc>
          <w:tcPr>
            <w:tcW w:w="1100" w:type="dxa"/>
            <w:vAlign w:val="bottom"/>
          </w:tcPr>
          <w:p>
            <w:pPr>
              <w:jc w:val="right"/>
              <w:ind w:right="410"/>
              <w:spacing w:after="0"/>
              <w:rPr>
                <w:sz w:val="20"/>
                <w:szCs w:val="20"/>
                <w:color w:val="auto"/>
              </w:rPr>
            </w:pPr>
            <w:r>
              <w:rPr>
                <w:rFonts w:ascii="Arial" w:cs="Arial" w:eastAsia="Arial" w:hAnsi="Arial"/>
                <w:sz w:val="18"/>
                <w:szCs w:val="18"/>
                <w:color w:val="auto"/>
                <w:w w:val="89"/>
              </w:rPr>
              <w:t>160,265</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202,196</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core deposit and</w:t>
            </w:r>
          </w:p>
        </w:tc>
        <w:tc>
          <w:tcPr>
            <w:tcW w:w="4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intangible assets (a)</w:t>
            </w:r>
          </w:p>
        </w:tc>
        <w:tc>
          <w:tcPr>
            <w:tcW w:w="42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771"/>
              <w:spacing w:after="0"/>
              <w:rPr>
                <w:sz w:val="20"/>
                <w:szCs w:val="20"/>
                <w:color w:val="auto"/>
              </w:rPr>
            </w:pPr>
            <w:r>
              <w:rPr>
                <w:rFonts w:ascii="Arial" w:cs="Arial" w:eastAsia="Arial" w:hAnsi="Arial"/>
                <w:sz w:val="18"/>
                <w:szCs w:val="18"/>
                <w:color w:val="auto"/>
              </w:rPr>
              <w:t>9,247</w:t>
            </w:r>
          </w:p>
        </w:tc>
        <w:tc>
          <w:tcPr>
            <w:tcW w:w="13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9,337</w:t>
            </w: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9,543</w:t>
            </w:r>
          </w:p>
        </w:tc>
        <w:tc>
          <w:tcPr>
            <w:tcW w:w="1880" w:type="dxa"/>
            <w:vAlign w:val="bottom"/>
            <w:shd w:val="clear" w:color="auto" w:fill="CCEEFF"/>
          </w:tcPr>
          <w:p>
            <w:pPr>
              <w:jc w:val="right"/>
              <w:ind w:right="791"/>
              <w:spacing w:after="0"/>
              <w:rPr>
                <w:sz w:val="20"/>
                <w:szCs w:val="20"/>
                <w:color w:val="auto"/>
              </w:rPr>
            </w:pPr>
            <w:r>
              <w:rPr>
                <w:rFonts w:ascii="Arial" w:cs="Arial" w:eastAsia="Arial" w:hAnsi="Arial"/>
                <w:sz w:val="18"/>
                <w:szCs w:val="18"/>
                <w:color w:val="auto"/>
              </w:rPr>
              <w:t>9,624</w:t>
            </w:r>
          </w:p>
        </w:tc>
        <w:tc>
          <w:tcPr>
            <w:tcW w:w="11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10,096</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11,241</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Merger-related expenses (a)</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771"/>
              <w:spacing w:after="0"/>
              <w:rPr>
                <w:sz w:val="20"/>
                <w:szCs w:val="20"/>
                <w:color w:val="auto"/>
              </w:rPr>
            </w:pPr>
            <w:r>
              <w:rPr>
                <w:rFonts w:ascii="Arial" w:cs="Arial" w:eastAsia="Arial" w:hAnsi="Arial"/>
                <w:sz w:val="18"/>
                <w:szCs w:val="18"/>
                <w:color w:val="auto"/>
              </w:rPr>
              <w:t>40,370</w:t>
            </w:r>
          </w:p>
        </w:tc>
        <w:tc>
          <w:tcPr>
            <w:tcW w:w="13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1,476</w:t>
            </w: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jc w:val="right"/>
              <w:ind w:right="791"/>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2,160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Net operating income</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771"/>
              <w:spacing w:after="0"/>
              <w:rPr>
                <w:sz w:val="20"/>
                <w:szCs w:val="20"/>
                <w:color w:val="auto"/>
              </w:rPr>
            </w:pPr>
            <w:r>
              <w:rPr>
                <w:rFonts w:ascii="Arial" w:cs="Arial" w:eastAsia="Arial" w:hAnsi="Arial"/>
                <w:sz w:val="18"/>
                <w:szCs w:val="18"/>
                <w:color w:val="auto"/>
                <w:w w:val="89"/>
              </w:rPr>
              <w:t>100,805</w:t>
            </w:r>
          </w:p>
        </w:tc>
        <w:tc>
          <w:tcPr>
            <w:tcW w:w="13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75,034</w:t>
            </w:r>
          </w:p>
        </w:tc>
        <w:tc>
          <w:tcPr>
            <w:tcW w:w="12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111,784</w:t>
            </w:r>
          </w:p>
        </w:tc>
        <w:tc>
          <w:tcPr>
            <w:tcW w:w="188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8"/>
                <w:szCs w:val="18"/>
                <w:color w:val="auto"/>
              </w:rPr>
              <w:t>100,809</w:t>
            </w:r>
          </w:p>
        </w:tc>
        <w:tc>
          <w:tcPr>
            <w:tcW w:w="11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89"/>
              </w:rPr>
              <w:t>170,361</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215,597</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8"/>
                <w:szCs w:val="18"/>
                <w:b w:val="1"/>
                <w:bCs w:val="1"/>
                <w:color w:val="auto"/>
              </w:rPr>
              <w:t>Earnings per common share</w:t>
            </w: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Diluted earnings per common</w:t>
            </w:r>
          </w:p>
        </w:tc>
        <w:tc>
          <w:tcPr>
            <w:tcW w:w="4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771"/>
              <w:spacing w:after="0"/>
              <w:rPr>
                <w:sz w:val="20"/>
                <w:szCs w:val="20"/>
                <w:color w:val="auto"/>
              </w:rPr>
            </w:pPr>
            <w:r>
              <w:rPr>
                <w:rFonts w:ascii="Arial" w:cs="Arial" w:eastAsia="Arial" w:hAnsi="Arial"/>
                <w:sz w:val="18"/>
                <w:szCs w:val="18"/>
                <w:color w:val="auto"/>
              </w:rPr>
              <w:t>.36</w:t>
            </w:r>
          </w:p>
        </w:tc>
        <w:tc>
          <w:tcPr>
            <w:tcW w:w="13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.49</w:t>
            </w: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.92</w:t>
            </w:r>
          </w:p>
        </w:tc>
        <w:tc>
          <w:tcPr>
            <w:tcW w:w="1880" w:type="dxa"/>
            <w:vAlign w:val="bottom"/>
            <w:shd w:val="clear" w:color="auto" w:fill="CCEEFF"/>
          </w:tcPr>
          <w:p>
            <w:pPr>
              <w:jc w:val="right"/>
              <w:ind w:right="791"/>
              <w:spacing w:after="0"/>
              <w:rPr>
                <w:sz w:val="20"/>
                <w:szCs w:val="20"/>
                <w:color w:val="auto"/>
              </w:rPr>
            </w:pPr>
            <w:r>
              <w:rPr>
                <w:rFonts w:ascii="Arial" w:cs="Arial" w:eastAsia="Arial" w:hAnsi="Arial"/>
                <w:sz w:val="18"/>
                <w:szCs w:val="18"/>
                <w:color w:val="auto"/>
              </w:rPr>
              <w:t>.82</w:t>
            </w:r>
          </w:p>
        </w:tc>
        <w:tc>
          <w:tcPr>
            <w:tcW w:w="11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1.44</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700" w:type="dxa"/>
            <w:vAlign w:val="bottom"/>
          </w:tcPr>
          <w:p>
            <w:pPr>
              <w:spacing w:after="0" w:line="201" w:lineRule="exact"/>
              <w:rPr>
                <w:sz w:val="20"/>
                <w:szCs w:val="20"/>
                <w:color w:val="auto"/>
              </w:rPr>
            </w:pPr>
            <w:r>
              <w:rPr>
                <w:rFonts w:ascii="Arial" w:cs="Arial" w:eastAsia="Arial" w:hAnsi="Arial"/>
                <w:sz w:val="18"/>
                <w:szCs w:val="18"/>
                <w:color w:val="auto"/>
              </w:rPr>
              <w:t>Amortization of core deposit and</w:t>
            </w:r>
          </w:p>
        </w:tc>
        <w:tc>
          <w:tcPr>
            <w:tcW w:w="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00" w:type="dxa"/>
            <w:vAlign w:val="bottom"/>
          </w:tcPr>
          <w:p>
            <w:pPr>
              <w:ind w:left="200"/>
              <w:spacing w:after="0"/>
              <w:rPr>
                <w:sz w:val="20"/>
                <w:szCs w:val="20"/>
                <w:color w:val="auto"/>
              </w:rPr>
            </w:pPr>
            <w:r>
              <w:rPr>
                <w:rFonts w:ascii="Arial" w:cs="Arial" w:eastAsia="Arial" w:hAnsi="Arial"/>
                <w:sz w:val="18"/>
                <w:szCs w:val="18"/>
                <w:color w:val="auto"/>
              </w:rPr>
              <w:t>other intangible assets (a)</w:t>
            </w:r>
          </w:p>
        </w:tc>
        <w:tc>
          <w:tcPr>
            <w:tcW w:w="420" w:type="dxa"/>
            <w:vAlign w:val="bottom"/>
          </w:tcPr>
          <w:p>
            <w:pPr>
              <w:spacing w:after="0"/>
              <w:rPr>
                <w:sz w:val="20"/>
                <w:szCs w:val="20"/>
                <w:color w:val="auto"/>
              </w:rPr>
            </w:pPr>
          </w:p>
        </w:tc>
        <w:tc>
          <w:tcPr>
            <w:tcW w:w="1460" w:type="dxa"/>
            <w:vAlign w:val="bottom"/>
          </w:tcPr>
          <w:p>
            <w:pPr>
              <w:jc w:val="right"/>
              <w:ind w:right="771"/>
              <w:spacing w:after="0"/>
              <w:rPr>
                <w:sz w:val="20"/>
                <w:szCs w:val="20"/>
                <w:color w:val="auto"/>
              </w:rPr>
            </w:pPr>
            <w:r>
              <w:rPr>
                <w:rFonts w:ascii="Arial" w:cs="Arial" w:eastAsia="Arial" w:hAnsi="Arial"/>
                <w:sz w:val="18"/>
                <w:szCs w:val="18"/>
                <w:color w:val="auto"/>
              </w:rPr>
              <w:t>.08</w:t>
            </w:r>
          </w:p>
        </w:tc>
        <w:tc>
          <w:tcPr>
            <w:tcW w:w="1300" w:type="dxa"/>
            <w:vAlign w:val="bottom"/>
          </w:tcPr>
          <w:p>
            <w:pPr>
              <w:jc w:val="right"/>
              <w:ind w:right="610"/>
              <w:spacing w:after="0"/>
              <w:rPr>
                <w:sz w:val="20"/>
                <w:szCs w:val="20"/>
                <w:color w:val="auto"/>
              </w:rPr>
            </w:pPr>
            <w:r>
              <w:rPr>
                <w:rFonts w:ascii="Arial" w:cs="Arial" w:eastAsia="Arial" w:hAnsi="Arial"/>
                <w:sz w:val="18"/>
                <w:szCs w:val="18"/>
                <w:color w:val="auto"/>
              </w:rPr>
              <w:t>.09</w:t>
            </w: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.08</w:t>
            </w:r>
          </w:p>
        </w:tc>
        <w:tc>
          <w:tcPr>
            <w:tcW w:w="1880" w:type="dxa"/>
            <w:vAlign w:val="bottom"/>
          </w:tcPr>
          <w:p>
            <w:pPr>
              <w:jc w:val="right"/>
              <w:ind w:right="791"/>
              <w:spacing w:after="0"/>
              <w:rPr>
                <w:sz w:val="20"/>
                <w:szCs w:val="20"/>
                <w:color w:val="auto"/>
              </w:rPr>
            </w:pPr>
            <w:r>
              <w:rPr>
                <w:rFonts w:ascii="Arial" w:cs="Arial" w:eastAsia="Arial" w:hAnsi="Arial"/>
                <w:sz w:val="18"/>
                <w:szCs w:val="18"/>
                <w:color w:val="auto"/>
              </w:rPr>
              <w:t>.09</w:t>
            </w:r>
          </w:p>
        </w:tc>
        <w:tc>
          <w:tcPr>
            <w:tcW w:w="1100" w:type="dxa"/>
            <w:vAlign w:val="bottom"/>
          </w:tcPr>
          <w:p>
            <w:pPr>
              <w:jc w:val="right"/>
              <w:ind w:right="410"/>
              <w:spacing w:after="0"/>
              <w:rPr>
                <w:sz w:val="20"/>
                <w:szCs w:val="20"/>
                <w:color w:val="auto"/>
              </w:rPr>
            </w:pPr>
            <w:r>
              <w:rPr>
                <w:rFonts w:ascii="Arial" w:cs="Arial" w:eastAsia="Arial" w:hAnsi="Arial"/>
                <w:sz w:val="18"/>
                <w:szCs w:val="18"/>
                <w:color w:val="auto"/>
              </w:rPr>
              <w:t>.09</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Merger-related expenses (a)</w:t>
            </w:r>
          </w:p>
        </w:tc>
        <w:tc>
          <w:tcPr>
            <w:tcW w:w="4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771"/>
              <w:spacing w:after="0"/>
              <w:rPr>
                <w:sz w:val="20"/>
                <w:szCs w:val="20"/>
                <w:color w:val="auto"/>
              </w:rPr>
            </w:pPr>
            <w:r>
              <w:rPr>
                <w:rFonts w:ascii="Arial" w:cs="Arial" w:eastAsia="Arial" w:hAnsi="Arial"/>
                <w:sz w:val="18"/>
                <w:szCs w:val="18"/>
                <w:color w:val="auto"/>
              </w:rPr>
              <w:t>.35</w:t>
            </w:r>
          </w:p>
        </w:tc>
        <w:tc>
          <w:tcPr>
            <w:tcW w:w="13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.01</w:t>
            </w:r>
          </w:p>
        </w:tc>
        <w:tc>
          <w:tcPr>
            <w:tcW w:w="12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700" w:type="dxa"/>
            <w:vAlign w:val="bottom"/>
          </w:tcPr>
          <w:p>
            <w:pPr>
              <w:ind w:left="200"/>
              <w:spacing w:after="0"/>
              <w:rPr>
                <w:sz w:val="20"/>
                <w:szCs w:val="20"/>
                <w:color w:val="auto"/>
              </w:rPr>
            </w:pPr>
            <w:r>
              <w:rPr>
                <w:rFonts w:ascii="Arial" w:cs="Arial" w:eastAsia="Arial" w:hAnsi="Arial"/>
                <w:sz w:val="18"/>
                <w:szCs w:val="18"/>
                <w:color w:val="auto"/>
              </w:rPr>
              <w:t>Diluted net operating earnings</w:t>
            </w: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27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per common share</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771"/>
              <w:spacing w:after="0"/>
              <w:rPr>
                <w:sz w:val="20"/>
                <w:szCs w:val="20"/>
                <w:color w:val="auto"/>
              </w:rPr>
            </w:pPr>
            <w:r>
              <w:rPr>
                <w:rFonts w:ascii="Arial" w:cs="Arial" w:eastAsia="Arial" w:hAnsi="Arial"/>
                <w:sz w:val="18"/>
                <w:szCs w:val="18"/>
                <w:color w:val="auto"/>
              </w:rPr>
              <w:t>.79</w:t>
            </w:r>
          </w:p>
        </w:tc>
        <w:tc>
          <w:tcPr>
            <w:tcW w:w="13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.59</w:t>
            </w: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1.00</w:t>
            </w:r>
          </w:p>
        </w:tc>
        <w:tc>
          <w:tcPr>
            <w:tcW w:w="1880" w:type="dxa"/>
            <w:vAlign w:val="bottom"/>
            <w:tcBorders>
              <w:bottom w:val="single" w:sz="8" w:color="auto"/>
            </w:tcBorders>
          </w:tcPr>
          <w:p>
            <w:pPr>
              <w:jc w:val="right"/>
              <w:ind w:right="791"/>
              <w:spacing w:after="0"/>
              <w:rPr>
                <w:sz w:val="20"/>
                <w:szCs w:val="20"/>
                <w:color w:val="auto"/>
              </w:rPr>
            </w:pPr>
            <w:r>
              <w:rPr>
                <w:rFonts w:ascii="Arial" w:cs="Arial" w:eastAsia="Arial" w:hAnsi="Arial"/>
                <w:sz w:val="18"/>
                <w:szCs w:val="18"/>
                <w:color w:val="auto"/>
              </w:rPr>
              <w:t>.91</w:t>
            </w: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1.53</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1.94</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Other expense</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71"/>
              <w:spacing w:after="0"/>
              <w:rPr>
                <w:sz w:val="20"/>
                <w:szCs w:val="20"/>
                <w:color w:val="auto"/>
              </w:rPr>
            </w:pPr>
            <w:r>
              <w:rPr>
                <w:rFonts w:ascii="Arial" w:cs="Arial" w:eastAsia="Arial" w:hAnsi="Arial"/>
                <w:sz w:val="18"/>
                <w:szCs w:val="18"/>
                <w:color w:val="auto"/>
                <w:w w:val="89"/>
              </w:rPr>
              <w:t>563,710</w:t>
            </w:r>
          </w:p>
        </w:tc>
        <w:tc>
          <w:tcPr>
            <w:tcW w:w="1300" w:type="dxa"/>
            <w:vAlign w:val="bottom"/>
          </w:tcPr>
          <w:p>
            <w:pPr>
              <w:jc w:val="right"/>
              <w:ind w:right="610"/>
              <w:spacing w:after="0"/>
              <w:rPr>
                <w:sz w:val="20"/>
                <w:szCs w:val="20"/>
                <w:color w:val="auto"/>
              </w:rPr>
            </w:pPr>
            <w:r>
              <w:rPr>
                <w:rFonts w:ascii="Arial" w:cs="Arial" w:eastAsia="Arial" w:hAnsi="Arial"/>
                <w:sz w:val="18"/>
                <w:szCs w:val="18"/>
                <w:color w:val="auto"/>
                <w:w w:val="89"/>
              </w:rPr>
              <w:t>438,346</w:t>
            </w: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446,819</w:t>
            </w:r>
          </w:p>
        </w:tc>
        <w:tc>
          <w:tcPr>
            <w:tcW w:w="1880" w:type="dxa"/>
            <w:vAlign w:val="bottom"/>
          </w:tcPr>
          <w:p>
            <w:pPr>
              <w:jc w:val="right"/>
              <w:ind w:right="791"/>
              <w:spacing w:after="0"/>
              <w:rPr>
                <w:sz w:val="20"/>
                <w:szCs w:val="20"/>
                <w:color w:val="auto"/>
              </w:rPr>
            </w:pPr>
            <w:r>
              <w:rPr>
                <w:rFonts w:ascii="Arial" w:cs="Arial" w:eastAsia="Arial" w:hAnsi="Arial"/>
                <w:sz w:val="18"/>
                <w:szCs w:val="18"/>
                <w:color w:val="auto"/>
              </w:rPr>
              <w:t>434,763</w:t>
            </w:r>
          </w:p>
        </w:tc>
        <w:tc>
          <w:tcPr>
            <w:tcW w:w="1100" w:type="dxa"/>
            <w:vAlign w:val="bottom"/>
          </w:tcPr>
          <w:p>
            <w:pPr>
              <w:jc w:val="right"/>
              <w:ind w:right="410"/>
              <w:spacing w:after="0"/>
              <w:rPr>
                <w:sz w:val="20"/>
                <w:szCs w:val="20"/>
                <w:color w:val="auto"/>
              </w:rPr>
            </w:pPr>
            <w:r>
              <w:rPr>
                <w:rFonts w:ascii="Arial" w:cs="Arial" w:eastAsia="Arial" w:hAnsi="Arial"/>
                <w:sz w:val="18"/>
                <w:szCs w:val="18"/>
                <w:color w:val="auto"/>
                <w:w w:val="89"/>
              </w:rPr>
              <w:t>419,710</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425,704</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core deposit and</w:t>
            </w:r>
          </w:p>
        </w:tc>
        <w:tc>
          <w:tcPr>
            <w:tcW w:w="4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intangible assets</w:t>
            </w:r>
          </w:p>
        </w:tc>
        <w:tc>
          <w:tcPr>
            <w:tcW w:w="42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w w:val="95"/>
              </w:rPr>
              <w:t>(15,231)</w:t>
            </w:r>
          </w:p>
        </w:tc>
        <w:tc>
          <w:tcPr>
            <w:tcW w:w="13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5"/>
              </w:rPr>
              <w:t>(15,370)</w:t>
            </w:r>
          </w:p>
        </w:tc>
        <w:tc>
          <w:tcPr>
            <w:tcW w:w="12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(15,708)</w:t>
            </w:r>
          </w:p>
        </w:tc>
        <w:tc>
          <w:tcPr>
            <w:tcW w:w="188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rPr>
              <w:t>(15,840)</w:t>
            </w:r>
          </w:p>
        </w:tc>
        <w:tc>
          <w:tcPr>
            <w:tcW w:w="11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5"/>
              </w:rPr>
              <w:t>(16,615)</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(18,483)</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Merger-related expenses</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711"/>
              <w:spacing w:after="0"/>
              <w:rPr>
                <w:sz w:val="20"/>
                <w:szCs w:val="20"/>
                <w:color w:val="auto"/>
              </w:rPr>
            </w:pPr>
            <w:r>
              <w:rPr>
                <w:rFonts w:ascii="Arial" w:cs="Arial" w:eastAsia="Arial" w:hAnsi="Arial"/>
                <w:sz w:val="18"/>
                <w:szCs w:val="18"/>
                <w:color w:val="auto"/>
                <w:w w:val="95"/>
              </w:rPr>
              <w:t>(66,457)</w:t>
            </w: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(2,426)</w:t>
            </w: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jc w:val="right"/>
              <w:ind w:right="791"/>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(3,547)</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Noninterest operating expense</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771"/>
              <w:spacing w:after="0"/>
              <w:rPr>
                <w:sz w:val="20"/>
                <w:szCs w:val="20"/>
                <w:color w:val="auto"/>
              </w:rPr>
            </w:pPr>
            <w:r>
              <w:rPr>
                <w:rFonts w:ascii="Arial" w:cs="Arial" w:eastAsia="Arial" w:hAnsi="Arial"/>
                <w:sz w:val="18"/>
                <w:szCs w:val="18"/>
                <w:color w:val="auto"/>
                <w:w w:val="89"/>
              </w:rPr>
              <w:t>482,022</w:t>
            </w:r>
          </w:p>
        </w:tc>
        <w:tc>
          <w:tcPr>
            <w:tcW w:w="13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89"/>
              </w:rPr>
              <w:t>420,550</w:t>
            </w:r>
          </w:p>
        </w:tc>
        <w:tc>
          <w:tcPr>
            <w:tcW w:w="12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431,111</w:t>
            </w:r>
          </w:p>
        </w:tc>
        <w:tc>
          <w:tcPr>
            <w:tcW w:w="188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8"/>
                <w:szCs w:val="18"/>
                <w:color w:val="auto"/>
              </w:rPr>
              <w:t>418,923</w:t>
            </w:r>
          </w:p>
        </w:tc>
        <w:tc>
          <w:tcPr>
            <w:tcW w:w="11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89"/>
              </w:rPr>
              <w:t>403,095</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403,674</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8"/>
                <w:szCs w:val="18"/>
                <w:b w:val="1"/>
                <w:bCs w:val="1"/>
                <w:color w:val="auto"/>
              </w:rPr>
              <w:t>Merger-related expenses</w:t>
            </w: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771"/>
              <w:spacing w:after="0"/>
              <w:rPr>
                <w:sz w:val="20"/>
                <w:szCs w:val="20"/>
                <w:color w:val="auto"/>
              </w:rPr>
            </w:pPr>
            <w:r>
              <w:rPr>
                <w:rFonts w:ascii="Arial" w:cs="Arial" w:eastAsia="Arial" w:hAnsi="Arial"/>
                <w:sz w:val="18"/>
                <w:szCs w:val="18"/>
                <w:color w:val="auto"/>
              </w:rPr>
              <w:t>8,768</w:t>
            </w:r>
          </w:p>
        </w:tc>
        <w:tc>
          <w:tcPr>
            <w:tcW w:w="13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11</w:t>
            </w: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79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Equipment and net occupancy</w:t>
            </w:r>
          </w:p>
        </w:tc>
        <w:tc>
          <w:tcPr>
            <w:tcW w:w="420" w:type="dxa"/>
            <w:vAlign w:val="bottom"/>
          </w:tcPr>
          <w:p>
            <w:pPr>
              <w:spacing w:after="0"/>
              <w:rPr>
                <w:sz w:val="18"/>
                <w:szCs w:val="18"/>
                <w:color w:val="auto"/>
              </w:rPr>
            </w:pPr>
          </w:p>
        </w:tc>
        <w:tc>
          <w:tcPr>
            <w:tcW w:w="1460" w:type="dxa"/>
            <w:vAlign w:val="bottom"/>
          </w:tcPr>
          <w:p>
            <w:pPr>
              <w:jc w:val="right"/>
              <w:ind w:right="771"/>
              <w:spacing w:after="0"/>
              <w:rPr>
                <w:sz w:val="20"/>
                <w:szCs w:val="20"/>
                <w:color w:val="auto"/>
              </w:rPr>
            </w:pPr>
            <w:r>
              <w:rPr>
                <w:rFonts w:ascii="Arial" w:cs="Arial" w:eastAsia="Arial" w:hAnsi="Arial"/>
                <w:sz w:val="18"/>
                <w:szCs w:val="18"/>
                <w:color w:val="auto"/>
              </w:rPr>
              <w:t>581</w:t>
            </w:r>
          </w:p>
        </w:tc>
        <w:tc>
          <w:tcPr>
            <w:tcW w:w="1300" w:type="dxa"/>
            <w:vAlign w:val="bottom"/>
          </w:tcPr>
          <w:p>
            <w:pPr>
              <w:jc w:val="right"/>
              <w:ind w:right="610"/>
              <w:spacing w:after="0"/>
              <w:rPr>
                <w:sz w:val="20"/>
                <w:szCs w:val="20"/>
                <w:color w:val="auto"/>
              </w:rPr>
            </w:pPr>
            <w:r>
              <w:rPr>
                <w:rFonts w:ascii="Arial" w:cs="Arial" w:eastAsia="Arial" w:hAnsi="Arial"/>
                <w:sz w:val="18"/>
                <w:szCs w:val="18"/>
                <w:color w:val="auto"/>
              </w:rPr>
              <w:t>4</w:t>
            </w: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791"/>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Printing, postage and supplies</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771"/>
              <w:spacing w:after="0"/>
              <w:rPr>
                <w:sz w:val="20"/>
                <w:szCs w:val="20"/>
                <w:color w:val="auto"/>
              </w:rPr>
            </w:pPr>
            <w:r>
              <w:rPr>
                <w:rFonts w:ascii="Arial" w:cs="Arial" w:eastAsia="Arial" w:hAnsi="Arial"/>
                <w:sz w:val="18"/>
                <w:szCs w:val="18"/>
                <w:color w:val="auto"/>
              </w:rPr>
              <w:t>2,514</w:t>
            </w:r>
          </w:p>
        </w:tc>
        <w:tc>
          <w:tcPr>
            <w:tcW w:w="13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301</w:t>
            </w: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79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367</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costs of operations</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771"/>
              <w:spacing w:after="0"/>
              <w:rPr>
                <w:sz w:val="20"/>
                <w:szCs w:val="20"/>
                <w:color w:val="auto"/>
              </w:rPr>
            </w:pPr>
            <w:r>
              <w:rPr>
                <w:rFonts w:ascii="Arial" w:cs="Arial" w:eastAsia="Arial" w:hAnsi="Arial"/>
                <w:sz w:val="18"/>
                <w:szCs w:val="18"/>
                <w:color w:val="auto"/>
              </w:rPr>
              <w:t>54,594</w:t>
            </w:r>
          </w:p>
        </w:tc>
        <w:tc>
          <w:tcPr>
            <w:tcW w:w="13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2,110</w:t>
            </w: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jc w:val="right"/>
              <w:ind w:right="791"/>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3,069</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771"/>
              <w:spacing w:after="0"/>
              <w:rPr>
                <w:sz w:val="20"/>
                <w:szCs w:val="20"/>
                <w:color w:val="auto"/>
              </w:rPr>
            </w:pPr>
            <w:r>
              <w:rPr>
                <w:rFonts w:ascii="Arial" w:cs="Arial" w:eastAsia="Arial" w:hAnsi="Arial"/>
                <w:sz w:val="18"/>
                <w:szCs w:val="18"/>
                <w:color w:val="auto"/>
              </w:rPr>
              <w:t>66,457</w:t>
            </w:r>
          </w:p>
        </w:tc>
        <w:tc>
          <w:tcPr>
            <w:tcW w:w="13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2,426</w:t>
            </w:r>
          </w:p>
        </w:tc>
        <w:tc>
          <w:tcPr>
            <w:tcW w:w="12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3,547</w:t>
            </w:r>
          </w:p>
        </w:tc>
        <w:tc>
          <w:tcPr>
            <w:tcW w:w="20" w:type="dxa"/>
            <w:vAlign w:val="bottom"/>
          </w:tcPr>
          <w:p>
            <w:pPr>
              <w:spacing w:after="0"/>
              <w:rPr>
                <w:sz w:val="18"/>
                <w:szCs w:val="18"/>
                <w:color w:val="auto"/>
              </w:rPr>
            </w:pPr>
          </w:p>
        </w:tc>
      </w:tr>
      <w:tr>
        <w:trPr>
          <w:trHeight w:val="20"/>
        </w:trPr>
        <w:tc>
          <w:tcPr>
            <w:tcW w:w="27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Balance sheet data</w:t>
            </w:r>
          </w:p>
        </w:tc>
        <w:tc>
          <w:tcPr>
            <w:tcW w:w="4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 millions</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b w:val="1"/>
                <w:bCs w:val="1"/>
                <w:color w:val="auto"/>
              </w:rPr>
              <w:t>Average assets</w:t>
            </w: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Average assets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771"/>
              <w:spacing w:after="0"/>
              <w:rPr>
                <w:sz w:val="20"/>
                <w:szCs w:val="20"/>
                <w:color w:val="auto"/>
              </w:rPr>
            </w:pPr>
            <w:r>
              <w:rPr>
                <w:rFonts w:ascii="Arial" w:cs="Arial" w:eastAsia="Arial" w:hAnsi="Arial"/>
                <w:sz w:val="18"/>
                <w:szCs w:val="18"/>
                <w:color w:val="auto"/>
              </w:rPr>
              <w:t>66,984</w:t>
            </w:r>
          </w:p>
        </w:tc>
        <w:tc>
          <w:tcPr>
            <w:tcW w:w="13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64,766</w:t>
            </w: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64,942</w:t>
            </w:r>
          </w:p>
        </w:tc>
        <w:tc>
          <w:tcPr>
            <w:tcW w:w="1880" w:type="dxa"/>
            <w:vAlign w:val="bottom"/>
            <w:shd w:val="clear" w:color="auto" w:fill="CCEEFF"/>
          </w:tcPr>
          <w:p>
            <w:pPr>
              <w:jc w:val="right"/>
              <w:ind w:right="791"/>
              <w:spacing w:after="0"/>
              <w:rPr>
                <w:sz w:val="20"/>
                <w:szCs w:val="20"/>
                <w:color w:val="auto"/>
              </w:rPr>
            </w:pPr>
            <w:r>
              <w:rPr>
                <w:rFonts w:ascii="Arial" w:cs="Arial" w:eastAsia="Arial" w:hAnsi="Arial"/>
                <w:sz w:val="18"/>
                <w:szCs w:val="18"/>
                <w:color w:val="auto"/>
              </w:rPr>
              <w:t>64,997</w:t>
            </w:r>
          </w:p>
        </w:tc>
        <w:tc>
          <w:tcPr>
            <w:tcW w:w="11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65,584</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65,015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18"/>
                <w:szCs w:val="18"/>
                <w:color w:val="auto"/>
              </w:rPr>
            </w:pPr>
          </w:p>
        </w:tc>
        <w:tc>
          <w:tcPr>
            <w:tcW w:w="1460" w:type="dxa"/>
            <w:vAlign w:val="bottom"/>
          </w:tcPr>
          <w:p>
            <w:pPr>
              <w:jc w:val="right"/>
              <w:ind w:right="711"/>
              <w:spacing w:after="0"/>
              <w:rPr>
                <w:sz w:val="20"/>
                <w:szCs w:val="20"/>
                <w:color w:val="auto"/>
              </w:rPr>
            </w:pPr>
            <w:r>
              <w:rPr>
                <w:rFonts w:ascii="Arial" w:cs="Arial" w:eastAsia="Arial" w:hAnsi="Arial"/>
                <w:sz w:val="18"/>
                <w:szCs w:val="18"/>
                <w:color w:val="auto"/>
              </w:rPr>
              <w:t>(3,326)</w:t>
            </w:r>
          </w:p>
        </w:tc>
        <w:tc>
          <w:tcPr>
            <w:tcW w:w="1300" w:type="dxa"/>
            <w:vAlign w:val="bottom"/>
          </w:tcPr>
          <w:p>
            <w:pPr>
              <w:jc w:val="right"/>
              <w:ind w:right="550"/>
              <w:spacing w:after="0"/>
              <w:rPr>
                <w:sz w:val="20"/>
                <w:szCs w:val="20"/>
                <w:color w:val="auto"/>
              </w:rPr>
            </w:pPr>
            <w:r>
              <w:rPr>
                <w:rFonts w:ascii="Arial" w:cs="Arial" w:eastAsia="Arial" w:hAnsi="Arial"/>
                <w:sz w:val="18"/>
                <w:szCs w:val="18"/>
                <w:color w:val="auto"/>
              </w:rPr>
              <w:t>(3,192)</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(3,192)</w:t>
            </w:r>
          </w:p>
        </w:tc>
        <w:tc>
          <w:tcPr>
            <w:tcW w:w="1880" w:type="dxa"/>
            <w:vAlign w:val="bottom"/>
          </w:tcPr>
          <w:p>
            <w:pPr>
              <w:jc w:val="right"/>
              <w:ind w:right="731"/>
              <w:spacing w:after="0"/>
              <w:rPr>
                <w:sz w:val="20"/>
                <w:szCs w:val="20"/>
                <w:color w:val="auto"/>
              </w:rPr>
            </w:pPr>
            <w:r>
              <w:rPr>
                <w:rFonts w:ascii="Arial" w:cs="Arial" w:eastAsia="Arial" w:hAnsi="Arial"/>
                <w:sz w:val="18"/>
                <w:szCs w:val="18"/>
                <w:color w:val="auto"/>
              </w:rPr>
              <w:t>(3,192)</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(3,192)</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(3,196)</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Core deposit and other intangible</w:t>
            </w:r>
          </w:p>
        </w:tc>
        <w:tc>
          <w:tcPr>
            <w:tcW w:w="4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w:t>
            </w:r>
          </w:p>
        </w:tc>
        <w:tc>
          <w:tcPr>
            <w:tcW w:w="42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(188)</w:t>
            </w:r>
          </w:p>
        </w:tc>
        <w:tc>
          <w:tcPr>
            <w:tcW w:w="13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(176)</w:t>
            </w:r>
          </w:p>
        </w:tc>
        <w:tc>
          <w:tcPr>
            <w:tcW w:w="12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(191)</w:t>
            </w:r>
          </w:p>
        </w:tc>
        <w:tc>
          <w:tcPr>
            <w:tcW w:w="188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rPr>
              <w:t>(206)</w:t>
            </w:r>
          </w:p>
        </w:tc>
        <w:tc>
          <w:tcPr>
            <w:tcW w:w="11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(222)</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(239)</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taxes</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771"/>
              <w:spacing w:after="0"/>
              <w:rPr>
                <w:sz w:val="20"/>
                <w:szCs w:val="20"/>
                <w:color w:val="auto"/>
              </w:rPr>
            </w:pPr>
            <w:r>
              <w:rPr>
                <w:rFonts w:ascii="Arial" w:cs="Arial" w:eastAsia="Arial" w:hAnsi="Arial"/>
                <w:sz w:val="18"/>
                <w:szCs w:val="18"/>
                <w:color w:val="auto"/>
              </w:rPr>
              <w:t>30</w:t>
            </w:r>
          </w:p>
        </w:tc>
        <w:tc>
          <w:tcPr>
            <w:tcW w:w="13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22</w:t>
            </w: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25</w:t>
            </w:r>
          </w:p>
        </w:tc>
        <w:tc>
          <w:tcPr>
            <w:tcW w:w="1880" w:type="dxa"/>
            <w:vAlign w:val="bottom"/>
            <w:tcBorders>
              <w:bottom w:val="single" w:sz="8" w:color="auto"/>
            </w:tcBorders>
          </w:tcPr>
          <w:p>
            <w:pPr>
              <w:jc w:val="right"/>
              <w:ind w:right="791"/>
              <w:spacing w:after="0"/>
              <w:rPr>
                <w:sz w:val="20"/>
                <w:szCs w:val="20"/>
                <w:color w:val="auto"/>
              </w:rPr>
            </w:pPr>
            <w:r>
              <w:rPr>
                <w:rFonts w:ascii="Arial" w:cs="Arial" w:eastAsia="Arial" w:hAnsi="Arial"/>
                <w:sz w:val="18"/>
                <w:szCs w:val="18"/>
                <w:color w:val="auto"/>
              </w:rPr>
              <w:t>28</w:t>
            </w: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31</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Average tangible assets</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771"/>
              <w:spacing w:after="0"/>
              <w:rPr>
                <w:sz w:val="20"/>
                <w:szCs w:val="20"/>
                <w:color w:val="auto"/>
              </w:rPr>
            </w:pPr>
            <w:r>
              <w:rPr>
                <w:rFonts w:ascii="Arial" w:cs="Arial" w:eastAsia="Arial" w:hAnsi="Arial"/>
                <w:sz w:val="18"/>
                <w:szCs w:val="18"/>
                <w:color w:val="auto"/>
              </w:rPr>
              <w:t>63,500</w:t>
            </w:r>
          </w:p>
        </w:tc>
        <w:tc>
          <w:tcPr>
            <w:tcW w:w="13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61,420</w:t>
            </w:r>
          </w:p>
        </w:tc>
        <w:tc>
          <w:tcPr>
            <w:tcW w:w="12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61,584</w:t>
            </w:r>
          </w:p>
        </w:tc>
        <w:tc>
          <w:tcPr>
            <w:tcW w:w="188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8"/>
                <w:szCs w:val="18"/>
                <w:color w:val="auto"/>
              </w:rPr>
              <w:t>61,627</w:t>
            </w:r>
          </w:p>
        </w:tc>
        <w:tc>
          <w:tcPr>
            <w:tcW w:w="11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62,201</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61,614</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8"/>
                <w:szCs w:val="18"/>
                <w:b w:val="1"/>
                <w:bCs w:val="1"/>
                <w:color w:val="auto"/>
              </w:rPr>
              <w:t>Average common equity</w:t>
            </w: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Average common equity</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771"/>
              <w:spacing w:after="0"/>
              <w:rPr>
                <w:sz w:val="20"/>
                <w:szCs w:val="20"/>
                <w:color w:val="auto"/>
              </w:rPr>
            </w:pPr>
            <w:r>
              <w:rPr>
                <w:rFonts w:ascii="Arial" w:cs="Arial" w:eastAsia="Arial" w:hAnsi="Arial"/>
                <w:sz w:val="18"/>
                <w:szCs w:val="18"/>
                <w:color w:val="auto"/>
              </w:rPr>
              <w:t>6,491</w:t>
            </w:r>
          </w:p>
        </w:tc>
        <w:tc>
          <w:tcPr>
            <w:tcW w:w="13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6,212</w:t>
            </w: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6,299</w:t>
            </w:r>
          </w:p>
        </w:tc>
        <w:tc>
          <w:tcPr>
            <w:tcW w:w="1880" w:type="dxa"/>
            <w:vAlign w:val="bottom"/>
            <w:shd w:val="clear" w:color="auto" w:fill="CCEEFF"/>
          </w:tcPr>
          <w:p>
            <w:pPr>
              <w:jc w:val="right"/>
              <w:ind w:right="791"/>
              <w:spacing w:after="0"/>
              <w:rPr>
                <w:sz w:val="20"/>
                <w:szCs w:val="20"/>
                <w:color w:val="auto"/>
              </w:rPr>
            </w:pPr>
            <w:r>
              <w:rPr>
                <w:rFonts w:ascii="Arial" w:cs="Arial" w:eastAsia="Arial" w:hAnsi="Arial"/>
                <w:sz w:val="18"/>
                <w:szCs w:val="18"/>
                <w:color w:val="auto"/>
              </w:rPr>
              <w:t>6,415</w:t>
            </w:r>
          </w:p>
        </w:tc>
        <w:tc>
          <w:tcPr>
            <w:tcW w:w="11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6,469</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6,513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18"/>
                <w:szCs w:val="18"/>
                <w:color w:val="auto"/>
              </w:rPr>
            </w:pPr>
          </w:p>
        </w:tc>
        <w:tc>
          <w:tcPr>
            <w:tcW w:w="1460" w:type="dxa"/>
            <w:vAlign w:val="bottom"/>
          </w:tcPr>
          <w:p>
            <w:pPr>
              <w:jc w:val="right"/>
              <w:ind w:right="711"/>
              <w:spacing w:after="0"/>
              <w:rPr>
                <w:sz w:val="20"/>
                <w:szCs w:val="20"/>
                <w:color w:val="auto"/>
              </w:rPr>
            </w:pPr>
            <w:r>
              <w:rPr>
                <w:rFonts w:ascii="Arial" w:cs="Arial" w:eastAsia="Arial" w:hAnsi="Arial"/>
                <w:sz w:val="18"/>
                <w:szCs w:val="18"/>
                <w:color w:val="auto"/>
              </w:rPr>
              <w:t>(3,326)</w:t>
            </w:r>
          </w:p>
        </w:tc>
        <w:tc>
          <w:tcPr>
            <w:tcW w:w="1300" w:type="dxa"/>
            <w:vAlign w:val="bottom"/>
          </w:tcPr>
          <w:p>
            <w:pPr>
              <w:jc w:val="right"/>
              <w:ind w:right="550"/>
              <w:spacing w:after="0"/>
              <w:rPr>
                <w:sz w:val="20"/>
                <w:szCs w:val="20"/>
                <w:color w:val="auto"/>
              </w:rPr>
            </w:pPr>
            <w:r>
              <w:rPr>
                <w:rFonts w:ascii="Arial" w:cs="Arial" w:eastAsia="Arial" w:hAnsi="Arial"/>
                <w:sz w:val="18"/>
                <w:szCs w:val="18"/>
                <w:color w:val="auto"/>
              </w:rPr>
              <w:t>(3,192)</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(3,192)</w:t>
            </w:r>
          </w:p>
        </w:tc>
        <w:tc>
          <w:tcPr>
            <w:tcW w:w="1880" w:type="dxa"/>
            <w:vAlign w:val="bottom"/>
          </w:tcPr>
          <w:p>
            <w:pPr>
              <w:jc w:val="right"/>
              <w:ind w:right="731"/>
              <w:spacing w:after="0"/>
              <w:rPr>
                <w:sz w:val="20"/>
                <w:szCs w:val="20"/>
                <w:color w:val="auto"/>
              </w:rPr>
            </w:pPr>
            <w:r>
              <w:rPr>
                <w:rFonts w:ascii="Arial" w:cs="Arial" w:eastAsia="Arial" w:hAnsi="Arial"/>
                <w:sz w:val="18"/>
                <w:szCs w:val="18"/>
                <w:color w:val="auto"/>
              </w:rPr>
              <w:t>(3,192)</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(3,192)</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(3,196)</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Core deposit and other intangible</w:t>
            </w:r>
          </w:p>
        </w:tc>
        <w:tc>
          <w:tcPr>
            <w:tcW w:w="4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w:t>
            </w:r>
          </w:p>
        </w:tc>
        <w:tc>
          <w:tcPr>
            <w:tcW w:w="42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(188)</w:t>
            </w:r>
          </w:p>
        </w:tc>
        <w:tc>
          <w:tcPr>
            <w:tcW w:w="13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(176)</w:t>
            </w:r>
          </w:p>
        </w:tc>
        <w:tc>
          <w:tcPr>
            <w:tcW w:w="12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(191)</w:t>
            </w:r>
          </w:p>
        </w:tc>
        <w:tc>
          <w:tcPr>
            <w:tcW w:w="188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rPr>
              <w:t>(206)</w:t>
            </w:r>
          </w:p>
        </w:tc>
        <w:tc>
          <w:tcPr>
            <w:tcW w:w="11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(222)</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(239)</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taxes</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771"/>
              <w:spacing w:after="0"/>
              <w:rPr>
                <w:sz w:val="20"/>
                <w:szCs w:val="20"/>
                <w:color w:val="auto"/>
              </w:rPr>
            </w:pPr>
            <w:r>
              <w:rPr>
                <w:rFonts w:ascii="Arial" w:cs="Arial" w:eastAsia="Arial" w:hAnsi="Arial"/>
                <w:sz w:val="18"/>
                <w:szCs w:val="18"/>
                <w:color w:val="auto"/>
              </w:rPr>
              <w:t>30</w:t>
            </w:r>
          </w:p>
        </w:tc>
        <w:tc>
          <w:tcPr>
            <w:tcW w:w="13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22</w:t>
            </w: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25</w:t>
            </w:r>
          </w:p>
        </w:tc>
        <w:tc>
          <w:tcPr>
            <w:tcW w:w="1880" w:type="dxa"/>
            <w:vAlign w:val="bottom"/>
            <w:tcBorders>
              <w:bottom w:val="single" w:sz="8" w:color="auto"/>
            </w:tcBorders>
          </w:tcPr>
          <w:p>
            <w:pPr>
              <w:jc w:val="right"/>
              <w:ind w:right="791"/>
              <w:spacing w:after="0"/>
              <w:rPr>
                <w:sz w:val="20"/>
                <w:szCs w:val="20"/>
                <w:color w:val="auto"/>
              </w:rPr>
            </w:pPr>
            <w:r>
              <w:rPr>
                <w:rFonts w:ascii="Arial" w:cs="Arial" w:eastAsia="Arial" w:hAnsi="Arial"/>
                <w:sz w:val="18"/>
                <w:szCs w:val="18"/>
                <w:color w:val="auto"/>
              </w:rPr>
              <w:t>28</w:t>
            </w: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31</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27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Average tangible common</w:t>
            </w:r>
          </w:p>
        </w:tc>
        <w:tc>
          <w:tcPr>
            <w:tcW w:w="4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equity</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771"/>
              <w:spacing w:after="0"/>
              <w:rPr>
                <w:sz w:val="20"/>
                <w:szCs w:val="20"/>
                <w:color w:val="auto"/>
              </w:rPr>
            </w:pPr>
            <w:r>
              <w:rPr>
                <w:rFonts w:ascii="Arial" w:cs="Arial" w:eastAsia="Arial" w:hAnsi="Arial"/>
                <w:sz w:val="18"/>
                <w:szCs w:val="18"/>
                <w:color w:val="auto"/>
              </w:rPr>
              <w:t>3,007</w:t>
            </w:r>
          </w:p>
        </w:tc>
        <w:tc>
          <w:tcPr>
            <w:tcW w:w="13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2,866</w:t>
            </w:r>
          </w:p>
        </w:tc>
        <w:tc>
          <w:tcPr>
            <w:tcW w:w="12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2,941</w:t>
            </w:r>
          </w:p>
        </w:tc>
        <w:tc>
          <w:tcPr>
            <w:tcW w:w="188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8"/>
                <w:szCs w:val="18"/>
                <w:color w:val="auto"/>
              </w:rPr>
              <w:t>3,045</w:t>
            </w:r>
          </w:p>
        </w:tc>
        <w:tc>
          <w:tcPr>
            <w:tcW w:w="11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3,086</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3,112</w:t>
            </w:r>
          </w:p>
        </w:tc>
        <w:tc>
          <w:tcPr>
            <w:tcW w:w="20" w:type="dxa"/>
            <w:vAlign w:val="bottom"/>
          </w:tcPr>
          <w:p>
            <w:pPr>
              <w:spacing w:after="0"/>
              <w:rPr>
                <w:sz w:val="20"/>
                <w:szCs w:val="20"/>
                <w:color w:val="auto"/>
              </w:rPr>
            </w:pPr>
          </w:p>
        </w:tc>
      </w:tr>
      <w:tr>
        <w:trPr>
          <w:trHeight w:val="20"/>
        </w:trPr>
        <w:tc>
          <w:tcPr>
            <w:tcW w:w="27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At end of quarter</w:t>
            </w:r>
          </w:p>
        </w:tc>
        <w:tc>
          <w:tcPr>
            <w:tcW w:w="4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Total assets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71"/>
              <w:spacing w:after="0"/>
              <w:rPr>
                <w:sz w:val="20"/>
                <w:szCs w:val="20"/>
                <w:color w:val="auto"/>
              </w:rPr>
            </w:pPr>
            <w:r>
              <w:rPr>
                <w:rFonts w:ascii="Arial" w:cs="Arial" w:eastAsia="Arial" w:hAnsi="Arial"/>
                <w:sz w:val="18"/>
                <w:szCs w:val="18"/>
                <w:color w:val="auto"/>
              </w:rPr>
              <w:t>69,913</w:t>
            </w:r>
          </w:p>
        </w:tc>
        <w:tc>
          <w:tcPr>
            <w:tcW w:w="1300" w:type="dxa"/>
            <w:vAlign w:val="bottom"/>
          </w:tcPr>
          <w:p>
            <w:pPr>
              <w:jc w:val="right"/>
              <w:ind w:right="610"/>
              <w:spacing w:after="0"/>
              <w:rPr>
                <w:sz w:val="20"/>
                <w:szCs w:val="20"/>
                <w:color w:val="auto"/>
              </w:rPr>
            </w:pPr>
            <w:r>
              <w:rPr>
                <w:rFonts w:ascii="Arial" w:cs="Arial" w:eastAsia="Arial" w:hAnsi="Arial"/>
                <w:sz w:val="18"/>
                <w:szCs w:val="18"/>
                <w:color w:val="auto"/>
              </w:rPr>
              <w:t>64,883</w:t>
            </w: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65,816</w:t>
            </w:r>
          </w:p>
        </w:tc>
        <w:tc>
          <w:tcPr>
            <w:tcW w:w="1880" w:type="dxa"/>
            <w:vAlign w:val="bottom"/>
          </w:tcPr>
          <w:p>
            <w:pPr>
              <w:jc w:val="right"/>
              <w:ind w:right="791"/>
              <w:spacing w:after="0"/>
              <w:rPr>
                <w:sz w:val="20"/>
                <w:szCs w:val="20"/>
                <w:color w:val="auto"/>
              </w:rPr>
            </w:pPr>
            <w:r>
              <w:rPr>
                <w:rFonts w:ascii="Arial" w:cs="Arial" w:eastAsia="Arial" w:hAnsi="Arial"/>
                <w:sz w:val="18"/>
                <w:szCs w:val="18"/>
                <w:color w:val="auto"/>
              </w:rPr>
              <w:t>65,247</w:t>
            </w:r>
          </w:p>
        </w:tc>
        <w:tc>
          <w:tcPr>
            <w:tcW w:w="1100" w:type="dxa"/>
            <w:vAlign w:val="bottom"/>
          </w:tcPr>
          <w:p>
            <w:pPr>
              <w:jc w:val="right"/>
              <w:ind w:right="410"/>
              <w:spacing w:after="0"/>
              <w:rPr>
                <w:sz w:val="20"/>
                <w:szCs w:val="20"/>
                <w:color w:val="auto"/>
              </w:rPr>
            </w:pPr>
            <w:r>
              <w:rPr>
                <w:rFonts w:ascii="Arial" w:cs="Arial" w:eastAsia="Arial" w:hAnsi="Arial"/>
                <w:sz w:val="18"/>
                <w:szCs w:val="18"/>
                <w:color w:val="auto"/>
              </w:rPr>
              <w:t>65,893</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66,086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(3,525)</w:t>
            </w:r>
          </w:p>
        </w:tc>
        <w:tc>
          <w:tcPr>
            <w:tcW w:w="13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(3,192)</w:t>
            </w:r>
          </w:p>
        </w:tc>
        <w:tc>
          <w:tcPr>
            <w:tcW w:w="12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(3,192)</w:t>
            </w:r>
          </w:p>
        </w:tc>
        <w:tc>
          <w:tcPr>
            <w:tcW w:w="188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rPr>
              <w:t>(3,192)</w:t>
            </w:r>
          </w:p>
        </w:tc>
        <w:tc>
          <w:tcPr>
            <w:tcW w:w="11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(3,192)</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(3,192)</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700" w:type="dxa"/>
            <w:vAlign w:val="bottom"/>
          </w:tcPr>
          <w:p>
            <w:pPr>
              <w:spacing w:after="0" w:line="201" w:lineRule="exact"/>
              <w:rPr>
                <w:sz w:val="20"/>
                <w:szCs w:val="20"/>
                <w:color w:val="auto"/>
              </w:rPr>
            </w:pPr>
            <w:r>
              <w:rPr>
                <w:rFonts w:ascii="Arial" w:cs="Arial" w:eastAsia="Arial" w:hAnsi="Arial"/>
                <w:sz w:val="18"/>
                <w:szCs w:val="18"/>
                <w:color w:val="auto"/>
              </w:rPr>
              <w:t>Core deposit and other intangible</w:t>
            </w:r>
          </w:p>
        </w:tc>
        <w:tc>
          <w:tcPr>
            <w:tcW w:w="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00" w:type="dxa"/>
            <w:vAlign w:val="bottom"/>
          </w:tcPr>
          <w:p>
            <w:pPr>
              <w:ind w:left="200"/>
              <w:spacing w:after="0"/>
              <w:rPr>
                <w:sz w:val="20"/>
                <w:szCs w:val="20"/>
                <w:color w:val="auto"/>
              </w:rPr>
            </w:pPr>
            <w:r>
              <w:rPr>
                <w:rFonts w:ascii="Arial" w:cs="Arial" w:eastAsia="Arial" w:hAnsi="Arial"/>
                <w:sz w:val="18"/>
                <w:szCs w:val="18"/>
                <w:color w:val="auto"/>
              </w:rPr>
              <w:t>assets</w:t>
            </w:r>
          </w:p>
        </w:tc>
        <w:tc>
          <w:tcPr>
            <w:tcW w:w="420" w:type="dxa"/>
            <w:vAlign w:val="bottom"/>
          </w:tcPr>
          <w:p>
            <w:pPr>
              <w:spacing w:after="0"/>
              <w:rPr>
                <w:sz w:val="20"/>
                <w:szCs w:val="20"/>
                <w:color w:val="auto"/>
              </w:rPr>
            </w:pPr>
          </w:p>
        </w:tc>
        <w:tc>
          <w:tcPr>
            <w:tcW w:w="1460" w:type="dxa"/>
            <w:vAlign w:val="bottom"/>
          </w:tcPr>
          <w:p>
            <w:pPr>
              <w:jc w:val="right"/>
              <w:ind w:right="711"/>
              <w:spacing w:after="0"/>
              <w:rPr>
                <w:sz w:val="20"/>
                <w:szCs w:val="20"/>
                <w:color w:val="auto"/>
              </w:rPr>
            </w:pPr>
            <w:r>
              <w:rPr>
                <w:rFonts w:ascii="Arial" w:cs="Arial" w:eastAsia="Arial" w:hAnsi="Arial"/>
                <w:sz w:val="18"/>
                <w:szCs w:val="18"/>
                <w:color w:val="auto"/>
              </w:rPr>
              <w:t>(216)</w:t>
            </w:r>
          </w:p>
        </w:tc>
        <w:tc>
          <w:tcPr>
            <w:tcW w:w="1300" w:type="dxa"/>
            <w:vAlign w:val="bottom"/>
          </w:tcPr>
          <w:p>
            <w:pPr>
              <w:jc w:val="right"/>
              <w:ind w:right="550"/>
              <w:spacing w:after="0"/>
              <w:rPr>
                <w:sz w:val="20"/>
                <w:szCs w:val="20"/>
                <w:color w:val="auto"/>
              </w:rPr>
            </w:pPr>
            <w:r>
              <w:rPr>
                <w:rFonts w:ascii="Arial" w:cs="Arial" w:eastAsia="Arial" w:hAnsi="Arial"/>
                <w:sz w:val="18"/>
                <w:szCs w:val="18"/>
                <w:color w:val="auto"/>
              </w:rPr>
              <w:t>(168)</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(183)</w:t>
            </w:r>
          </w:p>
        </w:tc>
        <w:tc>
          <w:tcPr>
            <w:tcW w:w="1880" w:type="dxa"/>
            <w:vAlign w:val="bottom"/>
          </w:tcPr>
          <w:p>
            <w:pPr>
              <w:jc w:val="right"/>
              <w:ind w:right="731"/>
              <w:spacing w:after="0"/>
              <w:rPr>
                <w:sz w:val="20"/>
                <w:szCs w:val="20"/>
                <w:color w:val="auto"/>
              </w:rPr>
            </w:pPr>
            <w:r>
              <w:rPr>
                <w:rFonts w:ascii="Arial" w:cs="Arial" w:eastAsia="Arial" w:hAnsi="Arial"/>
                <w:sz w:val="18"/>
                <w:szCs w:val="18"/>
                <w:color w:val="auto"/>
              </w:rPr>
              <w:t>(199)</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(214)</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4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771"/>
              <w:spacing w:after="0"/>
              <w:rPr>
                <w:sz w:val="20"/>
                <w:szCs w:val="20"/>
                <w:color w:val="auto"/>
              </w:rPr>
            </w:pPr>
            <w:r>
              <w:rPr>
                <w:rFonts w:ascii="Arial" w:cs="Arial" w:eastAsia="Arial" w:hAnsi="Arial"/>
                <w:sz w:val="18"/>
                <w:szCs w:val="18"/>
                <w:color w:val="auto"/>
              </w:rPr>
              <w:t>43</w:t>
            </w:r>
          </w:p>
        </w:tc>
        <w:tc>
          <w:tcPr>
            <w:tcW w:w="13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21</w:t>
            </w:r>
          </w:p>
        </w:tc>
        <w:tc>
          <w:tcPr>
            <w:tcW w:w="12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23</w:t>
            </w:r>
          </w:p>
        </w:tc>
        <w:tc>
          <w:tcPr>
            <w:tcW w:w="188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8"/>
                <w:szCs w:val="18"/>
                <w:color w:val="auto"/>
              </w:rPr>
              <w:t>27</w:t>
            </w:r>
          </w:p>
        </w:tc>
        <w:tc>
          <w:tcPr>
            <w:tcW w:w="11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30</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7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 tangible assets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771"/>
              <w:spacing w:after="0"/>
              <w:rPr>
                <w:sz w:val="20"/>
                <w:szCs w:val="20"/>
                <w:color w:val="auto"/>
              </w:rPr>
            </w:pPr>
            <w:r>
              <w:rPr>
                <w:rFonts w:ascii="Arial" w:cs="Arial" w:eastAsia="Arial" w:hAnsi="Arial"/>
                <w:sz w:val="18"/>
                <w:szCs w:val="18"/>
                <w:color w:val="auto"/>
              </w:rPr>
              <w:t>66,215</w:t>
            </w:r>
          </w:p>
        </w:tc>
        <w:tc>
          <w:tcPr>
            <w:tcW w:w="13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61,544</w:t>
            </w: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62,464</w:t>
            </w:r>
          </w:p>
        </w:tc>
        <w:tc>
          <w:tcPr>
            <w:tcW w:w="1880" w:type="dxa"/>
            <w:vAlign w:val="bottom"/>
            <w:tcBorders>
              <w:bottom w:val="single" w:sz="8" w:color="auto"/>
            </w:tcBorders>
          </w:tcPr>
          <w:p>
            <w:pPr>
              <w:jc w:val="right"/>
              <w:ind w:right="791"/>
              <w:spacing w:after="0"/>
              <w:rPr>
                <w:sz w:val="20"/>
                <w:szCs w:val="20"/>
                <w:color w:val="auto"/>
              </w:rPr>
            </w:pPr>
            <w:r>
              <w:rPr>
                <w:rFonts w:ascii="Arial" w:cs="Arial" w:eastAsia="Arial" w:hAnsi="Arial"/>
                <w:sz w:val="18"/>
                <w:szCs w:val="18"/>
                <w:color w:val="auto"/>
              </w:rPr>
              <w:t>61,883</w:t>
            </w: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62,517</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62,696</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common equity</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Total common equity</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71"/>
              <w:spacing w:after="0"/>
              <w:rPr>
                <w:sz w:val="20"/>
                <w:szCs w:val="20"/>
                <w:color w:val="auto"/>
              </w:rPr>
            </w:pPr>
            <w:r>
              <w:rPr>
                <w:rFonts w:ascii="Arial" w:cs="Arial" w:eastAsia="Arial" w:hAnsi="Arial"/>
                <w:sz w:val="18"/>
                <w:szCs w:val="18"/>
                <w:color w:val="auto"/>
              </w:rPr>
              <w:t>6,669</w:t>
            </w:r>
          </w:p>
        </w:tc>
        <w:tc>
          <w:tcPr>
            <w:tcW w:w="1300" w:type="dxa"/>
            <w:vAlign w:val="bottom"/>
          </w:tcPr>
          <w:p>
            <w:pPr>
              <w:jc w:val="right"/>
              <w:ind w:right="610"/>
              <w:spacing w:after="0"/>
              <w:rPr>
                <w:sz w:val="20"/>
                <w:szCs w:val="20"/>
                <w:color w:val="auto"/>
              </w:rPr>
            </w:pPr>
            <w:r>
              <w:rPr>
                <w:rFonts w:ascii="Arial" w:cs="Arial" w:eastAsia="Arial" w:hAnsi="Arial"/>
                <w:sz w:val="18"/>
                <w:szCs w:val="18"/>
                <w:color w:val="auto"/>
              </w:rPr>
              <w:t>6,329</w:t>
            </w: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6,217</w:t>
            </w:r>
          </w:p>
        </w:tc>
        <w:tc>
          <w:tcPr>
            <w:tcW w:w="1880" w:type="dxa"/>
            <w:vAlign w:val="bottom"/>
          </w:tcPr>
          <w:p>
            <w:pPr>
              <w:jc w:val="right"/>
              <w:ind w:right="791"/>
              <w:spacing w:after="0"/>
              <w:rPr>
                <w:sz w:val="20"/>
                <w:szCs w:val="20"/>
                <w:color w:val="auto"/>
              </w:rPr>
            </w:pPr>
            <w:r>
              <w:rPr>
                <w:rFonts w:ascii="Arial" w:cs="Arial" w:eastAsia="Arial" w:hAnsi="Arial"/>
                <w:sz w:val="18"/>
                <w:szCs w:val="18"/>
                <w:color w:val="auto"/>
              </w:rPr>
              <w:t>6,417</w:t>
            </w:r>
          </w:p>
        </w:tc>
        <w:tc>
          <w:tcPr>
            <w:tcW w:w="1100" w:type="dxa"/>
            <w:vAlign w:val="bottom"/>
          </w:tcPr>
          <w:p>
            <w:pPr>
              <w:jc w:val="right"/>
              <w:ind w:right="410"/>
              <w:spacing w:after="0"/>
              <w:rPr>
                <w:sz w:val="20"/>
                <w:szCs w:val="20"/>
                <w:color w:val="auto"/>
              </w:rPr>
            </w:pPr>
            <w:r>
              <w:rPr>
                <w:rFonts w:ascii="Arial" w:cs="Arial" w:eastAsia="Arial" w:hAnsi="Arial"/>
                <w:sz w:val="18"/>
                <w:szCs w:val="18"/>
                <w:color w:val="auto"/>
              </w:rPr>
              <w:t>6,519</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6,488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(3,525)</w:t>
            </w:r>
          </w:p>
        </w:tc>
        <w:tc>
          <w:tcPr>
            <w:tcW w:w="13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(3,192)</w:t>
            </w:r>
          </w:p>
        </w:tc>
        <w:tc>
          <w:tcPr>
            <w:tcW w:w="12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(3,192)</w:t>
            </w:r>
          </w:p>
        </w:tc>
        <w:tc>
          <w:tcPr>
            <w:tcW w:w="188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rPr>
              <w:t>(3,192)</w:t>
            </w:r>
          </w:p>
        </w:tc>
        <w:tc>
          <w:tcPr>
            <w:tcW w:w="11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(3,192)</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(3,192)</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700" w:type="dxa"/>
            <w:vAlign w:val="bottom"/>
          </w:tcPr>
          <w:p>
            <w:pPr>
              <w:spacing w:after="0" w:line="201" w:lineRule="exact"/>
              <w:rPr>
                <w:sz w:val="20"/>
                <w:szCs w:val="20"/>
                <w:color w:val="auto"/>
              </w:rPr>
            </w:pPr>
            <w:r>
              <w:rPr>
                <w:rFonts w:ascii="Arial" w:cs="Arial" w:eastAsia="Arial" w:hAnsi="Arial"/>
                <w:sz w:val="18"/>
                <w:szCs w:val="18"/>
                <w:color w:val="auto"/>
              </w:rPr>
              <w:t>Core deposit and other intangible</w:t>
            </w:r>
          </w:p>
        </w:tc>
        <w:tc>
          <w:tcPr>
            <w:tcW w:w="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00" w:type="dxa"/>
            <w:vAlign w:val="bottom"/>
          </w:tcPr>
          <w:p>
            <w:pPr>
              <w:ind w:left="200"/>
              <w:spacing w:after="0"/>
              <w:rPr>
                <w:sz w:val="20"/>
                <w:szCs w:val="20"/>
                <w:color w:val="auto"/>
              </w:rPr>
            </w:pPr>
            <w:r>
              <w:rPr>
                <w:rFonts w:ascii="Arial" w:cs="Arial" w:eastAsia="Arial" w:hAnsi="Arial"/>
                <w:sz w:val="18"/>
                <w:szCs w:val="18"/>
                <w:color w:val="auto"/>
              </w:rPr>
              <w:t>assets</w:t>
            </w:r>
          </w:p>
        </w:tc>
        <w:tc>
          <w:tcPr>
            <w:tcW w:w="420" w:type="dxa"/>
            <w:vAlign w:val="bottom"/>
          </w:tcPr>
          <w:p>
            <w:pPr>
              <w:spacing w:after="0"/>
              <w:rPr>
                <w:sz w:val="20"/>
                <w:szCs w:val="20"/>
                <w:color w:val="auto"/>
              </w:rPr>
            </w:pPr>
          </w:p>
        </w:tc>
        <w:tc>
          <w:tcPr>
            <w:tcW w:w="1460" w:type="dxa"/>
            <w:vAlign w:val="bottom"/>
          </w:tcPr>
          <w:p>
            <w:pPr>
              <w:jc w:val="right"/>
              <w:ind w:right="711"/>
              <w:spacing w:after="0"/>
              <w:rPr>
                <w:sz w:val="20"/>
                <w:szCs w:val="20"/>
                <w:color w:val="auto"/>
              </w:rPr>
            </w:pPr>
            <w:r>
              <w:rPr>
                <w:rFonts w:ascii="Arial" w:cs="Arial" w:eastAsia="Arial" w:hAnsi="Arial"/>
                <w:sz w:val="18"/>
                <w:szCs w:val="18"/>
                <w:color w:val="auto"/>
              </w:rPr>
              <w:t>(216)</w:t>
            </w:r>
          </w:p>
        </w:tc>
        <w:tc>
          <w:tcPr>
            <w:tcW w:w="1300" w:type="dxa"/>
            <w:vAlign w:val="bottom"/>
          </w:tcPr>
          <w:p>
            <w:pPr>
              <w:jc w:val="right"/>
              <w:ind w:right="550"/>
              <w:spacing w:after="0"/>
              <w:rPr>
                <w:sz w:val="20"/>
                <w:szCs w:val="20"/>
                <w:color w:val="auto"/>
              </w:rPr>
            </w:pPr>
            <w:r>
              <w:rPr>
                <w:rFonts w:ascii="Arial" w:cs="Arial" w:eastAsia="Arial" w:hAnsi="Arial"/>
                <w:sz w:val="18"/>
                <w:szCs w:val="18"/>
                <w:color w:val="auto"/>
              </w:rPr>
              <w:t>(168)</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(183)</w:t>
            </w:r>
          </w:p>
        </w:tc>
        <w:tc>
          <w:tcPr>
            <w:tcW w:w="1880" w:type="dxa"/>
            <w:vAlign w:val="bottom"/>
          </w:tcPr>
          <w:p>
            <w:pPr>
              <w:jc w:val="right"/>
              <w:ind w:right="731"/>
              <w:spacing w:after="0"/>
              <w:rPr>
                <w:sz w:val="20"/>
                <w:szCs w:val="20"/>
                <w:color w:val="auto"/>
              </w:rPr>
            </w:pPr>
            <w:r>
              <w:rPr>
                <w:rFonts w:ascii="Arial" w:cs="Arial" w:eastAsia="Arial" w:hAnsi="Arial"/>
                <w:sz w:val="18"/>
                <w:szCs w:val="18"/>
                <w:color w:val="auto"/>
              </w:rPr>
              <w:t>(199)</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(214)</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4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771"/>
              <w:spacing w:after="0"/>
              <w:rPr>
                <w:sz w:val="20"/>
                <w:szCs w:val="20"/>
                <w:color w:val="auto"/>
              </w:rPr>
            </w:pPr>
            <w:r>
              <w:rPr>
                <w:rFonts w:ascii="Arial" w:cs="Arial" w:eastAsia="Arial" w:hAnsi="Arial"/>
                <w:sz w:val="18"/>
                <w:szCs w:val="18"/>
                <w:color w:val="auto"/>
              </w:rPr>
              <w:t>43</w:t>
            </w:r>
          </w:p>
        </w:tc>
        <w:tc>
          <w:tcPr>
            <w:tcW w:w="13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21</w:t>
            </w:r>
          </w:p>
        </w:tc>
        <w:tc>
          <w:tcPr>
            <w:tcW w:w="12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23</w:t>
            </w:r>
          </w:p>
        </w:tc>
        <w:tc>
          <w:tcPr>
            <w:tcW w:w="188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8"/>
                <w:szCs w:val="18"/>
                <w:color w:val="auto"/>
              </w:rPr>
              <w:t>27</w:t>
            </w:r>
          </w:p>
        </w:tc>
        <w:tc>
          <w:tcPr>
            <w:tcW w:w="11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30</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7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 tangible common equity</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771"/>
              <w:spacing w:after="0"/>
              <w:rPr>
                <w:sz w:val="20"/>
                <w:szCs w:val="20"/>
                <w:color w:val="auto"/>
              </w:rPr>
            </w:pPr>
            <w:r>
              <w:rPr>
                <w:rFonts w:ascii="Arial" w:cs="Arial" w:eastAsia="Arial" w:hAnsi="Arial"/>
                <w:sz w:val="18"/>
                <w:szCs w:val="18"/>
                <w:color w:val="auto"/>
              </w:rPr>
              <w:t>2,971</w:t>
            </w:r>
          </w:p>
        </w:tc>
        <w:tc>
          <w:tcPr>
            <w:tcW w:w="13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2,990</w:t>
            </w: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2,865</w:t>
            </w:r>
          </w:p>
        </w:tc>
        <w:tc>
          <w:tcPr>
            <w:tcW w:w="1880" w:type="dxa"/>
            <w:vAlign w:val="bottom"/>
            <w:tcBorders>
              <w:bottom w:val="single" w:sz="8" w:color="auto"/>
            </w:tcBorders>
          </w:tcPr>
          <w:p>
            <w:pPr>
              <w:jc w:val="right"/>
              <w:ind w:right="791"/>
              <w:spacing w:after="0"/>
              <w:rPr>
                <w:sz w:val="20"/>
                <w:szCs w:val="20"/>
                <w:color w:val="auto"/>
              </w:rPr>
            </w:pPr>
            <w:r>
              <w:rPr>
                <w:rFonts w:ascii="Arial" w:cs="Arial" w:eastAsia="Arial" w:hAnsi="Arial"/>
                <w:sz w:val="18"/>
                <w:szCs w:val="18"/>
                <w:color w:val="auto"/>
              </w:rPr>
              <w:t>3,053</w:t>
            </w: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3,143</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3,098</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7"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After any related tax effect.</w:t>
      </w:r>
    </w:p>
    <w:p>
      <w:pPr>
        <w:sectPr>
          <w:pgSz w:w="11900" w:h="16838" w:orient="portrait"/>
          <w:cols w:equalWidth="0" w:num="1">
            <w:col w:w="11420"/>
          </w:cols>
          <w:pgMar w:left="240" w:top="419" w:right="239" w:bottom="0" w:gutter="0" w:footer="0" w:header="0"/>
        </w:sectPr>
      </w:pPr>
    </w:p>
    <w:bookmarkStart w:id="88" w:name="page89"/>
    <w:bookmarkEnd w:id="88"/>
    <w:p>
      <w:pPr>
        <w:jc w:val="center"/>
        <w:spacing w:after="0"/>
        <w:rPr>
          <w:sz w:val="20"/>
          <w:szCs w:val="20"/>
          <w:color w:val="auto"/>
        </w:rPr>
      </w:pPr>
      <w:r>
        <w:rPr>
          <w:rFonts w:ascii="Arial" w:cs="Arial" w:eastAsia="Arial" w:hAnsi="Arial"/>
          <w:sz w:val="16"/>
          <w:szCs w:val="16"/>
          <w:color w:val="auto"/>
        </w:rPr>
        <w:t>- 86 -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Table 3</w:t>
            </w:r>
          </w:p>
        </w:tc>
        <w:tc>
          <w:tcPr>
            <w:tcW w:w="0" w:type="dxa"/>
            <w:vAlign w:val="bottom"/>
          </w:tcPr>
          <w:p>
            <w:pPr>
              <w:spacing w:after="0"/>
              <w:rPr>
                <w:sz w:val="1"/>
                <w:szCs w:val="1"/>
                <w:color w:val="auto"/>
              </w:rPr>
            </w:pPr>
          </w:p>
        </w:tc>
      </w:tr>
      <w:tr>
        <w:trPr>
          <w:trHeight w:val="432"/>
        </w:trPr>
        <w:tc>
          <w:tcPr>
            <w:tcW w:w="7860" w:type="dxa"/>
            <w:vAlign w:val="bottom"/>
            <w:gridSpan w:val="8"/>
          </w:tcPr>
          <w:p>
            <w:pPr>
              <w:spacing w:after="0"/>
              <w:rPr>
                <w:sz w:val="20"/>
                <w:szCs w:val="20"/>
                <w:color w:val="auto"/>
              </w:rPr>
            </w:pPr>
            <w:r>
              <w:rPr>
                <w:rFonts w:ascii="Arial" w:cs="Arial" w:eastAsia="Arial" w:hAnsi="Arial"/>
                <w:sz w:val="18"/>
                <w:szCs w:val="18"/>
                <w:color w:val="auto"/>
              </w:rPr>
              <w:t>AVERAGE BALANCE SHEETS AND ANNUALIZED TAXABLE-EQUIVALENT RATES</w:t>
            </w: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w w:val="91"/>
              </w:rPr>
              <w:t>Average</w:t>
            </w:r>
          </w:p>
        </w:tc>
        <w:tc>
          <w:tcPr>
            <w:tcW w:w="1320" w:type="dxa"/>
            <w:vAlign w:val="bottom"/>
          </w:tcPr>
          <w:p>
            <w:pPr>
              <w:jc w:val="right"/>
              <w:spacing w:after="0"/>
              <w:rPr>
                <w:sz w:val="20"/>
                <w:szCs w:val="20"/>
                <w:color w:val="auto"/>
              </w:rPr>
            </w:pPr>
            <w:r>
              <w:rPr>
                <w:rFonts w:ascii="Arial" w:cs="Arial" w:eastAsia="Arial" w:hAnsi="Arial"/>
                <w:sz w:val="14"/>
                <w:szCs w:val="14"/>
                <w:color w:val="auto"/>
                <w:w w:val="91"/>
              </w:rPr>
              <w:t>2009 Second Quarter</w:t>
            </w:r>
          </w:p>
        </w:tc>
        <w:tc>
          <w:tcPr>
            <w:tcW w:w="760" w:type="dxa"/>
            <w:vAlign w:val="bottom"/>
            <w:vMerge w:val="restart"/>
          </w:tcPr>
          <w:p>
            <w:pPr>
              <w:jc w:val="right"/>
              <w:ind w:right="111"/>
              <w:spacing w:after="0"/>
              <w:rPr>
                <w:sz w:val="20"/>
                <w:szCs w:val="20"/>
                <w:color w:val="auto"/>
              </w:rPr>
            </w:pPr>
            <w:r>
              <w:rPr>
                <w:rFonts w:ascii="Arial" w:cs="Arial" w:eastAsia="Arial" w:hAnsi="Arial"/>
                <w:sz w:val="14"/>
                <w:szCs w:val="14"/>
                <w:color w:val="auto"/>
              </w:rPr>
              <w:t>Average</w:t>
            </w:r>
          </w:p>
        </w:tc>
        <w:tc>
          <w:tcPr>
            <w:tcW w:w="800" w:type="dxa"/>
            <w:vAlign w:val="bottom"/>
            <w:vMerge w:val="restart"/>
          </w:tcPr>
          <w:p>
            <w:pPr>
              <w:jc w:val="right"/>
              <w:ind w:right="11"/>
              <w:spacing w:after="0"/>
              <w:rPr>
                <w:sz w:val="20"/>
                <w:szCs w:val="20"/>
                <w:color w:val="auto"/>
              </w:rPr>
            </w:pPr>
            <w:r>
              <w:rPr>
                <w:rFonts w:ascii="Arial" w:cs="Arial" w:eastAsia="Arial" w:hAnsi="Arial"/>
                <w:sz w:val="14"/>
                <w:szCs w:val="14"/>
                <w:color w:val="auto"/>
              </w:rPr>
              <w:t>Average</w:t>
            </w:r>
          </w:p>
        </w:tc>
        <w:tc>
          <w:tcPr>
            <w:tcW w:w="1240" w:type="dxa"/>
            <w:vAlign w:val="bottom"/>
          </w:tcPr>
          <w:p>
            <w:pPr>
              <w:jc w:val="right"/>
              <w:ind w:right="11"/>
              <w:spacing w:after="0"/>
              <w:rPr>
                <w:sz w:val="20"/>
                <w:szCs w:val="20"/>
                <w:color w:val="auto"/>
              </w:rPr>
            </w:pPr>
            <w:r>
              <w:rPr>
                <w:rFonts w:ascii="Arial" w:cs="Arial" w:eastAsia="Arial" w:hAnsi="Arial"/>
                <w:sz w:val="14"/>
                <w:szCs w:val="14"/>
                <w:color w:val="auto"/>
                <w:w w:val="98"/>
              </w:rPr>
              <w:t>2009 First Quarter</w:t>
            </w:r>
          </w:p>
        </w:tc>
        <w:tc>
          <w:tcPr>
            <w:tcW w:w="800" w:type="dxa"/>
            <w:vAlign w:val="bottom"/>
            <w:vMerge w:val="restart"/>
          </w:tcPr>
          <w:p>
            <w:pPr>
              <w:jc w:val="right"/>
              <w:ind w:right="111"/>
              <w:spacing w:after="0"/>
              <w:rPr>
                <w:sz w:val="20"/>
                <w:szCs w:val="20"/>
                <w:color w:val="auto"/>
              </w:rPr>
            </w:pPr>
            <w:r>
              <w:rPr>
                <w:rFonts w:ascii="Arial" w:cs="Arial" w:eastAsia="Arial" w:hAnsi="Arial"/>
                <w:sz w:val="14"/>
                <w:szCs w:val="14"/>
                <w:color w:val="auto"/>
              </w:rPr>
              <w:t>Average</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Average</w:t>
            </w:r>
          </w:p>
        </w:tc>
        <w:tc>
          <w:tcPr>
            <w:tcW w:w="1300" w:type="dxa"/>
            <w:vAlign w:val="bottom"/>
          </w:tcPr>
          <w:p>
            <w:pPr>
              <w:jc w:val="right"/>
              <w:spacing w:after="0"/>
              <w:rPr>
                <w:sz w:val="20"/>
                <w:szCs w:val="20"/>
                <w:color w:val="auto"/>
              </w:rPr>
            </w:pPr>
            <w:r>
              <w:rPr>
                <w:rFonts w:ascii="Arial" w:cs="Arial" w:eastAsia="Arial" w:hAnsi="Arial"/>
                <w:sz w:val="14"/>
                <w:szCs w:val="14"/>
                <w:color w:val="auto"/>
                <w:w w:val="94"/>
              </w:rPr>
              <w:t>2008 Fourth Quarter</w:t>
            </w:r>
          </w:p>
        </w:tc>
        <w:tc>
          <w:tcPr>
            <w:tcW w:w="680" w:type="dxa"/>
            <w:vAlign w:val="bottom"/>
            <w:vMerge w:val="restart"/>
          </w:tcPr>
          <w:p>
            <w:pPr>
              <w:jc w:val="right"/>
              <w:ind w:right="11"/>
              <w:spacing w:after="0"/>
              <w:rPr>
                <w:sz w:val="20"/>
                <w:szCs w:val="20"/>
                <w:color w:val="auto"/>
              </w:rPr>
            </w:pPr>
            <w:r>
              <w:rPr>
                <w:rFonts w:ascii="Arial" w:cs="Arial" w:eastAsia="Arial" w:hAnsi="Arial"/>
                <w:sz w:val="14"/>
                <w:szCs w:val="14"/>
                <w:color w:val="auto"/>
              </w:rPr>
              <w:t>Average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2980" w:type="dxa"/>
            <w:vAlign w:val="bottom"/>
            <w:gridSpan w:val="2"/>
          </w:tcPr>
          <w:p>
            <w:pPr>
              <w:spacing w:after="0"/>
              <w:rPr>
                <w:sz w:val="20"/>
                <w:szCs w:val="20"/>
                <w:color w:val="auto"/>
              </w:rPr>
            </w:pPr>
            <w:r>
              <w:rPr>
                <w:rFonts w:ascii="Arial" w:cs="Arial" w:eastAsia="Arial" w:hAnsi="Arial"/>
                <w:sz w:val="14"/>
                <w:szCs w:val="14"/>
                <w:i w:val="1"/>
                <w:iCs w:val="1"/>
                <w:color w:val="auto"/>
                <w:w w:val="96"/>
              </w:rPr>
              <w:t>Average balance in millions; interest in thousands</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0"/>
              </w:rPr>
              <w:t>Balance</w:t>
            </w:r>
          </w:p>
        </w:tc>
        <w:tc>
          <w:tcPr>
            <w:tcW w:w="1320" w:type="dxa"/>
            <w:vAlign w:val="bottom"/>
          </w:tcPr>
          <w:p>
            <w:pPr>
              <w:jc w:val="right"/>
              <w:ind w:right="331"/>
              <w:spacing w:after="0"/>
              <w:rPr>
                <w:sz w:val="20"/>
                <w:szCs w:val="20"/>
                <w:color w:val="auto"/>
              </w:rPr>
            </w:pPr>
            <w:r>
              <w:rPr>
                <w:rFonts w:ascii="Arial" w:cs="Arial" w:eastAsia="Arial" w:hAnsi="Arial"/>
                <w:sz w:val="14"/>
                <w:szCs w:val="14"/>
                <w:color w:val="auto"/>
              </w:rPr>
              <w:t>Interest</w:t>
            </w:r>
          </w:p>
        </w:tc>
        <w:tc>
          <w:tcPr>
            <w:tcW w:w="760" w:type="dxa"/>
            <w:vAlign w:val="bottom"/>
          </w:tcPr>
          <w:p>
            <w:pPr>
              <w:jc w:val="right"/>
              <w:ind w:right="211"/>
              <w:spacing w:after="0"/>
              <w:rPr>
                <w:sz w:val="20"/>
                <w:szCs w:val="20"/>
                <w:color w:val="auto"/>
              </w:rPr>
            </w:pPr>
            <w:r>
              <w:rPr>
                <w:rFonts w:ascii="Arial" w:cs="Arial" w:eastAsia="Arial" w:hAnsi="Arial"/>
                <w:sz w:val="14"/>
                <w:szCs w:val="14"/>
                <w:color w:val="auto"/>
              </w:rPr>
              <w:t>Rate</w:t>
            </w: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Balance</w:t>
            </w:r>
          </w:p>
        </w:tc>
        <w:tc>
          <w:tcPr>
            <w:tcW w:w="1240" w:type="dxa"/>
            <w:vAlign w:val="bottom"/>
          </w:tcPr>
          <w:p>
            <w:pPr>
              <w:jc w:val="right"/>
              <w:ind w:right="271"/>
              <w:spacing w:after="0"/>
              <w:rPr>
                <w:sz w:val="20"/>
                <w:szCs w:val="20"/>
                <w:color w:val="auto"/>
              </w:rPr>
            </w:pPr>
            <w:r>
              <w:rPr>
                <w:rFonts w:ascii="Arial" w:cs="Arial" w:eastAsia="Arial" w:hAnsi="Arial"/>
                <w:sz w:val="14"/>
                <w:szCs w:val="14"/>
                <w:color w:val="auto"/>
              </w:rPr>
              <w:t>Interest</w:t>
            </w:r>
          </w:p>
        </w:tc>
        <w:tc>
          <w:tcPr>
            <w:tcW w:w="800" w:type="dxa"/>
            <w:vAlign w:val="bottom"/>
          </w:tcPr>
          <w:p>
            <w:pPr>
              <w:jc w:val="right"/>
              <w:ind w:right="211"/>
              <w:spacing w:after="0"/>
              <w:rPr>
                <w:sz w:val="20"/>
                <w:szCs w:val="20"/>
                <w:color w:val="auto"/>
              </w:rPr>
            </w:pPr>
            <w:r>
              <w:rPr>
                <w:rFonts w:ascii="Arial" w:cs="Arial" w:eastAsia="Arial" w:hAnsi="Arial"/>
                <w:sz w:val="14"/>
                <w:szCs w:val="14"/>
                <w:color w:val="auto"/>
              </w:rPr>
              <w:t>Rate</w:t>
            </w: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Balance</w:t>
            </w:r>
          </w:p>
        </w:tc>
        <w:tc>
          <w:tcPr>
            <w:tcW w:w="1300" w:type="dxa"/>
            <w:vAlign w:val="bottom"/>
          </w:tcPr>
          <w:p>
            <w:pPr>
              <w:jc w:val="right"/>
              <w:ind w:right="311"/>
              <w:spacing w:after="0"/>
              <w:rPr>
                <w:sz w:val="20"/>
                <w:szCs w:val="20"/>
                <w:color w:val="auto"/>
              </w:rPr>
            </w:pPr>
            <w:r>
              <w:rPr>
                <w:rFonts w:ascii="Arial" w:cs="Arial" w:eastAsia="Arial" w:hAnsi="Arial"/>
                <w:sz w:val="14"/>
                <w:szCs w:val="14"/>
                <w:color w:val="auto"/>
              </w:rPr>
              <w:t>Interest</w:t>
            </w:r>
          </w:p>
        </w:tc>
        <w:tc>
          <w:tcPr>
            <w:tcW w:w="680" w:type="dxa"/>
            <w:vAlign w:val="bottom"/>
          </w:tcPr>
          <w:p>
            <w:pPr>
              <w:jc w:val="right"/>
              <w:ind w:right="131"/>
              <w:spacing w:after="0"/>
              <w:rPr>
                <w:sz w:val="20"/>
                <w:szCs w:val="20"/>
                <w:color w:val="auto"/>
              </w:rPr>
            </w:pPr>
            <w:r>
              <w:rPr>
                <w:rFonts w:ascii="Arial" w:cs="Arial" w:eastAsia="Arial" w:hAnsi="Arial"/>
                <w:sz w:val="14"/>
                <w:szCs w:val="14"/>
                <w:color w:val="auto"/>
              </w:rPr>
              <w:t>Rate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Earning assets</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and leases, net of unearned</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discount*</w:t>
            </w: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200"/>
              <w:spacing w:after="0"/>
              <w:rPr>
                <w:sz w:val="20"/>
                <w:szCs w:val="20"/>
                <w:color w:val="auto"/>
              </w:rPr>
            </w:pPr>
            <w:r>
              <w:rPr>
                <w:rFonts w:ascii="Arial" w:cs="Arial" w:eastAsia="Arial" w:hAnsi="Arial"/>
                <w:sz w:val="18"/>
                <w:szCs w:val="18"/>
                <w:color w:val="auto"/>
              </w:rPr>
              <w:t>Commercial, financial, etc.</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3"/>
              </w:rPr>
              <w:t>14,067</w:t>
            </w:r>
          </w:p>
        </w:tc>
        <w:tc>
          <w:tcPr>
            <w:tcW w:w="1320" w:type="dxa"/>
            <w:vAlign w:val="bottom"/>
          </w:tcPr>
          <w:p>
            <w:pPr>
              <w:jc w:val="right"/>
              <w:ind w:right="251"/>
              <w:spacing w:after="0"/>
              <w:rPr>
                <w:sz w:val="20"/>
                <w:szCs w:val="20"/>
                <w:color w:val="auto"/>
              </w:rPr>
            </w:pPr>
            <w:r>
              <w:rPr>
                <w:rFonts w:ascii="Arial" w:cs="Arial" w:eastAsia="Arial" w:hAnsi="Arial"/>
                <w:sz w:val="18"/>
                <w:szCs w:val="18"/>
                <w:color w:val="auto"/>
              </w:rPr>
              <w:t>$131,886</w:t>
            </w: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3.76%</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14,031</w:t>
            </w:r>
          </w:p>
        </w:tc>
        <w:tc>
          <w:tcPr>
            <w:tcW w:w="1240" w:type="dxa"/>
            <w:vAlign w:val="bottom"/>
          </w:tcPr>
          <w:p>
            <w:pPr>
              <w:jc w:val="right"/>
              <w:ind w:right="211"/>
              <w:spacing w:after="0"/>
              <w:rPr>
                <w:sz w:val="20"/>
                <w:szCs w:val="20"/>
                <w:color w:val="auto"/>
              </w:rPr>
            </w:pPr>
            <w:r>
              <w:rPr>
                <w:rFonts w:ascii="Arial" w:cs="Arial" w:eastAsia="Arial" w:hAnsi="Arial"/>
                <w:sz w:val="18"/>
                <w:szCs w:val="18"/>
                <w:color w:val="auto"/>
              </w:rPr>
              <w:t>129,222</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3.74%</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14,213</w:t>
            </w: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169,492</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Real estate — commercial</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19,719</w:t>
            </w:r>
          </w:p>
        </w:tc>
        <w:tc>
          <w:tcPr>
            <w:tcW w:w="13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219,813</w:t>
            </w:r>
          </w:p>
        </w:tc>
        <w:tc>
          <w:tcPr>
            <w:tcW w:w="7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4.46</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18,795</w:t>
            </w:r>
          </w:p>
        </w:tc>
        <w:tc>
          <w:tcPr>
            <w:tcW w:w="12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206,967</w:t>
            </w:r>
          </w:p>
        </w:tc>
        <w:tc>
          <w:tcPr>
            <w:tcW w:w="8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4.40</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18,666</w:t>
            </w:r>
          </w:p>
        </w:tc>
        <w:tc>
          <w:tcPr>
            <w:tcW w:w="13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259,145</w:t>
            </w:r>
          </w:p>
        </w:tc>
        <w:tc>
          <w:tcPr>
            <w:tcW w:w="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200"/>
              <w:spacing w:after="0"/>
              <w:rPr>
                <w:sz w:val="20"/>
                <w:szCs w:val="20"/>
                <w:color w:val="auto"/>
              </w:rPr>
            </w:pPr>
            <w:r>
              <w:rPr>
                <w:rFonts w:ascii="Arial" w:cs="Arial" w:eastAsia="Arial" w:hAnsi="Arial"/>
                <w:sz w:val="18"/>
                <w:szCs w:val="18"/>
                <w:color w:val="auto"/>
              </w:rPr>
              <w:t>Real estate — consumer</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5,262</w:t>
            </w:r>
          </w:p>
        </w:tc>
        <w:tc>
          <w:tcPr>
            <w:tcW w:w="1320" w:type="dxa"/>
            <w:vAlign w:val="bottom"/>
          </w:tcPr>
          <w:p>
            <w:pPr>
              <w:jc w:val="right"/>
              <w:ind w:right="251"/>
              <w:spacing w:after="0"/>
              <w:rPr>
                <w:sz w:val="20"/>
                <w:szCs w:val="20"/>
                <w:color w:val="auto"/>
              </w:rPr>
            </w:pPr>
            <w:r>
              <w:rPr>
                <w:rFonts w:ascii="Arial" w:cs="Arial" w:eastAsia="Arial" w:hAnsi="Arial"/>
                <w:sz w:val="18"/>
                <w:szCs w:val="18"/>
                <w:color w:val="auto"/>
              </w:rPr>
              <w:t>71,079</w:t>
            </w:r>
          </w:p>
        </w:tc>
        <w:tc>
          <w:tcPr>
            <w:tcW w:w="760" w:type="dxa"/>
            <w:vAlign w:val="bottom"/>
          </w:tcPr>
          <w:p>
            <w:pPr>
              <w:jc w:val="right"/>
              <w:ind w:right="231"/>
              <w:spacing w:after="0"/>
              <w:rPr>
                <w:sz w:val="20"/>
                <w:szCs w:val="20"/>
                <w:color w:val="auto"/>
              </w:rPr>
            </w:pPr>
            <w:r>
              <w:rPr>
                <w:rFonts w:ascii="Arial" w:cs="Arial" w:eastAsia="Arial" w:hAnsi="Arial"/>
                <w:sz w:val="18"/>
                <w:szCs w:val="18"/>
                <w:color w:val="auto"/>
              </w:rPr>
              <w:t>5.40</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5,033</w:t>
            </w:r>
          </w:p>
        </w:tc>
        <w:tc>
          <w:tcPr>
            <w:tcW w:w="1240" w:type="dxa"/>
            <w:vAlign w:val="bottom"/>
          </w:tcPr>
          <w:p>
            <w:pPr>
              <w:jc w:val="right"/>
              <w:ind w:right="211"/>
              <w:spacing w:after="0"/>
              <w:rPr>
                <w:sz w:val="20"/>
                <w:szCs w:val="20"/>
                <w:color w:val="auto"/>
              </w:rPr>
            </w:pPr>
            <w:r>
              <w:rPr>
                <w:rFonts w:ascii="Arial" w:cs="Arial" w:eastAsia="Arial" w:hAnsi="Arial"/>
                <w:sz w:val="18"/>
                <w:szCs w:val="18"/>
                <w:color w:val="auto"/>
              </w:rPr>
              <w:t>70,353</w:t>
            </w:r>
          </w:p>
        </w:tc>
        <w:tc>
          <w:tcPr>
            <w:tcW w:w="800" w:type="dxa"/>
            <w:vAlign w:val="bottom"/>
          </w:tcPr>
          <w:p>
            <w:pPr>
              <w:jc w:val="right"/>
              <w:ind w:right="251"/>
              <w:spacing w:after="0"/>
              <w:rPr>
                <w:sz w:val="20"/>
                <w:szCs w:val="20"/>
                <w:color w:val="auto"/>
              </w:rPr>
            </w:pPr>
            <w:r>
              <w:rPr>
                <w:rFonts w:ascii="Arial" w:cs="Arial" w:eastAsia="Arial" w:hAnsi="Arial"/>
                <w:sz w:val="18"/>
                <w:szCs w:val="18"/>
                <w:color w:val="auto"/>
              </w:rPr>
              <w:t>5.59</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4,904</w:t>
            </w: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71,778</w:t>
            </w:r>
          </w:p>
        </w:tc>
        <w:tc>
          <w:tcPr>
            <w:tcW w:w="680" w:type="dxa"/>
            <w:vAlign w:val="bottom"/>
          </w:tcPr>
          <w:p>
            <w:pPr>
              <w:jc w:val="right"/>
              <w:ind w:right="151"/>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Consumer</w:t>
            </w: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11,506</w:t>
            </w:r>
          </w:p>
        </w:tc>
        <w:tc>
          <w:tcPr>
            <w:tcW w:w="132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155,609</w:t>
            </w:r>
          </w:p>
        </w:tc>
        <w:tc>
          <w:tcPr>
            <w:tcW w:w="76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5.42</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10,965</w:t>
            </w:r>
          </w:p>
        </w:tc>
        <w:tc>
          <w:tcPr>
            <w:tcW w:w="124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151,968</w:t>
            </w:r>
          </w:p>
        </w:tc>
        <w:tc>
          <w:tcPr>
            <w:tcW w:w="80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5.62</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11,027</w:t>
            </w:r>
          </w:p>
        </w:tc>
        <w:tc>
          <w:tcPr>
            <w:tcW w:w="130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168,584</w:t>
            </w:r>
          </w:p>
        </w:tc>
        <w:tc>
          <w:tcPr>
            <w:tcW w:w="6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loans and leases, net</w:t>
            </w:r>
          </w:p>
        </w:tc>
        <w:tc>
          <w:tcPr>
            <w:tcW w:w="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50,554</w:t>
            </w:r>
          </w:p>
        </w:tc>
        <w:tc>
          <w:tcPr>
            <w:tcW w:w="132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578,387</w:t>
            </w:r>
          </w:p>
        </w:tc>
        <w:tc>
          <w:tcPr>
            <w:tcW w:w="7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4.59</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48,824</w:t>
            </w:r>
          </w:p>
        </w:tc>
        <w:tc>
          <w:tcPr>
            <w:tcW w:w="12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558,510</w:t>
            </w:r>
          </w:p>
        </w:tc>
        <w:tc>
          <w:tcPr>
            <w:tcW w:w="8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4.64</w:t>
            </w: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48,810</w:t>
            </w:r>
          </w:p>
        </w:tc>
        <w:tc>
          <w:tcPr>
            <w:tcW w:w="13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668,999</w:t>
            </w:r>
          </w:p>
        </w:tc>
        <w:tc>
          <w:tcPr>
            <w:tcW w:w="6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deposits at banks</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3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5</w:t>
            </w:r>
          </w:p>
        </w:tc>
        <w:tc>
          <w:tcPr>
            <w:tcW w:w="7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.05</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2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8</w:t>
            </w:r>
          </w:p>
        </w:tc>
        <w:tc>
          <w:tcPr>
            <w:tcW w:w="8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.16</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3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18</w:t>
            </w:r>
          </w:p>
        </w:tc>
        <w:tc>
          <w:tcPr>
            <w:tcW w:w="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tcPr>
          <w:p>
            <w:pPr>
              <w:spacing w:after="0" w:line="201" w:lineRule="exact"/>
              <w:rPr>
                <w:sz w:val="20"/>
                <w:szCs w:val="20"/>
                <w:color w:val="auto"/>
              </w:rPr>
            </w:pPr>
            <w:r>
              <w:rPr>
                <w:rFonts w:ascii="Arial" w:cs="Arial" w:eastAsia="Arial" w:hAnsi="Arial"/>
                <w:sz w:val="18"/>
                <w:szCs w:val="18"/>
                <w:color w:val="auto"/>
                <w:w w:val="96"/>
              </w:rPr>
              <w:t>Federal funds sold and agreements to</w:t>
            </w: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200"/>
              <w:spacing w:after="0"/>
              <w:rPr>
                <w:sz w:val="20"/>
                <w:szCs w:val="20"/>
                <w:color w:val="auto"/>
              </w:rPr>
            </w:pPr>
            <w:r>
              <w:rPr>
                <w:rFonts w:ascii="Arial" w:cs="Arial" w:eastAsia="Arial" w:hAnsi="Arial"/>
                <w:sz w:val="18"/>
                <w:szCs w:val="18"/>
                <w:color w:val="auto"/>
              </w:rPr>
              <w:t>resell securities</w:t>
            </w: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w:t>
            </w:r>
          </w:p>
        </w:tc>
        <w:tc>
          <w:tcPr>
            <w:tcW w:w="1320" w:type="dxa"/>
            <w:vAlign w:val="bottom"/>
          </w:tcPr>
          <w:p>
            <w:pPr>
              <w:jc w:val="right"/>
              <w:ind w:right="251"/>
              <w:spacing w:after="0"/>
              <w:rPr>
                <w:sz w:val="20"/>
                <w:szCs w:val="20"/>
                <w:color w:val="auto"/>
              </w:rPr>
            </w:pPr>
            <w:r>
              <w:rPr>
                <w:rFonts w:ascii="Arial" w:cs="Arial" w:eastAsia="Arial" w:hAnsi="Arial"/>
                <w:sz w:val="18"/>
                <w:szCs w:val="18"/>
                <w:color w:val="auto"/>
              </w:rPr>
              <w:t>43</w:t>
            </w:r>
          </w:p>
        </w:tc>
        <w:tc>
          <w:tcPr>
            <w:tcW w:w="760" w:type="dxa"/>
            <w:vAlign w:val="bottom"/>
          </w:tcPr>
          <w:p>
            <w:pPr>
              <w:jc w:val="right"/>
              <w:ind w:right="231"/>
              <w:spacing w:after="0"/>
              <w:rPr>
                <w:sz w:val="20"/>
                <w:szCs w:val="20"/>
                <w:color w:val="auto"/>
              </w:rPr>
            </w:pPr>
            <w:r>
              <w:rPr>
                <w:rFonts w:ascii="Arial" w:cs="Arial" w:eastAsia="Arial" w:hAnsi="Arial"/>
                <w:sz w:val="18"/>
                <w:szCs w:val="18"/>
                <w:color w:val="auto"/>
              </w:rPr>
              <w:t>.23</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102</w:t>
            </w:r>
          </w:p>
        </w:tc>
        <w:tc>
          <w:tcPr>
            <w:tcW w:w="1240" w:type="dxa"/>
            <w:vAlign w:val="bottom"/>
          </w:tcPr>
          <w:p>
            <w:pPr>
              <w:jc w:val="right"/>
              <w:ind w:right="211"/>
              <w:spacing w:after="0"/>
              <w:rPr>
                <w:sz w:val="20"/>
                <w:szCs w:val="20"/>
                <w:color w:val="auto"/>
              </w:rPr>
            </w:pPr>
            <w:r>
              <w:rPr>
                <w:rFonts w:ascii="Arial" w:cs="Arial" w:eastAsia="Arial" w:hAnsi="Arial"/>
                <w:sz w:val="18"/>
                <w:szCs w:val="18"/>
                <w:color w:val="auto"/>
              </w:rPr>
              <w:t>58</w:t>
            </w:r>
          </w:p>
        </w:tc>
        <w:tc>
          <w:tcPr>
            <w:tcW w:w="800" w:type="dxa"/>
            <w:vAlign w:val="bottom"/>
          </w:tcPr>
          <w:p>
            <w:pPr>
              <w:jc w:val="right"/>
              <w:ind w:right="251"/>
              <w:spacing w:after="0"/>
              <w:rPr>
                <w:sz w:val="20"/>
                <w:szCs w:val="20"/>
                <w:color w:val="auto"/>
              </w:rPr>
            </w:pPr>
            <w:r>
              <w:rPr>
                <w:rFonts w:ascii="Arial" w:cs="Arial" w:eastAsia="Arial" w:hAnsi="Arial"/>
                <w:sz w:val="18"/>
                <w:szCs w:val="18"/>
                <w:color w:val="auto"/>
              </w:rPr>
              <w:t>.23</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103</w:t>
            </w: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108</w:t>
            </w:r>
          </w:p>
        </w:tc>
        <w:tc>
          <w:tcPr>
            <w:tcW w:w="680" w:type="dxa"/>
            <w:vAlign w:val="bottom"/>
          </w:tcPr>
          <w:p>
            <w:pPr>
              <w:jc w:val="right"/>
              <w:ind w:right="15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3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231</w:t>
            </w:r>
          </w:p>
        </w:tc>
        <w:tc>
          <w:tcPr>
            <w:tcW w:w="7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.77</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73</w:t>
            </w:r>
          </w:p>
        </w:tc>
        <w:tc>
          <w:tcPr>
            <w:tcW w:w="12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123</w:t>
            </w:r>
          </w:p>
        </w:tc>
        <w:tc>
          <w:tcPr>
            <w:tcW w:w="8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.67</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c>
          <w:tcPr>
            <w:tcW w:w="13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785</w:t>
            </w:r>
          </w:p>
        </w:tc>
        <w:tc>
          <w:tcPr>
            <w:tcW w:w="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Investment securities**</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U.S. Treasury and federal agencies</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w:t>
            </w:r>
          </w:p>
        </w:tc>
        <w:tc>
          <w:tcPr>
            <w:tcW w:w="13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46,353</w:t>
            </w:r>
          </w:p>
        </w:tc>
        <w:tc>
          <w:tcPr>
            <w:tcW w:w="7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4.88</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3,727</w:t>
            </w:r>
          </w:p>
        </w:tc>
        <w:tc>
          <w:tcPr>
            <w:tcW w:w="12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45,610</w:t>
            </w:r>
          </w:p>
        </w:tc>
        <w:tc>
          <w:tcPr>
            <w:tcW w:w="8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4.96</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3,901</w:t>
            </w:r>
          </w:p>
        </w:tc>
        <w:tc>
          <w:tcPr>
            <w:tcW w:w="13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48,260</w:t>
            </w:r>
          </w:p>
        </w:tc>
        <w:tc>
          <w:tcPr>
            <w:tcW w:w="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tcPr>
          <w:p>
            <w:pPr>
              <w:ind w:left="200"/>
              <w:spacing w:after="0" w:line="201" w:lineRule="exact"/>
              <w:rPr>
                <w:sz w:val="20"/>
                <w:szCs w:val="20"/>
                <w:color w:val="auto"/>
              </w:rPr>
            </w:pPr>
            <w:r>
              <w:rPr>
                <w:rFonts w:ascii="Arial" w:cs="Arial" w:eastAsia="Arial" w:hAnsi="Arial"/>
                <w:sz w:val="18"/>
                <w:szCs w:val="18"/>
                <w:color w:val="auto"/>
              </w:rPr>
              <w:t>Obligations of states and political</w:t>
            </w: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400"/>
              <w:spacing w:after="0"/>
              <w:rPr>
                <w:sz w:val="20"/>
                <w:szCs w:val="20"/>
                <w:color w:val="auto"/>
              </w:rPr>
            </w:pPr>
            <w:r>
              <w:rPr>
                <w:rFonts w:ascii="Arial" w:cs="Arial" w:eastAsia="Arial" w:hAnsi="Arial"/>
                <w:sz w:val="18"/>
                <w:szCs w:val="18"/>
                <w:color w:val="auto"/>
              </w:rPr>
              <w:t>subdivisions</w:t>
            </w: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198</w:t>
            </w:r>
          </w:p>
        </w:tc>
        <w:tc>
          <w:tcPr>
            <w:tcW w:w="1320" w:type="dxa"/>
            <w:vAlign w:val="bottom"/>
          </w:tcPr>
          <w:p>
            <w:pPr>
              <w:jc w:val="right"/>
              <w:ind w:right="251"/>
              <w:spacing w:after="0"/>
              <w:rPr>
                <w:sz w:val="20"/>
                <w:szCs w:val="20"/>
                <w:color w:val="auto"/>
              </w:rPr>
            </w:pPr>
            <w:r>
              <w:rPr>
                <w:rFonts w:ascii="Arial" w:cs="Arial" w:eastAsia="Arial" w:hAnsi="Arial"/>
                <w:sz w:val="18"/>
                <w:szCs w:val="18"/>
                <w:color w:val="auto"/>
              </w:rPr>
              <w:t>2,924</w:t>
            </w:r>
          </w:p>
        </w:tc>
        <w:tc>
          <w:tcPr>
            <w:tcW w:w="760" w:type="dxa"/>
            <w:vAlign w:val="bottom"/>
          </w:tcPr>
          <w:p>
            <w:pPr>
              <w:jc w:val="right"/>
              <w:ind w:right="231"/>
              <w:spacing w:after="0"/>
              <w:rPr>
                <w:sz w:val="20"/>
                <w:szCs w:val="20"/>
                <w:color w:val="auto"/>
              </w:rPr>
            </w:pPr>
            <w:r>
              <w:rPr>
                <w:rFonts w:ascii="Arial" w:cs="Arial" w:eastAsia="Arial" w:hAnsi="Arial"/>
                <w:sz w:val="18"/>
                <w:szCs w:val="18"/>
                <w:color w:val="auto"/>
              </w:rPr>
              <w:t>5.94</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136</w:t>
            </w:r>
          </w:p>
        </w:tc>
        <w:tc>
          <w:tcPr>
            <w:tcW w:w="1240" w:type="dxa"/>
            <w:vAlign w:val="bottom"/>
          </w:tcPr>
          <w:p>
            <w:pPr>
              <w:jc w:val="right"/>
              <w:ind w:right="211"/>
              <w:spacing w:after="0"/>
              <w:rPr>
                <w:sz w:val="20"/>
                <w:szCs w:val="20"/>
                <w:color w:val="auto"/>
              </w:rPr>
            </w:pPr>
            <w:r>
              <w:rPr>
                <w:rFonts w:ascii="Arial" w:cs="Arial" w:eastAsia="Arial" w:hAnsi="Arial"/>
                <w:sz w:val="18"/>
                <w:szCs w:val="18"/>
                <w:color w:val="auto"/>
              </w:rPr>
              <w:t>2,170</w:t>
            </w:r>
          </w:p>
        </w:tc>
        <w:tc>
          <w:tcPr>
            <w:tcW w:w="800" w:type="dxa"/>
            <w:vAlign w:val="bottom"/>
          </w:tcPr>
          <w:p>
            <w:pPr>
              <w:jc w:val="right"/>
              <w:ind w:right="251"/>
              <w:spacing w:after="0"/>
              <w:rPr>
                <w:sz w:val="20"/>
                <w:szCs w:val="20"/>
                <w:color w:val="auto"/>
              </w:rPr>
            </w:pPr>
            <w:r>
              <w:rPr>
                <w:rFonts w:ascii="Arial" w:cs="Arial" w:eastAsia="Arial" w:hAnsi="Arial"/>
                <w:sz w:val="18"/>
                <w:szCs w:val="18"/>
                <w:color w:val="auto"/>
              </w:rPr>
              <w:t>6.47</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127</w:t>
            </w: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2,161</w:t>
            </w:r>
          </w:p>
        </w:tc>
        <w:tc>
          <w:tcPr>
            <w:tcW w:w="680" w:type="dxa"/>
            <w:vAlign w:val="bottom"/>
          </w:tcPr>
          <w:p>
            <w:pPr>
              <w:jc w:val="right"/>
              <w:ind w:right="151"/>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4,504</w:t>
            </w:r>
          </w:p>
        </w:tc>
        <w:tc>
          <w:tcPr>
            <w:tcW w:w="132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54,694</w:t>
            </w:r>
          </w:p>
        </w:tc>
        <w:tc>
          <w:tcPr>
            <w:tcW w:w="76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4.87</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4,627</w:t>
            </w:r>
          </w:p>
        </w:tc>
        <w:tc>
          <w:tcPr>
            <w:tcW w:w="124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52,966</w:t>
            </w:r>
          </w:p>
        </w:tc>
        <w:tc>
          <w:tcPr>
            <w:tcW w:w="80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4.64</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4,866</w:t>
            </w:r>
          </w:p>
        </w:tc>
        <w:tc>
          <w:tcPr>
            <w:tcW w:w="130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59,137</w:t>
            </w:r>
          </w:p>
        </w:tc>
        <w:tc>
          <w:tcPr>
            <w:tcW w:w="6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investment securities</w:t>
            </w:r>
          </w:p>
        </w:tc>
        <w:tc>
          <w:tcPr>
            <w:tcW w:w="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8,508</w:t>
            </w:r>
          </w:p>
        </w:tc>
        <w:tc>
          <w:tcPr>
            <w:tcW w:w="132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103,971</w:t>
            </w:r>
          </w:p>
        </w:tc>
        <w:tc>
          <w:tcPr>
            <w:tcW w:w="7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4.90</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8,490</w:t>
            </w:r>
          </w:p>
        </w:tc>
        <w:tc>
          <w:tcPr>
            <w:tcW w:w="12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100,746</w:t>
            </w:r>
          </w:p>
        </w:tc>
        <w:tc>
          <w:tcPr>
            <w:tcW w:w="8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4.81</w:t>
            </w: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8,894</w:t>
            </w:r>
          </w:p>
        </w:tc>
        <w:tc>
          <w:tcPr>
            <w:tcW w:w="13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109,558</w:t>
            </w:r>
          </w:p>
        </w:tc>
        <w:tc>
          <w:tcPr>
            <w:tcW w:w="6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b w:val="1"/>
                <w:bCs w:val="1"/>
                <w:color w:val="auto"/>
              </w:rPr>
              <w:t>Total earning assets</w:t>
            </w: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59,297</w:t>
            </w:r>
          </w:p>
        </w:tc>
        <w:tc>
          <w:tcPr>
            <w:tcW w:w="132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682,637</w:t>
            </w:r>
          </w:p>
        </w:tc>
        <w:tc>
          <w:tcPr>
            <w:tcW w:w="76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4.62</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57,509</w:t>
            </w:r>
          </w:p>
        </w:tc>
        <w:tc>
          <w:tcPr>
            <w:tcW w:w="124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659,445</w:t>
            </w:r>
          </w:p>
        </w:tc>
        <w:tc>
          <w:tcPr>
            <w:tcW w:w="80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4.65</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57,919</w:t>
            </w:r>
          </w:p>
        </w:tc>
        <w:tc>
          <w:tcPr>
            <w:tcW w:w="130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779,468</w:t>
            </w:r>
          </w:p>
        </w:tc>
        <w:tc>
          <w:tcPr>
            <w:tcW w:w="6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Allowance for credit losses</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(867)</w:t>
            </w:r>
          </w:p>
        </w:tc>
        <w:tc>
          <w:tcPr>
            <w:tcW w:w="1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(815)</w:t>
            </w:r>
          </w:p>
        </w:tc>
        <w:tc>
          <w:tcPr>
            <w:tcW w:w="1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(806)</w:t>
            </w: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1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1,086</w:t>
            </w:r>
          </w:p>
        </w:tc>
        <w:tc>
          <w:tcPr>
            <w:tcW w:w="1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1,156</w:t>
            </w: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7,477</w:t>
            </w:r>
          </w:p>
        </w:tc>
        <w:tc>
          <w:tcPr>
            <w:tcW w:w="1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6,986</w:t>
            </w:r>
          </w:p>
        </w:tc>
        <w:tc>
          <w:tcPr>
            <w:tcW w:w="1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6,673</w:t>
            </w:r>
          </w:p>
        </w:tc>
        <w:tc>
          <w:tcPr>
            <w:tcW w:w="1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66,984</w:t>
            </w:r>
          </w:p>
        </w:tc>
        <w:tc>
          <w:tcPr>
            <w:tcW w:w="1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64,766</w:t>
            </w:r>
          </w:p>
        </w:tc>
        <w:tc>
          <w:tcPr>
            <w:tcW w:w="1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64,942</w:t>
            </w:r>
          </w:p>
        </w:tc>
        <w:tc>
          <w:tcPr>
            <w:tcW w:w="1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7"/>
              </w:rPr>
              <w:t>Liabilities and stockholders’ equity</w:t>
            </w: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Interest-bearing deposits</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NOW accounts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3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246</w:t>
            </w:r>
          </w:p>
        </w:tc>
        <w:tc>
          <w:tcPr>
            <w:tcW w:w="7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.19</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536</w:t>
            </w:r>
          </w:p>
        </w:tc>
        <w:tc>
          <w:tcPr>
            <w:tcW w:w="12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327</w:t>
            </w:r>
          </w:p>
        </w:tc>
        <w:tc>
          <w:tcPr>
            <w:tcW w:w="8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.25</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528</w:t>
            </w:r>
          </w:p>
        </w:tc>
        <w:tc>
          <w:tcPr>
            <w:tcW w:w="13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592</w:t>
            </w:r>
          </w:p>
        </w:tc>
        <w:tc>
          <w:tcPr>
            <w:tcW w:w="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200"/>
              <w:spacing w:after="0"/>
              <w:rPr>
                <w:sz w:val="20"/>
                <w:szCs w:val="20"/>
                <w:color w:val="auto"/>
              </w:rPr>
            </w:pPr>
            <w:r>
              <w:rPr>
                <w:rFonts w:ascii="Arial" w:cs="Arial" w:eastAsia="Arial" w:hAnsi="Arial"/>
                <w:sz w:val="18"/>
                <w:szCs w:val="18"/>
                <w:color w:val="auto"/>
              </w:rPr>
              <w:t>Savings deposits</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3"/>
              </w:rPr>
              <w:t>22,480</w:t>
            </w:r>
          </w:p>
        </w:tc>
        <w:tc>
          <w:tcPr>
            <w:tcW w:w="1320" w:type="dxa"/>
            <w:vAlign w:val="bottom"/>
          </w:tcPr>
          <w:p>
            <w:pPr>
              <w:jc w:val="right"/>
              <w:ind w:right="251"/>
              <w:spacing w:after="0"/>
              <w:rPr>
                <w:sz w:val="20"/>
                <w:szCs w:val="20"/>
                <w:color w:val="auto"/>
              </w:rPr>
            </w:pPr>
            <w:r>
              <w:rPr>
                <w:rFonts w:ascii="Arial" w:cs="Arial" w:eastAsia="Arial" w:hAnsi="Arial"/>
                <w:sz w:val="18"/>
                <w:szCs w:val="18"/>
                <w:color w:val="auto"/>
              </w:rPr>
              <w:t>26,362</w:t>
            </w:r>
          </w:p>
        </w:tc>
        <w:tc>
          <w:tcPr>
            <w:tcW w:w="760" w:type="dxa"/>
            <w:vAlign w:val="bottom"/>
          </w:tcPr>
          <w:p>
            <w:pPr>
              <w:jc w:val="right"/>
              <w:ind w:right="231"/>
              <w:spacing w:after="0"/>
              <w:rPr>
                <w:sz w:val="20"/>
                <w:szCs w:val="20"/>
                <w:color w:val="auto"/>
              </w:rPr>
            </w:pPr>
            <w:r>
              <w:rPr>
                <w:rFonts w:ascii="Arial" w:cs="Arial" w:eastAsia="Arial" w:hAnsi="Arial"/>
                <w:sz w:val="18"/>
                <w:szCs w:val="18"/>
                <w:color w:val="auto"/>
              </w:rPr>
              <w:t>.47</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21,203</w:t>
            </w:r>
          </w:p>
        </w:tc>
        <w:tc>
          <w:tcPr>
            <w:tcW w:w="1240" w:type="dxa"/>
            <w:vAlign w:val="bottom"/>
          </w:tcPr>
          <w:p>
            <w:pPr>
              <w:jc w:val="right"/>
              <w:ind w:right="211"/>
              <w:spacing w:after="0"/>
              <w:rPr>
                <w:sz w:val="20"/>
                <w:szCs w:val="20"/>
                <w:color w:val="auto"/>
              </w:rPr>
            </w:pPr>
            <w:r>
              <w:rPr>
                <w:rFonts w:ascii="Arial" w:cs="Arial" w:eastAsia="Arial" w:hAnsi="Arial"/>
                <w:sz w:val="18"/>
                <w:szCs w:val="18"/>
                <w:color w:val="auto"/>
              </w:rPr>
              <w:t>41,922</w:t>
            </w:r>
          </w:p>
        </w:tc>
        <w:tc>
          <w:tcPr>
            <w:tcW w:w="800" w:type="dxa"/>
            <w:vAlign w:val="bottom"/>
          </w:tcPr>
          <w:p>
            <w:pPr>
              <w:jc w:val="right"/>
              <w:ind w:right="251"/>
              <w:spacing w:after="0"/>
              <w:rPr>
                <w:sz w:val="20"/>
                <w:szCs w:val="20"/>
                <w:color w:val="auto"/>
              </w:rPr>
            </w:pPr>
            <w:r>
              <w:rPr>
                <w:rFonts w:ascii="Arial" w:cs="Arial" w:eastAsia="Arial" w:hAnsi="Arial"/>
                <w:sz w:val="18"/>
                <w:szCs w:val="18"/>
                <w:color w:val="auto"/>
              </w:rPr>
              <w:t>.80</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19,540</w:t>
            </w: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62,227</w:t>
            </w:r>
          </w:p>
        </w:tc>
        <w:tc>
          <w:tcPr>
            <w:tcW w:w="680" w:type="dxa"/>
            <w:vAlign w:val="bottom"/>
          </w:tcPr>
          <w:p>
            <w:pPr>
              <w:jc w:val="right"/>
              <w:ind w:right="151"/>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Time deposits</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8,858</w:t>
            </w:r>
          </w:p>
        </w:tc>
        <w:tc>
          <w:tcPr>
            <w:tcW w:w="13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55,697</w:t>
            </w:r>
          </w:p>
        </w:tc>
        <w:tc>
          <w:tcPr>
            <w:tcW w:w="7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2.52</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8,720</w:t>
            </w:r>
          </w:p>
        </w:tc>
        <w:tc>
          <w:tcPr>
            <w:tcW w:w="12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60,329</w:t>
            </w:r>
          </w:p>
        </w:tc>
        <w:tc>
          <w:tcPr>
            <w:tcW w:w="8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2.81</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9,388</w:t>
            </w:r>
          </w:p>
        </w:tc>
        <w:tc>
          <w:tcPr>
            <w:tcW w:w="13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72,179</w:t>
            </w:r>
          </w:p>
        </w:tc>
        <w:tc>
          <w:tcPr>
            <w:tcW w:w="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Deposits at foreign office</w:t>
            </w: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w:t>
            </w:r>
          </w:p>
        </w:tc>
        <w:tc>
          <w:tcPr>
            <w:tcW w:w="132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576</w:t>
            </w:r>
          </w:p>
        </w:tc>
        <w:tc>
          <w:tcPr>
            <w:tcW w:w="7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.16</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2,473</w:t>
            </w:r>
          </w:p>
        </w:tc>
        <w:tc>
          <w:tcPr>
            <w:tcW w:w="12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981</w:t>
            </w:r>
          </w:p>
        </w:tc>
        <w:tc>
          <w:tcPr>
            <w:tcW w:w="8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.16</w:t>
            </w: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2,985</w:t>
            </w:r>
          </w:p>
        </w:tc>
        <w:tc>
          <w:tcPr>
            <w:tcW w:w="13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5,326</w:t>
            </w:r>
          </w:p>
        </w:tc>
        <w:tc>
          <w:tcPr>
            <w:tcW w:w="6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interest-bearing deposits</w:t>
            </w: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33,313</w:t>
            </w:r>
          </w:p>
        </w:tc>
        <w:tc>
          <w:tcPr>
            <w:tcW w:w="132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82,881</w:t>
            </w:r>
          </w:p>
        </w:tc>
        <w:tc>
          <w:tcPr>
            <w:tcW w:w="76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1.00</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32,932</w:t>
            </w:r>
          </w:p>
        </w:tc>
        <w:tc>
          <w:tcPr>
            <w:tcW w:w="124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103,559</w:t>
            </w:r>
          </w:p>
        </w:tc>
        <w:tc>
          <w:tcPr>
            <w:tcW w:w="80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1.28</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32,441</w:t>
            </w:r>
          </w:p>
        </w:tc>
        <w:tc>
          <w:tcPr>
            <w:tcW w:w="130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140,324</w:t>
            </w:r>
          </w:p>
        </w:tc>
        <w:tc>
          <w:tcPr>
            <w:tcW w:w="6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Short-term borrowings</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3,211</w:t>
            </w:r>
          </w:p>
        </w:tc>
        <w:tc>
          <w:tcPr>
            <w:tcW w:w="1320" w:type="dxa"/>
            <w:vAlign w:val="bottom"/>
          </w:tcPr>
          <w:p>
            <w:pPr>
              <w:jc w:val="right"/>
              <w:ind w:right="251"/>
              <w:spacing w:after="0"/>
              <w:rPr>
                <w:sz w:val="20"/>
                <w:szCs w:val="20"/>
                <w:color w:val="auto"/>
              </w:rPr>
            </w:pPr>
            <w:r>
              <w:rPr>
                <w:rFonts w:ascii="Arial" w:cs="Arial" w:eastAsia="Arial" w:hAnsi="Arial"/>
                <w:sz w:val="18"/>
                <w:szCs w:val="18"/>
                <w:color w:val="auto"/>
              </w:rPr>
              <w:t>2,015</w:t>
            </w:r>
          </w:p>
        </w:tc>
        <w:tc>
          <w:tcPr>
            <w:tcW w:w="760" w:type="dxa"/>
            <w:vAlign w:val="bottom"/>
          </w:tcPr>
          <w:p>
            <w:pPr>
              <w:jc w:val="right"/>
              <w:ind w:right="231"/>
              <w:spacing w:after="0"/>
              <w:rPr>
                <w:sz w:val="20"/>
                <w:szCs w:val="20"/>
                <w:color w:val="auto"/>
              </w:rPr>
            </w:pPr>
            <w:r>
              <w:rPr>
                <w:rFonts w:ascii="Arial" w:cs="Arial" w:eastAsia="Arial" w:hAnsi="Arial"/>
                <w:sz w:val="18"/>
                <w:szCs w:val="18"/>
                <w:color w:val="auto"/>
              </w:rPr>
              <w:t>.25</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3,477</w:t>
            </w:r>
          </w:p>
        </w:tc>
        <w:tc>
          <w:tcPr>
            <w:tcW w:w="1240" w:type="dxa"/>
            <w:vAlign w:val="bottom"/>
          </w:tcPr>
          <w:p>
            <w:pPr>
              <w:jc w:val="right"/>
              <w:ind w:right="211"/>
              <w:spacing w:after="0"/>
              <w:rPr>
                <w:sz w:val="20"/>
                <w:szCs w:val="20"/>
                <w:color w:val="auto"/>
              </w:rPr>
            </w:pPr>
            <w:r>
              <w:rPr>
                <w:rFonts w:ascii="Arial" w:cs="Arial" w:eastAsia="Arial" w:hAnsi="Arial"/>
                <w:sz w:val="18"/>
                <w:szCs w:val="18"/>
                <w:color w:val="auto"/>
              </w:rPr>
              <w:t>2,348</w:t>
            </w:r>
          </w:p>
        </w:tc>
        <w:tc>
          <w:tcPr>
            <w:tcW w:w="800" w:type="dxa"/>
            <w:vAlign w:val="bottom"/>
          </w:tcPr>
          <w:p>
            <w:pPr>
              <w:jc w:val="right"/>
              <w:ind w:right="251"/>
              <w:spacing w:after="0"/>
              <w:rPr>
                <w:sz w:val="20"/>
                <w:szCs w:val="20"/>
                <w:color w:val="auto"/>
              </w:rPr>
            </w:pPr>
            <w:r>
              <w:rPr>
                <w:rFonts w:ascii="Arial" w:cs="Arial" w:eastAsia="Arial" w:hAnsi="Arial"/>
                <w:sz w:val="18"/>
                <w:szCs w:val="18"/>
                <w:color w:val="auto"/>
              </w:rPr>
              <w:t>.27</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4,950</w:t>
            </w: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10,239</w:t>
            </w:r>
          </w:p>
        </w:tc>
        <w:tc>
          <w:tcPr>
            <w:tcW w:w="680" w:type="dxa"/>
            <w:vAlign w:val="bottom"/>
          </w:tcPr>
          <w:p>
            <w:pPr>
              <w:jc w:val="right"/>
              <w:ind w:right="151"/>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11,482</w:t>
            </w:r>
          </w:p>
        </w:tc>
        <w:tc>
          <w:tcPr>
            <w:tcW w:w="132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90,960</w:t>
            </w:r>
          </w:p>
        </w:tc>
        <w:tc>
          <w:tcPr>
            <w:tcW w:w="76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3.18</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11,643</w:t>
            </w:r>
          </w:p>
        </w:tc>
        <w:tc>
          <w:tcPr>
            <w:tcW w:w="124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100,798</w:t>
            </w:r>
          </w:p>
        </w:tc>
        <w:tc>
          <w:tcPr>
            <w:tcW w:w="80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3.51</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12,058</w:t>
            </w:r>
          </w:p>
        </w:tc>
        <w:tc>
          <w:tcPr>
            <w:tcW w:w="130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137,863</w:t>
            </w:r>
          </w:p>
        </w:tc>
        <w:tc>
          <w:tcPr>
            <w:tcW w:w="6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w w:val="95"/>
              </w:rPr>
              <w:t>Total interest-bearing liabilities</w:t>
            </w:r>
          </w:p>
        </w:tc>
        <w:tc>
          <w:tcPr>
            <w:tcW w:w="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48,006</w:t>
            </w:r>
          </w:p>
        </w:tc>
        <w:tc>
          <w:tcPr>
            <w:tcW w:w="132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175,856</w:t>
            </w:r>
          </w:p>
        </w:tc>
        <w:tc>
          <w:tcPr>
            <w:tcW w:w="7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1.47</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48,052</w:t>
            </w:r>
          </w:p>
        </w:tc>
        <w:tc>
          <w:tcPr>
            <w:tcW w:w="12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206,705</w:t>
            </w:r>
          </w:p>
        </w:tc>
        <w:tc>
          <w:tcPr>
            <w:tcW w:w="8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1.74</w:t>
            </w: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49,449</w:t>
            </w:r>
          </w:p>
        </w:tc>
        <w:tc>
          <w:tcPr>
            <w:tcW w:w="13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288,426</w:t>
            </w:r>
          </w:p>
        </w:tc>
        <w:tc>
          <w:tcPr>
            <w:tcW w:w="6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10,533</w:t>
            </w:r>
          </w:p>
        </w:tc>
        <w:tc>
          <w:tcPr>
            <w:tcW w:w="1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8,555</w:t>
            </w:r>
          </w:p>
        </w:tc>
        <w:tc>
          <w:tcPr>
            <w:tcW w:w="1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8,006</w:t>
            </w: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w:t>
            </w:r>
          </w:p>
        </w:tc>
        <w:tc>
          <w:tcPr>
            <w:tcW w:w="1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1,379</w:t>
            </w:r>
          </w:p>
        </w:tc>
        <w:tc>
          <w:tcPr>
            <w:tcW w:w="1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1,133</w:t>
            </w:r>
          </w:p>
        </w:tc>
        <w:tc>
          <w:tcPr>
            <w:tcW w:w="1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59,857</w:t>
            </w:r>
          </w:p>
        </w:tc>
        <w:tc>
          <w:tcPr>
            <w:tcW w:w="1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57,986</w:t>
            </w:r>
          </w:p>
        </w:tc>
        <w:tc>
          <w:tcPr>
            <w:tcW w:w="1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58,588</w:t>
            </w:r>
          </w:p>
        </w:tc>
        <w:tc>
          <w:tcPr>
            <w:tcW w:w="1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7,127</w:t>
            </w:r>
          </w:p>
        </w:tc>
        <w:tc>
          <w:tcPr>
            <w:tcW w:w="1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6,780</w:t>
            </w:r>
          </w:p>
        </w:tc>
        <w:tc>
          <w:tcPr>
            <w:tcW w:w="1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6,354</w:t>
            </w:r>
          </w:p>
        </w:tc>
        <w:tc>
          <w:tcPr>
            <w:tcW w:w="13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8"/>
              </w:rPr>
              <w:t>Total liabilities and stockholders’</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66,984</w:t>
            </w:r>
          </w:p>
        </w:tc>
        <w:tc>
          <w:tcPr>
            <w:tcW w:w="13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64,766</w:t>
            </w:r>
          </w:p>
        </w:tc>
        <w:tc>
          <w:tcPr>
            <w:tcW w:w="1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64,942</w:t>
            </w:r>
          </w:p>
        </w:tc>
        <w:tc>
          <w:tcPr>
            <w:tcW w:w="13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interest spread</w:t>
            </w: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31"/>
              <w:spacing w:after="0"/>
              <w:rPr>
                <w:sz w:val="20"/>
                <w:szCs w:val="20"/>
                <w:color w:val="auto"/>
              </w:rPr>
            </w:pPr>
            <w:r>
              <w:rPr>
                <w:rFonts w:ascii="Arial" w:cs="Arial" w:eastAsia="Arial" w:hAnsi="Arial"/>
                <w:sz w:val="18"/>
                <w:szCs w:val="18"/>
                <w:color w:val="auto"/>
              </w:rPr>
              <w:t>3.15</w:t>
            </w:r>
          </w:p>
        </w:tc>
        <w:tc>
          <w:tcPr>
            <w:tcW w:w="8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51"/>
              <w:spacing w:after="0"/>
              <w:rPr>
                <w:sz w:val="20"/>
                <w:szCs w:val="20"/>
                <w:color w:val="auto"/>
              </w:rPr>
            </w:pPr>
            <w:r>
              <w:rPr>
                <w:rFonts w:ascii="Arial" w:cs="Arial" w:eastAsia="Arial" w:hAnsi="Arial"/>
                <w:sz w:val="18"/>
                <w:szCs w:val="18"/>
                <w:color w:val="auto"/>
              </w:rPr>
              <w:t>2.91</w:t>
            </w:r>
          </w:p>
        </w:tc>
        <w:tc>
          <w:tcPr>
            <w:tcW w:w="7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Contribution of interest-free funds</w:t>
            </w: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.28</w:t>
            </w:r>
          </w:p>
        </w:tc>
        <w:tc>
          <w:tcPr>
            <w:tcW w:w="8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.28</w:t>
            </w:r>
          </w:p>
        </w:tc>
        <w:tc>
          <w:tcPr>
            <w:tcW w:w="7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w w:val="96"/>
              </w:rPr>
              <w:t>Net interest income/margin on earning</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$506,781</w:t>
            </w:r>
          </w:p>
        </w:tc>
        <w:tc>
          <w:tcPr>
            <w:tcW w:w="7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3.43%</w:t>
            </w:r>
          </w:p>
        </w:tc>
        <w:tc>
          <w:tcPr>
            <w:tcW w:w="8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452,740</w:t>
            </w:r>
          </w:p>
        </w:tc>
        <w:tc>
          <w:tcPr>
            <w:tcW w:w="8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3.19%</w:t>
            </w:r>
          </w:p>
        </w:tc>
        <w:tc>
          <w:tcPr>
            <w:tcW w:w="7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491,042</w:t>
            </w: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w:t>
      </w:r>
    </w:p>
    <w:p>
      <w:pPr>
        <w:spacing w:after="0" w:line="77"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77"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 for sale securities at amortized cost.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w w:val="92"/>
              </w:rPr>
              <w:t>Table 3 (continued)</w:t>
            </w:r>
          </w:p>
        </w:tc>
      </w:tr>
      <w:tr>
        <w:trPr>
          <w:trHeight w:val="432"/>
        </w:trPr>
        <w:tc>
          <w:tcPr>
            <w:tcW w:w="7760" w:type="dxa"/>
            <w:vAlign w:val="bottom"/>
            <w:gridSpan w:val="6"/>
          </w:tcPr>
          <w:p>
            <w:pPr>
              <w:spacing w:after="0"/>
              <w:rPr>
                <w:sz w:val="20"/>
                <w:szCs w:val="20"/>
                <w:color w:val="auto"/>
              </w:rPr>
            </w:pPr>
            <w:r>
              <w:rPr>
                <w:rFonts w:ascii="Arial" w:cs="Arial" w:eastAsia="Arial" w:hAnsi="Arial"/>
                <w:sz w:val="18"/>
                <w:szCs w:val="18"/>
                <w:color w:val="auto"/>
                <w:w w:val="99"/>
              </w:rPr>
              <w:t>AVERAGE BALANCE SHEETS AND ANNUALIZED TAXABLE-EQUIVALENT RATES (continued)</w:t>
            </w: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46"/>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80" w:type="dxa"/>
            <w:vAlign w:val="bottom"/>
          </w:tcPr>
          <w:p>
            <w:pPr>
              <w:jc w:val="right"/>
              <w:ind w:right="231"/>
              <w:spacing w:after="0"/>
              <w:rPr>
                <w:sz w:val="20"/>
                <w:szCs w:val="20"/>
                <w:color w:val="auto"/>
              </w:rPr>
            </w:pPr>
            <w:r>
              <w:rPr>
                <w:rFonts w:ascii="Arial" w:cs="Arial" w:eastAsia="Arial" w:hAnsi="Arial"/>
                <w:sz w:val="14"/>
                <w:szCs w:val="14"/>
                <w:color w:val="auto"/>
              </w:rPr>
              <w:t>2008 Third Quarter</w:t>
            </w:r>
          </w:p>
        </w:tc>
        <w:tc>
          <w:tcPr>
            <w:tcW w:w="1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40" w:type="dxa"/>
            <w:vAlign w:val="bottom"/>
            <w:gridSpan w:val="2"/>
          </w:tcPr>
          <w:p>
            <w:pPr>
              <w:jc w:val="right"/>
              <w:ind w:right="1191"/>
              <w:spacing w:after="0"/>
              <w:rPr>
                <w:sz w:val="20"/>
                <w:szCs w:val="20"/>
                <w:color w:val="auto"/>
              </w:rPr>
            </w:pPr>
            <w:r>
              <w:rPr>
                <w:rFonts w:ascii="Arial" w:cs="Arial" w:eastAsia="Arial" w:hAnsi="Arial"/>
                <w:sz w:val="14"/>
                <w:szCs w:val="14"/>
                <w:color w:val="auto"/>
              </w:rPr>
              <w:t>2008 Second Quarter</w:t>
            </w: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jc w:val="right"/>
              <w:ind w:right="231"/>
              <w:spacing w:after="0" w:line="149" w:lineRule="exact"/>
              <w:rPr>
                <w:sz w:val="20"/>
                <w:szCs w:val="20"/>
                <w:color w:val="auto"/>
              </w:rPr>
            </w:pPr>
            <w:r>
              <w:rPr>
                <w:rFonts w:ascii="Arial" w:cs="Arial" w:eastAsia="Arial" w:hAnsi="Arial"/>
                <w:sz w:val="14"/>
                <w:szCs w:val="14"/>
                <w:color w:val="auto"/>
                <w:w w:val="91"/>
              </w:rPr>
              <w:t>Average</w:t>
            </w:r>
          </w:p>
        </w:tc>
        <w:tc>
          <w:tcPr>
            <w:tcW w:w="1680" w:type="dxa"/>
            <w:vAlign w:val="bottom"/>
          </w:tcPr>
          <w:p>
            <w:pPr>
              <w:spacing w:after="0"/>
              <w:rPr>
                <w:sz w:val="12"/>
                <w:szCs w:val="12"/>
                <w:color w:val="auto"/>
              </w:rPr>
            </w:pPr>
          </w:p>
        </w:tc>
        <w:tc>
          <w:tcPr>
            <w:tcW w:w="1540" w:type="dxa"/>
            <w:vAlign w:val="bottom"/>
          </w:tcPr>
          <w:p>
            <w:pPr>
              <w:jc w:val="right"/>
              <w:ind w:right="631"/>
              <w:spacing w:after="0" w:line="149" w:lineRule="exact"/>
              <w:rPr>
                <w:sz w:val="20"/>
                <w:szCs w:val="20"/>
                <w:color w:val="auto"/>
              </w:rPr>
            </w:pPr>
            <w:r>
              <w:rPr>
                <w:rFonts w:ascii="Arial" w:cs="Arial" w:eastAsia="Arial" w:hAnsi="Arial"/>
                <w:sz w:val="14"/>
                <w:szCs w:val="14"/>
                <w:color w:val="auto"/>
              </w:rPr>
              <w:t>Average</w:t>
            </w:r>
          </w:p>
        </w:tc>
        <w:tc>
          <w:tcPr>
            <w:tcW w:w="920" w:type="dxa"/>
            <w:vAlign w:val="bottom"/>
          </w:tcPr>
          <w:p>
            <w:pPr>
              <w:jc w:val="right"/>
              <w:ind w:right="231"/>
              <w:spacing w:after="0" w:line="149" w:lineRule="exact"/>
              <w:rPr>
                <w:sz w:val="20"/>
                <w:szCs w:val="20"/>
                <w:color w:val="auto"/>
              </w:rPr>
            </w:pPr>
            <w:r>
              <w:rPr>
                <w:rFonts w:ascii="Arial" w:cs="Arial" w:eastAsia="Arial" w:hAnsi="Arial"/>
                <w:sz w:val="14"/>
                <w:szCs w:val="14"/>
                <w:color w:val="auto"/>
              </w:rPr>
              <w:t>Average</w:t>
            </w:r>
          </w:p>
        </w:tc>
        <w:tc>
          <w:tcPr>
            <w:tcW w:w="1280" w:type="dxa"/>
            <w:vAlign w:val="bottom"/>
          </w:tcPr>
          <w:p>
            <w:pPr>
              <w:spacing w:after="0"/>
              <w:rPr>
                <w:sz w:val="12"/>
                <w:szCs w:val="12"/>
                <w:color w:val="auto"/>
              </w:rPr>
            </w:pPr>
          </w:p>
        </w:tc>
        <w:tc>
          <w:tcPr>
            <w:tcW w:w="1460" w:type="dxa"/>
            <w:vAlign w:val="bottom"/>
          </w:tcPr>
          <w:p>
            <w:pPr>
              <w:jc w:val="right"/>
              <w:ind w:right="111"/>
              <w:spacing w:after="0" w:line="149" w:lineRule="exact"/>
              <w:rPr>
                <w:sz w:val="20"/>
                <w:szCs w:val="20"/>
                <w:color w:val="auto"/>
              </w:rPr>
            </w:pPr>
            <w:r>
              <w:rPr>
                <w:rFonts w:ascii="Arial" w:cs="Arial" w:eastAsia="Arial" w:hAnsi="Arial"/>
                <w:sz w:val="14"/>
                <w:szCs w:val="14"/>
                <w:color w:val="auto"/>
              </w:rPr>
              <w:t>Average</w:t>
            </w:r>
          </w:p>
        </w:tc>
      </w:tr>
      <w:tr>
        <w:trPr>
          <w:trHeight w:val="174"/>
        </w:trPr>
        <w:tc>
          <w:tcPr>
            <w:tcW w:w="3260" w:type="dxa"/>
            <w:vAlign w:val="bottom"/>
            <w:gridSpan w:val="2"/>
          </w:tcPr>
          <w:p>
            <w:pPr>
              <w:spacing w:after="0"/>
              <w:rPr>
                <w:sz w:val="20"/>
                <w:szCs w:val="20"/>
                <w:color w:val="auto"/>
              </w:rPr>
            </w:pPr>
            <w:r>
              <w:rPr>
                <w:rFonts w:ascii="Arial" w:cs="Arial" w:eastAsia="Arial" w:hAnsi="Arial"/>
                <w:sz w:val="14"/>
                <w:szCs w:val="14"/>
                <w:i w:val="1"/>
                <w:iCs w:val="1"/>
                <w:color w:val="auto"/>
              </w:rPr>
              <w:t>Average balance in millions; interest in thousands</w:t>
            </w:r>
          </w:p>
        </w:tc>
        <w:tc>
          <w:tcPr>
            <w:tcW w:w="460" w:type="dxa"/>
            <w:vAlign w:val="bottom"/>
          </w:tcPr>
          <w:p>
            <w:pPr>
              <w:spacing w:after="0"/>
              <w:rPr>
                <w:sz w:val="15"/>
                <w:szCs w:val="15"/>
                <w:color w:val="auto"/>
              </w:rPr>
            </w:pPr>
          </w:p>
        </w:tc>
        <w:tc>
          <w:tcPr>
            <w:tcW w:w="820" w:type="dxa"/>
            <w:vAlign w:val="bottom"/>
          </w:tcPr>
          <w:p>
            <w:pPr>
              <w:jc w:val="right"/>
              <w:ind w:right="251"/>
              <w:spacing w:after="0"/>
              <w:rPr>
                <w:sz w:val="20"/>
                <w:szCs w:val="20"/>
                <w:color w:val="auto"/>
              </w:rPr>
            </w:pPr>
            <w:r>
              <w:rPr>
                <w:rFonts w:ascii="Arial" w:cs="Arial" w:eastAsia="Arial" w:hAnsi="Arial"/>
                <w:sz w:val="14"/>
                <w:szCs w:val="14"/>
                <w:color w:val="auto"/>
                <w:w w:val="90"/>
              </w:rPr>
              <w:t>Balance</w:t>
            </w:r>
          </w:p>
        </w:tc>
        <w:tc>
          <w:tcPr>
            <w:tcW w:w="1680" w:type="dxa"/>
            <w:vAlign w:val="bottom"/>
          </w:tcPr>
          <w:p>
            <w:pPr>
              <w:jc w:val="right"/>
              <w:ind w:right="491"/>
              <w:spacing w:after="0"/>
              <w:rPr>
                <w:sz w:val="20"/>
                <w:szCs w:val="20"/>
                <w:color w:val="auto"/>
              </w:rPr>
            </w:pPr>
            <w:r>
              <w:rPr>
                <w:rFonts w:ascii="Arial" w:cs="Arial" w:eastAsia="Arial" w:hAnsi="Arial"/>
                <w:sz w:val="14"/>
                <w:szCs w:val="14"/>
                <w:color w:val="auto"/>
              </w:rPr>
              <w:t>Interest</w:t>
            </w:r>
          </w:p>
        </w:tc>
        <w:tc>
          <w:tcPr>
            <w:tcW w:w="1540" w:type="dxa"/>
            <w:vAlign w:val="bottom"/>
          </w:tcPr>
          <w:p>
            <w:pPr>
              <w:jc w:val="right"/>
              <w:ind w:right="751"/>
              <w:spacing w:after="0"/>
              <w:rPr>
                <w:sz w:val="20"/>
                <w:szCs w:val="20"/>
                <w:color w:val="auto"/>
              </w:rPr>
            </w:pPr>
            <w:r>
              <w:rPr>
                <w:rFonts w:ascii="Arial" w:cs="Arial" w:eastAsia="Arial" w:hAnsi="Arial"/>
                <w:sz w:val="14"/>
                <w:szCs w:val="14"/>
                <w:color w:val="auto"/>
              </w:rPr>
              <w:t>Rate</w:t>
            </w:r>
          </w:p>
        </w:tc>
        <w:tc>
          <w:tcPr>
            <w:tcW w:w="920" w:type="dxa"/>
            <w:vAlign w:val="bottom"/>
          </w:tcPr>
          <w:p>
            <w:pPr>
              <w:jc w:val="right"/>
              <w:ind w:right="231"/>
              <w:spacing w:after="0"/>
              <w:rPr>
                <w:sz w:val="20"/>
                <w:szCs w:val="20"/>
                <w:color w:val="auto"/>
              </w:rPr>
            </w:pPr>
            <w:r>
              <w:rPr>
                <w:rFonts w:ascii="Arial" w:cs="Arial" w:eastAsia="Arial" w:hAnsi="Arial"/>
                <w:sz w:val="14"/>
                <w:szCs w:val="14"/>
                <w:color w:val="auto"/>
              </w:rPr>
              <w:t>Balance</w:t>
            </w:r>
          </w:p>
        </w:tc>
        <w:tc>
          <w:tcPr>
            <w:tcW w:w="1280" w:type="dxa"/>
            <w:vAlign w:val="bottom"/>
          </w:tcPr>
          <w:p>
            <w:pPr>
              <w:jc w:val="right"/>
              <w:ind w:right="51"/>
              <w:spacing w:after="0"/>
              <w:rPr>
                <w:sz w:val="20"/>
                <w:szCs w:val="20"/>
                <w:color w:val="auto"/>
              </w:rPr>
            </w:pPr>
            <w:r>
              <w:rPr>
                <w:rFonts w:ascii="Arial" w:cs="Arial" w:eastAsia="Arial" w:hAnsi="Arial"/>
                <w:sz w:val="14"/>
                <w:szCs w:val="14"/>
                <w:color w:val="auto"/>
              </w:rPr>
              <w:t>Interest</w:t>
            </w:r>
          </w:p>
        </w:tc>
        <w:tc>
          <w:tcPr>
            <w:tcW w:w="1460" w:type="dxa"/>
            <w:vAlign w:val="bottom"/>
          </w:tcPr>
          <w:p>
            <w:pPr>
              <w:jc w:val="right"/>
              <w:ind w:right="211"/>
              <w:spacing w:after="0"/>
              <w:rPr>
                <w:sz w:val="20"/>
                <w:szCs w:val="20"/>
                <w:color w:val="auto"/>
              </w:rPr>
            </w:pPr>
            <w:r>
              <w:rPr>
                <w:rFonts w:ascii="Arial" w:cs="Arial" w:eastAsia="Arial" w:hAnsi="Arial"/>
                <w:sz w:val="14"/>
                <w:szCs w:val="14"/>
                <w:color w:val="auto"/>
              </w:rPr>
              <w:t>Rate</w:t>
            </w:r>
          </w:p>
        </w:tc>
      </w:tr>
      <w:tr>
        <w:trPr>
          <w:trHeight w:val="216"/>
        </w:trPr>
        <w:tc>
          <w:tcPr>
            <w:tcW w:w="20" w:type="dxa"/>
            <w:vAlign w:val="bottom"/>
          </w:tcPr>
          <w:p>
            <w:pPr>
              <w:spacing w:after="0"/>
              <w:rPr>
                <w:sz w:val="18"/>
                <w:szCs w:val="18"/>
                <w:color w:val="auto"/>
              </w:rPr>
            </w:pPr>
          </w:p>
        </w:tc>
        <w:tc>
          <w:tcPr>
            <w:tcW w:w="3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Earning assets</w:t>
            </w: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and leases, net of unearned</w:t>
            </w: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discount*</w:t>
            </w:r>
          </w:p>
        </w:tc>
        <w:tc>
          <w:tcPr>
            <w:tcW w:w="4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rPr>
              <w:t>Commercial, financial, etc.</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31"/>
              <w:spacing w:after="0"/>
              <w:rPr>
                <w:sz w:val="20"/>
                <w:szCs w:val="20"/>
                <w:color w:val="auto"/>
              </w:rPr>
            </w:pPr>
            <w:r>
              <w:rPr>
                <w:rFonts w:ascii="Arial" w:cs="Arial" w:eastAsia="Arial" w:hAnsi="Arial"/>
                <w:sz w:val="18"/>
                <w:szCs w:val="18"/>
                <w:color w:val="auto"/>
                <w:w w:val="87"/>
              </w:rPr>
              <w:t>13,882</w:t>
            </w:r>
          </w:p>
        </w:tc>
        <w:tc>
          <w:tcPr>
            <w:tcW w:w="1680" w:type="dxa"/>
            <w:vAlign w:val="bottom"/>
          </w:tcPr>
          <w:p>
            <w:pPr>
              <w:jc w:val="right"/>
              <w:ind w:right="411"/>
              <w:spacing w:after="0"/>
              <w:rPr>
                <w:sz w:val="20"/>
                <w:szCs w:val="20"/>
                <w:color w:val="auto"/>
              </w:rPr>
            </w:pPr>
            <w:r>
              <w:rPr>
                <w:rFonts w:ascii="Arial" w:cs="Arial" w:eastAsia="Arial" w:hAnsi="Arial"/>
                <w:sz w:val="18"/>
                <w:szCs w:val="18"/>
                <w:color w:val="auto"/>
              </w:rPr>
              <w:t>$177,497</w:t>
            </w:r>
          </w:p>
        </w:tc>
        <w:tc>
          <w:tcPr>
            <w:tcW w:w="1540" w:type="dxa"/>
            <w:vAlign w:val="bottom"/>
          </w:tcPr>
          <w:p>
            <w:pPr>
              <w:jc w:val="right"/>
              <w:ind w:right="591"/>
              <w:spacing w:after="0"/>
              <w:rPr>
                <w:sz w:val="20"/>
                <w:szCs w:val="20"/>
                <w:color w:val="auto"/>
              </w:rPr>
            </w:pPr>
            <w:r>
              <w:rPr>
                <w:rFonts w:ascii="Arial" w:cs="Arial" w:eastAsia="Arial" w:hAnsi="Arial"/>
                <w:sz w:val="18"/>
                <w:szCs w:val="18"/>
                <w:color w:val="auto"/>
              </w:rPr>
              <w:t>5.09%</w:t>
            </w:r>
          </w:p>
        </w:tc>
        <w:tc>
          <w:tcPr>
            <w:tcW w:w="920" w:type="dxa"/>
            <w:vAlign w:val="bottom"/>
          </w:tcPr>
          <w:p>
            <w:pPr>
              <w:jc w:val="right"/>
              <w:ind w:right="211"/>
              <w:spacing w:after="0"/>
              <w:rPr>
                <w:sz w:val="20"/>
                <w:szCs w:val="20"/>
                <w:color w:val="auto"/>
              </w:rPr>
            </w:pPr>
            <w:r>
              <w:rPr>
                <w:rFonts w:ascii="Arial" w:cs="Arial" w:eastAsia="Arial" w:hAnsi="Arial"/>
                <w:sz w:val="18"/>
                <w:szCs w:val="18"/>
                <w:color w:val="auto"/>
              </w:rPr>
              <w:t>13,800</w:t>
            </w:r>
          </w:p>
        </w:tc>
        <w:tc>
          <w:tcPr>
            <w:tcW w:w="1280" w:type="dxa"/>
            <w:vAlign w:val="bottom"/>
          </w:tcPr>
          <w:p>
            <w:pPr>
              <w:jc w:val="right"/>
              <w:spacing w:after="0"/>
              <w:rPr>
                <w:sz w:val="20"/>
                <w:szCs w:val="20"/>
                <w:color w:val="auto"/>
              </w:rPr>
            </w:pPr>
            <w:r>
              <w:rPr>
                <w:rFonts w:ascii="Arial" w:cs="Arial" w:eastAsia="Arial" w:hAnsi="Arial"/>
                <w:sz w:val="18"/>
                <w:szCs w:val="18"/>
                <w:color w:val="auto"/>
              </w:rPr>
              <w:t>176,353</w:t>
            </w: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5.14%</w:t>
            </w: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Real estate — commercial</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87"/>
              </w:rPr>
              <w:t>18,557</w:t>
            </w:r>
          </w:p>
        </w:tc>
        <w:tc>
          <w:tcPr>
            <w:tcW w:w="168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260,879</w:t>
            </w:r>
          </w:p>
        </w:tc>
        <w:tc>
          <w:tcPr>
            <w:tcW w:w="154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rPr>
              <w:t>5.62</w:t>
            </w:r>
          </w:p>
        </w:tc>
        <w:tc>
          <w:tcPr>
            <w:tcW w:w="9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18,491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266,323</w:t>
            </w:r>
          </w:p>
        </w:tc>
        <w:tc>
          <w:tcPr>
            <w:tcW w:w="14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5.76</w:t>
            </w:r>
          </w:p>
        </w:tc>
      </w:tr>
      <w:tr>
        <w:trPr>
          <w:trHeight w:val="216"/>
        </w:trPr>
        <w:tc>
          <w:tcPr>
            <w:tcW w:w="20" w:type="dxa"/>
            <w:vAlign w:val="bottom"/>
          </w:tcPr>
          <w:p>
            <w:pPr>
              <w:spacing w:after="0"/>
              <w:rPr>
                <w:sz w:val="18"/>
                <w:szCs w:val="18"/>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rPr>
              <w:t>Real estate — consumer</w:t>
            </w:r>
          </w:p>
        </w:tc>
        <w:tc>
          <w:tcPr>
            <w:tcW w:w="460" w:type="dxa"/>
            <w:vAlign w:val="bottom"/>
          </w:tcPr>
          <w:p>
            <w:pPr>
              <w:spacing w:after="0"/>
              <w:rPr>
                <w:sz w:val="18"/>
                <w:szCs w:val="18"/>
                <w:color w:val="auto"/>
              </w:rPr>
            </w:pPr>
          </w:p>
        </w:tc>
        <w:tc>
          <w:tcPr>
            <w:tcW w:w="820" w:type="dxa"/>
            <w:vAlign w:val="bottom"/>
          </w:tcPr>
          <w:p>
            <w:pPr>
              <w:jc w:val="right"/>
              <w:ind w:right="231"/>
              <w:spacing w:after="0"/>
              <w:rPr>
                <w:sz w:val="20"/>
                <w:szCs w:val="20"/>
                <w:color w:val="auto"/>
              </w:rPr>
            </w:pPr>
            <w:r>
              <w:rPr>
                <w:rFonts w:ascii="Arial" w:cs="Arial" w:eastAsia="Arial" w:hAnsi="Arial"/>
                <w:sz w:val="18"/>
                <w:szCs w:val="18"/>
                <w:color w:val="auto"/>
              </w:rPr>
              <w:t>4,964</w:t>
            </w:r>
          </w:p>
        </w:tc>
        <w:tc>
          <w:tcPr>
            <w:tcW w:w="1680" w:type="dxa"/>
            <w:vAlign w:val="bottom"/>
          </w:tcPr>
          <w:p>
            <w:pPr>
              <w:jc w:val="right"/>
              <w:ind w:right="411"/>
              <w:spacing w:after="0"/>
              <w:rPr>
                <w:sz w:val="20"/>
                <w:szCs w:val="20"/>
                <w:color w:val="auto"/>
              </w:rPr>
            </w:pPr>
            <w:r>
              <w:rPr>
                <w:rFonts w:ascii="Arial" w:cs="Arial" w:eastAsia="Arial" w:hAnsi="Arial"/>
                <w:sz w:val="18"/>
                <w:szCs w:val="18"/>
                <w:color w:val="auto"/>
              </w:rPr>
              <w:t>74,582</w:t>
            </w:r>
          </w:p>
        </w:tc>
        <w:tc>
          <w:tcPr>
            <w:tcW w:w="1540" w:type="dxa"/>
            <w:vAlign w:val="bottom"/>
          </w:tcPr>
          <w:p>
            <w:pPr>
              <w:jc w:val="right"/>
              <w:ind w:right="731"/>
              <w:spacing w:after="0"/>
              <w:rPr>
                <w:sz w:val="20"/>
                <w:szCs w:val="20"/>
                <w:color w:val="auto"/>
              </w:rPr>
            </w:pPr>
            <w:r>
              <w:rPr>
                <w:rFonts w:ascii="Arial" w:cs="Arial" w:eastAsia="Arial" w:hAnsi="Arial"/>
                <w:sz w:val="18"/>
                <w:szCs w:val="18"/>
                <w:color w:val="auto"/>
              </w:rPr>
              <w:t>6.01</w:t>
            </w:r>
          </w:p>
        </w:tc>
        <w:tc>
          <w:tcPr>
            <w:tcW w:w="920" w:type="dxa"/>
            <w:vAlign w:val="bottom"/>
          </w:tcPr>
          <w:p>
            <w:pPr>
              <w:jc w:val="right"/>
              <w:ind w:right="211"/>
              <w:spacing w:after="0"/>
              <w:rPr>
                <w:sz w:val="20"/>
                <w:szCs w:val="20"/>
                <w:color w:val="auto"/>
              </w:rPr>
            </w:pPr>
            <w:r>
              <w:rPr>
                <w:rFonts w:ascii="Arial" w:cs="Arial" w:eastAsia="Arial" w:hAnsi="Arial"/>
                <w:sz w:val="18"/>
                <w:szCs w:val="18"/>
                <w:color w:val="auto"/>
              </w:rPr>
              <w:t>6,026</w:t>
            </w:r>
          </w:p>
        </w:tc>
        <w:tc>
          <w:tcPr>
            <w:tcW w:w="1280" w:type="dxa"/>
            <w:vAlign w:val="bottom"/>
          </w:tcPr>
          <w:p>
            <w:pPr>
              <w:jc w:val="right"/>
              <w:spacing w:after="0"/>
              <w:rPr>
                <w:sz w:val="20"/>
                <w:szCs w:val="20"/>
                <w:color w:val="auto"/>
              </w:rPr>
            </w:pPr>
            <w:r>
              <w:rPr>
                <w:rFonts w:ascii="Arial" w:cs="Arial" w:eastAsia="Arial" w:hAnsi="Arial"/>
                <w:sz w:val="18"/>
                <w:szCs w:val="18"/>
                <w:color w:val="auto"/>
              </w:rPr>
              <w:t>91,035</w:t>
            </w:r>
          </w:p>
        </w:tc>
        <w:tc>
          <w:tcPr>
            <w:tcW w:w="1460" w:type="dxa"/>
            <w:vAlign w:val="bottom"/>
          </w:tcPr>
          <w:p>
            <w:pPr>
              <w:jc w:val="right"/>
              <w:ind w:right="191"/>
              <w:spacing w:after="0"/>
              <w:rPr>
                <w:sz w:val="20"/>
                <w:szCs w:val="20"/>
                <w:color w:val="auto"/>
              </w:rPr>
            </w:pPr>
            <w:r>
              <w:rPr>
                <w:rFonts w:ascii="Arial" w:cs="Arial" w:eastAsia="Arial" w:hAnsi="Arial"/>
                <w:sz w:val="18"/>
                <w:szCs w:val="18"/>
                <w:color w:val="auto"/>
              </w:rPr>
              <w:t>6.04</w:t>
            </w:r>
          </w:p>
        </w:tc>
      </w:tr>
      <w:tr>
        <w:trPr>
          <w:trHeight w:val="216"/>
        </w:trPr>
        <w:tc>
          <w:tcPr>
            <w:tcW w:w="20" w:type="dxa"/>
            <w:vAlign w:val="bottom"/>
          </w:tcPr>
          <w:p>
            <w:pPr>
              <w:spacing w:after="0"/>
              <w:rPr>
                <w:sz w:val="18"/>
                <w:szCs w:val="18"/>
                <w:color w:val="auto"/>
              </w:rPr>
            </w:pPr>
          </w:p>
        </w:tc>
        <w:tc>
          <w:tcPr>
            <w:tcW w:w="32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Consumer</w:t>
            </w: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87"/>
              </w:rPr>
              <w:t>11,074</w:t>
            </w:r>
          </w:p>
        </w:tc>
        <w:tc>
          <w:tcPr>
            <w:tcW w:w="168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rPr>
              <w:t>175,558</w:t>
            </w:r>
          </w:p>
        </w:tc>
        <w:tc>
          <w:tcPr>
            <w:tcW w:w="1540" w:type="dxa"/>
            <w:vAlign w:val="bottom"/>
            <w:tcBorders>
              <w:bottom w:val="single" w:sz="8" w:color="auto"/>
            </w:tcBorders>
            <w:shd w:val="clear" w:color="auto" w:fill="CCEEFF"/>
          </w:tcPr>
          <w:p>
            <w:pPr>
              <w:jc w:val="right"/>
              <w:ind w:right="731"/>
              <w:spacing w:after="0"/>
              <w:rPr>
                <w:sz w:val="20"/>
                <w:szCs w:val="20"/>
                <w:color w:val="auto"/>
              </w:rPr>
            </w:pPr>
            <w:r>
              <w:rPr>
                <w:rFonts w:ascii="Arial" w:cs="Arial" w:eastAsia="Arial" w:hAnsi="Arial"/>
                <w:sz w:val="18"/>
                <w:szCs w:val="18"/>
                <w:color w:val="auto"/>
              </w:rPr>
              <w:t>6.31</w:t>
            </w:r>
          </w:p>
        </w:tc>
        <w:tc>
          <w:tcPr>
            <w:tcW w:w="9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11,205</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178,598</w:t>
            </w:r>
          </w:p>
        </w:tc>
        <w:tc>
          <w:tcPr>
            <w:tcW w:w="14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6.41</w:t>
            </w:r>
          </w:p>
        </w:tc>
      </w:tr>
      <w:tr>
        <w:trPr>
          <w:trHeight w:val="230"/>
        </w:trPr>
        <w:tc>
          <w:tcPr>
            <w:tcW w:w="20" w:type="dxa"/>
            <w:vAlign w:val="bottom"/>
          </w:tcPr>
          <w:p>
            <w:pPr>
              <w:spacing w:after="0"/>
              <w:rPr>
                <w:sz w:val="20"/>
                <w:szCs w:val="20"/>
                <w:color w:val="auto"/>
              </w:rPr>
            </w:pPr>
          </w:p>
        </w:tc>
        <w:tc>
          <w:tcPr>
            <w:tcW w:w="32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loans and leases, net</w:t>
            </w: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87"/>
              </w:rPr>
              <w:t>48,477</w:t>
            </w:r>
          </w:p>
        </w:tc>
        <w:tc>
          <w:tcPr>
            <w:tcW w:w="16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688,516</w:t>
            </w:r>
          </w:p>
        </w:tc>
        <w:tc>
          <w:tcPr>
            <w:tcW w:w="154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rPr>
              <w:t>5.65</w:t>
            </w:r>
          </w:p>
        </w:tc>
        <w:tc>
          <w:tcPr>
            <w:tcW w:w="9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49,522</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712,309</w:t>
            </w:r>
          </w:p>
        </w:tc>
        <w:tc>
          <w:tcPr>
            <w:tcW w:w="14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5.79</w:t>
            </w: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deposits at banks</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9</w:t>
            </w:r>
          </w:p>
        </w:tc>
        <w:tc>
          <w:tcPr>
            <w:tcW w:w="168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25</w:t>
            </w:r>
          </w:p>
        </w:tc>
        <w:tc>
          <w:tcPr>
            <w:tcW w:w="154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rPr>
              <w:t>1.09</w:t>
            </w:r>
          </w:p>
        </w:tc>
        <w:tc>
          <w:tcPr>
            <w:tcW w:w="9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1.14</w:t>
            </w:r>
          </w:p>
        </w:tc>
      </w:tr>
      <w:tr>
        <w:trPr>
          <w:trHeight w:val="202"/>
        </w:trPr>
        <w:tc>
          <w:tcPr>
            <w:tcW w:w="20" w:type="dxa"/>
            <w:vAlign w:val="bottom"/>
          </w:tcPr>
          <w:p>
            <w:pPr>
              <w:spacing w:after="0"/>
              <w:rPr>
                <w:sz w:val="17"/>
                <w:szCs w:val="17"/>
                <w:color w:val="auto"/>
              </w:rPr>
            </w:pPr>
          </w:p>
        </w:tc>
        <w:tc>
          <w:tcPr>
            <w:tcW w:w="3240" w:type="dxa"/>
            <w:vAlign w:val="bottom"/>
          </w:tcPr>
          <w:p>
            <w:pPr>
              <w:spacing w:after="0" w:line="201" w:lineRule="exact"/>
              <w:rPr>
                <w:sz w:val="20"/>
                <w:szCs w:val="20"/>
                <w:color w:val="auto"/>
              </w:rPr>
            </w:pPr>
            <w:r>
              <w:rPr>
                <w:rFonts w:ascii="Arial" w:cs="Arial" w:eastAsia="Arial" w:hAnsi="Arial"/>
                <w:sz w:val="18"/>
                <w:szCs w:val="18"/>
                <w:color w:val="auto"/>
              </w:rPr>
              <w:t>Federal funds sold and agreements to</w:t>
            </w: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rPr>
              <w:t>resell securities</w:t>
            </w:r>
          </w:p>
        </w:tc>
        <w:tc>
          <w:tcPr>
            <w:tcW w:w="460" w:type="dxa"/>
            <w:vAlign w:val="bottom"/>
          </w:tcPr>
          <w:p>
            <w:pPr>
              <w:spacing w:after="0"/>
              <w:rPr>
                <w:sz w:val="20"/>
                <w:szCs w:val="20"/>
                <w:color w:val="auto"/>
              </w:rPr>
            </w:pPr>
          </w:p>
        </w:tc>
        <w:tc>
          <w:tcPr>
            <w:tcW w:w="820" w:type="dxa"/>
            <w:vAlign w:val="bottom"/>
          </w:tcPr>
          <w:p>
            <w:pPr>
              <w:jc w:val="right"/>
              <w:ind w:right="231"/>
              <w:spacing w:after="0"/>
              <w:rPr>
                <w:sz w:val="20"/>
                <w:szCs w:val="20"/>
                <w:color w:val="auto"/>
              </w:rPr>
            </w:pPr>
            <w:r>
              <w:rPr>
                <w:rFonts w:ascii="Arial" w:cs="Arial" w:eastAsia="Arial" w:hAnsi="Arial"/>
                <w:sz w:val="18"/>
                <w:szCs w:val="18"/>
                <w:color w:val="auto"/>
              </w:rPr>
              <w:t>102</w:t>
            </w:r>
          </w:p>
        </w:tc>
        <w:tc>
          <w:tcPr>
            <w:tcW w:w="1680" w:type="dxa"/>
            <w:vAlign w:val="bottom"/>
          </w:tcPr>
          <w:p>
            <w:pPr>
              <w:jc w:val="right"/>
              <w:ind w:right="411"/>
              <w:spacing w:after="0"/>
              <w:rPr>
                <w:sz w:val="20"/>
                <w:szCs w:val="20"/>
                <w:color w:val="auto"/>
              </w:rPr>
            </w:pPr>
            <w:r>
              <w:rPr>
                <w:rFonts w:ascii="Arial" w:cs="Arial" w:eastAsia="Arial" w:hAnsi="Arial"/>
                <w:sz w:val="18"/>
                <w:szCs w:val="18"/>
                <w:color w:val="auto"/>
              </w:rPr>
              <w:t>515</w:t>
            </w:r>
          </w:p>
        </w:tc>
        <w:tc>
          <w:tcPr>
            <w:tcW w:w="1540" w:type="dxa"/>
            <w:vAlign w:val="bottom"/>
          </w:tcPr>
          <w:p>
            <w:pPr>
              <w:jc w:val="right"/>
              <w:ind w:right="731"/>
              <w:spacing w:after="0"/>
              <w:rPr>
                <w:sz w:val="20"/>
                <w:szCs w:val="20"/>
                <w:color w:val="auto"/>
              </w:rPr>
            </w:pPr>
            <w:r>
              <w:rPr>
                <w:rFonts w:ascii="Arial" w:cs="Arial" w:eastAsia="Arial" w:hAnsi="Arial"/>
                <w:sz w:val="18"/>
                <w:szCs w:val="18"/>
                <w:color w:val="auto"/>
              </w:rPr>
              <w:t>2.01</w:t>
            </w:r>
          </w:p>
        </w:tc>
        <w:tc>
          <w:tcPr>
            <w:tcW w:w="920" w:type="dxa"/>
            <w:vAlign w:val="bottom"/>
          </w:tcPr>
          <w:p>
            <w:pPr>
              <w:jc w:val="right"/>
              <w:ind w:right="211"/>
              <w:spacing w:after="0"/>
              <w:rPr>
                <w:sz w:val="20"/>
                <w:szCs w:val="20"/>
                <w:color w:val="auto"/>
              </w:rPr>
            </w:pPr>
            <w:r>
              <w:rPr>
                <w:rFonts w:ascii="Arial" w:cs="Arial" w:eastAsia="Arial" w:hAnsi="Arial"/>
                <w:sz w:val="18"/>
                <w:szCs w:val="18"/>
                <w:color w:val="auto"/>
              </w:rPr>
              <w:t>101</w:t>
            </w:r>
          </w:p>
        </w:tc>
        <w:tc>
          <w:tcPr>
            <w:tcW w:w="1280" w:type="dxa"/>
            <w:vAlign w:val="bottom"/>
          </w:tcPr>
          <w:p>
            <w:pPr>
              <w:jc w:val="right"/>
              <w:spacing w:after="0"/>
              <w:rPr>
                <w:sz w:val="20"/>
                <w:szCs w:val="20"/>
                <w:color w:val="auto"/>
              </w:rPr>
            </w:pPr>
            <w:r>
              <w:rPr>
                <w:rFonts w:ascii="Arial" w:cs="Arial" w:eastAsia="Arial" w:hAnsi="Arial"/>
                <w:sz w:val="18"/>
                <w:szCs w:val="18"/>
                <w:color w:val="auto"/>
              </w:rPr>
              <w:t>492</w:t>
            </w:r>
          </w:p>
        </w:tc>
        <w:tc>
          <w:tcPr>
            <w:tcW w:w="1460" w:type="dxa"/>
            <w:vAlign w:val="bottom"/>
          </w:tcPr>
          <w:p>
            <w:pPr>
              <w:jc w:val="right"/>
              <w:ind w:right="191"/>
              <w:spacing w:after="0"/>
              <w:rPr>
                <w:sz w:val="20"/>
                <w:szCs w:val="20"/>
                <w:color w:val="auto"/>
              </w:rPr>
            </w:pPr>
            <w:r>
              <w:rPr>
                <w:rFonts w:ascii="Arial" w:cs="Arial" w:eastAsia="Arial" w:hAnsi="Arial"/>
                <w:sz w:val="18"/>
                <w:szCs w:val="18"/>
                <w:color w:val="auto"/>
              </w:rPr>
              <w:t>1.96</w:t>
            </w: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80</w:t>
            </w:r>
          </w:p>
        </w:tc>
        <w:tc>
          <w:tcPr>
            <w:tcW w:w="168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359</w:t>
            </w:r>
          </w:p>
        </w:tc>
        <w:tc>
          <w:tcPr>
            <w:tcW w:w="154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rPr>
              <w:t>1.81</w:t>
            </w:r>
          </w:p>
        </w:tc>
        <w:tc>
          <w:tcPr>
            <w:tcW w:w="9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64</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4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Investment securities**</w:t>
            </w: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Treasury and federal agencies</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4,067</w:t>
            </w:r>
          </w:p>
        </w:tc>
        <w:tc>
          <w:tcPr>
            <w:tcW w:w="168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50,085</w:t>
            </w:r>
          </w:p>
        </w:tc>
        <w:tc>
          <w:tcPr>
            <w:tcW w:w="154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rPr>
              <w:t>4.90</w:t>
            </w:r>
          </w:p>
        </w:tc>
        <w:tc>
          <w:tcPr>
            <w:tcW w:w="9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3,462</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40,996</w:t>
            </w:r>
          </w:p>
        </w:tc>
        <w:tc>
          <w:tcPr>
            <w:tcW w:w="14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4.76</w:t>
            </w:r>
          </w:p>
        </w:tc>
      </w:tr>
      <w:tr>
        <w:trPr>
          <w:trHeight w:val="202"/>
        </w:trPr>
        <w:tc>
          <w:tcPr>
            <w:tcW w:w="20" w:type="dxa"/>
            <w:vAlign w:val="bottom"/>
          </w:tcPr>
          <w:p>
            <w:pPr>
              <w:spacing w:after="0"/>
              <w:rPr>
                <w:sz w:val="17"/>
                <w:szCs w:val="17"/>
                <w:color w:val="auto"/>
              </w:rPr>
            </w:pPr>
          </w:p>
        </w:tc>
        <w:tc>
          <w:tcPr>
            <w:tcW w:w="3240" w:type="dxa"/>
            <w:vAlign w:val="bottom"/>
          </w:tcPr>
          <w:p>
            <w:pPr>
              <w:ind w:left="200"/>
              <w:spacing w:after="0" w:line="201" w:lineRule="exact"/>
              <w:rPr>
                <w:sz w:val="20"/>
                <w:szCs w:val="20"/>
                <w:color w:val="auto"/>
              </w:rPr>
            </w:pPr>
            <w:r>
              <w:rPr>
                <w:rFonts w:ascii="Arial" w:cs="Arial" w:eastAsia="Arial" w:hAnsi="Arial"/>
                <w:sz w:val="18"/>
                <w:szCs w:val="18"/>
                <w:color w:val="auto"/>
              </w:rPr>
              <w:t>Obligations of states and political</w:t>
            </w: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400"/>
              <w:spacing w:after="0"/>
              <w:rPr>
                <w:sz w:val="20"/>
                <w:szCs w:val="20"/>
                <w:color w:val="auto"/>
              </w:rPr>
            </w:pPr>
            <w:r>
              <w:rPr>
                <w:rFonts w:ascii="Arial" w:cs="Arial" w:eastAsia="Arial" w:hAnsi="Arial"/>
                <w:sz w:val="18"/>
                <w:szCs w:val="18"/>
                <w:color w:val="auto"/>
              </w:rPr>
              <w:t>subdivisions</w:t>
            </w:r>
          </w:p>
        </w:tc>
        <w:tc>
          <w:tcPr>
            <w:tcW w:w="460" w:type="dxa"/>
            <w:vAlign w:val="bottom"/>
          </w:tcPr>
          <w:p>
            <w:pPr>
              <w:spacing w:after="0"/>
              <w:rPr>
                <w:sz w:val="20"/>
                <w:szCs w:val="20"/>
                <w:color w:val="auto"/>
              </w:rPr>
            </w:pPr>
          </w:p>
        </w:tc>
        <w:tc>
          <w:tcPr>
            <w:tcW w:w="820" w:type="dxa"/>
            <w:vAlign w:val="bottom"/>
          </w:tcPr>
          <w:p>
            <w:pPr>
              <w:jc w:val="right"/>
              <w:ind w:right="231"/>
              <w:spacing w:after="0"/>
              <w:rPr>
                <w:sz w:val="20"/>
                <w:szCs w:val="20"/>
                <w:color w:val="auto"/>
              </w:rPr>
            </w:pPr>
            <w:r>
              <w:rPr>
                <w:rFonts w:ascii="Arial" w:cs="Arial" w:eastAsia="Arial" w:hAnsi="Arial"/>
                <w:sz w:val="18"/>
                <w:szCs w:val="18"/>
                <w:color w:val="auto"/>
              </w:rPr>
              <w:t>129</w:t>
            </w:r>
          </w:p>
        </w:tc>
        <w:tc>
          <w:tcPr>
            <w:tcW w:w="1680" w:type="dxa"/>
            <w:vAlign w:val="bottom"/>
          </w:tcPr>
          <w:p>
            <w:pPr>
              <w:jc w:val="right"/>
              <w:ind w:right="411"/>
              <w:spacing w:after="0"/>
              <w:rPr>
                <w:sz w:val="20"/>
                <w:szCs w:val="20"/>
                <w:color w:val="auto"/>
              </w:rPr>
            </w:pPr>
            <w:r>
              <w:rPr>
                <w:rFonts w:ascii="Arial" w:cs="Arial" w:eastAsia="Arial" w:hAnsi="Arial"/>
                <w:sz w:val="18"/>
                <w:szCs w:val="18"/>
                <w:color w:val="auto"/>
              </w:rPr>
              <w:t>2,191</w:t>
            </w:r>
          </w:p>
        </w:tc>
        <w:tc>
          <w:tcPr>
            <w:tcW w:w="1540" w:type="dxa"/>
            <w:vAlign w:val="bottom"/>
          </w:tcPr>
          <w:p>
            <w:pPr>
              <w:jc w:val="right"/>
              <w:ind w:right="731"/>
              <w:spacing w:after="0"/>
              <w:rPr>
                <w:sz w:val="20"/>
                <w:szCs w:val="20"/>
                <w:color w:val="auto"/>
              </w:rPr>
            </w:pPr>
            <w:r>
              <w:rPr>
                <w:rFonts w:ascii="Arial" w:cs="Arial" w:eastAsia="Arial" w:hAnsi="Arial"/>
                <w:sz w:val="18"/>
                <w:szCs w:val="18"/>
                <w:color w:val="auto"/>
              </w:rPr>
              <w:t>6.79</w:t>
            </w:r>
          </w:p>
        </w:tc>
        <w:tc>
          <w:tcPr>
            <w:tcW w:w="920" w:type="dxa"/>
            <w:vAlign w:val="bottom"/>
          </w:tcPr>
          <w:p>
            <w:pPr>
              <w:jc w:val="right"/>
              <w:ind w:right="211"/>
              <w:spacing w:after="0"/>
              <w:rPr>
                <w:sz w:val="20"/>
                <w:szCs w:val="20"/>
                <w:color w:val="auto"/>
              </w:rPr>
            </w:pPr>
            <w:r>
              <w:rPr>
                <w:rFonts w:ascii="Arial" w:cs="Arial" w:eastAsia="Arial" w:hAnsi="Arial"/>
                <w:sz w:val="18"/>
                <w:szCs w:val="18"/>
                <w:color w:val="auto"/>
              </w:rPr>
              <w:t>140</w:t>
            </w:r>
          </w:p>
        </w:tc>
        <w:tc>
          <w:tcPr>
            <w:tcW w:w="1280" w:type="dxa"/>
            <w:vAlign w:val="bottom"/>
          </w:tcPr>
          <w:p>
            <w:pPr>
              <w:jc w:val="right"/>
              <w:spacing w:after="0"/>
              <w:rPr>
                <w:sz w:val="20"/>
                <w:szCs w:val="20"/>
                <w:color w:val="auto"/>
              </w:rPr>
            </w:pPr>
            <w:r>
              <w:rPr>
                <w:rFonts w:ascii="Arial" w:cs="Arial" w:eastAsia="Arial" w:hAnsi="Arial"/>
                <w:sz w:val="18"/>
                <w:szCs w:val="18"/>
                <w:color w:val="auto"/>
              </w:rPr>
              <w:t>2,455</w:t>
            </w:r>
          </w:p>
        </w:tc>
        <w:tc>
          <w:tcPr>
            <w:tcW w:w="1460" w:type="dxa"/>
            <w:vAlign w:val="bottom"/>
          </w:tcPr>
          <w:p>
            <w:pPr>
              <w:jc w:val="right"/>
              <w:ind w:right="191"/>
              <w:spacing w:after="0"/>
              <w:rPr>
                <w:sz w:val="20"/>
                <w:szCs w:val="20"/>
                <w:color w:val="auto"/>
              </w:rPr>
            </w:pPr>
            <w:r>
              <w:rPr>
                <w:rFonts w:ascii="Arial" w:cs="Arial" w:eastAsia="Arial" w:hAnsi="Arial"/>
                <w:sz w:val="18"/>
                <w:szCs w:val="18"/>
                <w:color w:val="auto"/>
              </w:rPr>
              <w:t>7.03</w:t>
            </w:r>
          </w:p>
        </w:tc>
      </w:tr>
      <w:tr>
        <w:trPr>
          <w:trHeight w:val="216"/>
        </w:trPr>
        <w:tc>
          <w:tcPr>
            <w:tcW w:w="20" w:type="dxa"/>
            <w:vAlign w:val="bottom"/>
          </w:tcPr>
          <w:p>
            <w:pPr>
              <w:spacing w:after="0"/>
              <w:rPr>
                <w:sz w:val="18"/>
                <w:szCs w:val="18"/>
                <w:color w:val="auto"/>
              </w:rPr>
            </w:pPr>
          </w:p>
        </w:tc>
        <w:tc>
          <w:tcPr>
            <w:tcW w:w="32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5,107</w:t>
            </w:r>
          </w:p>
        </w:tc>
        <w:tc>
          <w:tcPr>
            <w:tcW w:w="168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rPr>
              <w:t>64,923</w:t>
            </w:r>
          </w:p>
        </w:tc>
        <w:tc>
          <w:tcPr>
            <w:tcW w:w="1540" w:type="dxa"/>
            <w:vAlign w:val="bottom"/>
            <w:tcBorders>
              <w:bottom w:val="single" w:sz="8" w:color="auto"/>
            </w:tcBorders>
            <w:shd w:val="clear" w:color="auto" w:fill="CCEEFF"/>
          </w:tcPr>
          <w:p>
            <w:pPr>
              <w:jc w:val="right"/>
              <w:ind w:right="731"/>
              <w:spacing w:after="0"/>
              <w:rPr>
                <w:sz w:val="20"/>
                <w:szCs w:val="20"/>
                <w:color w:val="auto"/>
              </w:rPr>
            </w:pPr>
            <w:r>
              <w:rPr>
                <w:rFonts w:ascii="Arial" w:cs="Arial" w:eastAsia="Arial" w:hAnsi="Arial"/>
                <w:sz w:val="18"/>
                <w:szCs w:val="18"/>
                <w:color w:val="auto"/>
              </w:rPr>
              <w:t>5.06</w:t>
            </w:r>
          </w:p>
        </w:tc>
        <w:tc>
          <w:tcPr>
            <w:tcW w:w="9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5,168</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67,008</w:t>
            </w:r>
          </w:p>
        </w:tc>
        <w:tc>
          <w:tcPr>
            <w:tcW w:w="14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5.22</w:t>
            </w:r>
          </w:p>
        </w:tc>
      </w:tr>
      <w:tr>
        <w:trPr>
          <w:trHeight w:val="230"/>
        </w:trPr>
        <w:tc>
          <w:tcPr>
            <w:tcW w:w="20" w:type="dxa"/>
            <w:vAlign w:val="bottom"/>
          </w:tcPr>
          <w:p>
            <w:pPr>
              <w:spacing w:after="0"/>
              <w:rPr>
                <w:sz w:val="20"/>
                <w:szCs w:val="20"/>
                <w:color w:val="auto"/>
              </w:rPr>
            </w:pPr>
          </w:p>
        </w:tc>
        <w:tc>
          <w:tcPr>
            <w:tcW w:w="32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investment securities</w:t>
            </w: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9,303</w:t>
            </w:r>
          </w:p>
        </w:tc>
        <w:tc>
          <w:tcPr>
            <w:tcW w:w="16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117,199</w:t>
            </w:r>
          </w:p>
        </w:tc>
        <w:tc>
          <w:tcPr>
            <w:tcW w:w="154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rPr>
              <w:t>5.01</w:t>
            </w:r>
          </w:p>
        </w:tc>
        <w:tc>
          <w:tcPr>
            <w:tcW w:w="9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8,770</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110,459</w:t>
            </w:r>
          </w:p>
        </w:tc>
        <w:tc>
          <w:tcPr>
            <w:tcW w:w="14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5.07</w:t>
            </w:r>
          </w:p>
        </w:tc>
      </w:tr>
      <w:tr>
        <w:trPr>
          <w:trHeight w:val="216"/>
        </w:trPr>
        <w:tc>
          <w:tcPr>
            <w:tcW w:w="20" w:type="dxa"/>
            <w:vAlign w:val="bottom"/>
          </w:tcPr>
          <w:p>
            <w:pPr>
              <w:spacing w:after="0"/>
              <w:rPr>
                <w:sz w:val="18"/>
                <w:szCs w:val="18"/>
                <w:color w:val="auto"/>
              </w:rPr>
            </w:pPr>
          </w:p>
        </w:tc>
        <w:tc>
          <w:tcPr>
            <w:tcW w:w="32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b w:val="1"/>
                <w:bCs w:val="1"/>
                <w:color w:val="auto"/>
              </w:rPr>
              <w:t>Total earning assets</w:t>
            </w: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87"/>
              </w:rPr>
              <w:t>57,971</w:t>
            </w:r>
          </w:p>
        </w:tc>
        <w:tc>
          <w:tcPr>
            <w:tcW w:w="168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rPr>
              <w:t>806,614</w:t>
            </w:r>
          </w:p>
        </w:tc>
        <w:tc>
          <w:tcPr>
            <w:tcW w:w="1540" w:type="dxa"/>
            <w:vAlign w:val="bottom"/>
            <w:tcBorders>
              <w:bottom w:val="single" w:sz="8" w:color="auto"/>
            </w:tcBorders>
            <w:shd w:val="clear" w:color="auto" w:fill="CCEEFF"/>
          </w:tcPr>
          <w:p>
            <w:pPr>
              <w:jc w:val="right"/>
              <w:ind w:right="731"/>
              <w:spacing w:after="0"/>
              <w:rPr>
                <w:sz w:val="20"/>
                <w:szCs w:val="20"/>
                <w:color w:val="auto"/>
              </w:rPr>
            </w:pPr>
            <w:r>
              <w:rPr>
                <w:rFonts w:ascii="Arial" w:cs="Arial" w:eastAsia="Arial" w:hAnsi="Arial"/>
                <w:sz w:val="18"/>
                <w:szCs w:val="18"/>
                <w:color w:val="auto"/>
              </w:rPr>
              <w:t>5.54</w:t>
            </w:r>
          </w:p>
        </w:tc>
        <w:tc>
          <w:tcPr>
            <w:tcW w:w="9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58,465</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823,425</w:t>
            </w:r>
          </w:p>
        </w:tc>
        <w:tc>
          <w:tcPr>
            <w:tcW w:w="14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5.66</w:t>
            </w:r>
          </w:p>
        </w:tc>
      </w:tr>
      <w:tr>
        <w:trPr>
          <w:trHeight w:val="223"/>
        </w:trPr>
        <w:tc>
          <w:tcPr>
            <w:tcW w:w="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Allowance for credit losses</w:t>
            </w:r>
          </w:p>
        </w:tc>
        <w:tc>
          <w:tcPr>
            <w:tcW w:w="460" w:type="dxa"/>
            <w:vAlign w:val="bottom"/>
          </w:tcPr>
          <w:p>
            <w:pPr>
              <w:spacing w:after="0"/>
              <w:rPr>
                <w:sz w:val="19"/>
                <w:szCs w:val="19"/>
                <w:color w:val="auto"/>
              </w:rPr>
            </w:pPr>
          </w:p>
        </w:tc>
        <w:tc>
          <w:tcPr>
            <w:tcW w:w="820" w:type="dxa"/>
            <w:vAlign w:val="bottom"/>
          </w:tcPr>
          <w:p>
            <w:pPr>
              <w:jc w:val="right"/>
              <w:ind w:right="171"/>
              <w:spacing w:after="0"/>
              <w:rPr>
                <w:sz w:val="20"/>
                <w:szCs w:val="20"/>
                <w:color w:val="auto"/>
              </w:rPr>
            </w:pPr>
            <w:r>
              <w:rPr>
                <w:rFonts w:ascii="Arial" w:cs="Arial" w:eastAsia="Arial" w:hAnsi="Arial"/>
                <w:sz w:val="18"/>
                <w:szCs w:val="18"/>
                <w:color w:val="auto"/>
              </w:rPr>
              <w:t>(790)</w:t>
            </w:r>
          </w:p>
        </w:tc>
        <w:tc>
          <w:tcPr>
            <w:tcW w:w="16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(792)</w:t>
            </w:r>
          </w:p>
        </w:tc>
        <w:tc>
          <w:tcPr>
            <w:tcW w:w="12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1,236</w:t>
            </w:r>
          </w:p>
        </w:tc>
        <w:tc>
          <w:tcPr>
            <w:tcW w:w="16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1,209</w:t>
            </w:r>
          </w:p>
        </w:tc>
        <w:tc>
          <w:tcPr>
            <w:tcW w:w="1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assets</w:t>
            </w: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6,580</w:t>
            </w:r>
          </w:p>
        </w:tc>
        <w:tc>
          <w:tcPr>
            <w:tcW w:w="16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6,702</w:t>
            </w:r>
          </w:p>
        </w:tc>
        <w:tc>
          <w:tcPr>
            <w:tcW w:w="1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87"/>
              </w:rPr>
              <w:t>64,997</w:t>
            </w:r>
          </w:p>
        </w:tc>
        <w:tc>
          <w:tcPr>
            <w:tcW w:w="16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65,584</w:t>
            </w:r>
          </w:p>
        </w:tc>
        <w:tc>
          <w:tcPr>
            <w:tcW w:w="12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r>
      <w:tr>
        <w:trPr>
          <w:trHeight w:val="20"/>
        </w:trPr>
        <w:tc>
          <w:tcPr>
            <w:tcW w:w="32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Interest-bearing deposits</w:t>
            </w: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NOW accounts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484</w:t>
            </w:r>
          </w:p>
        </w:tc>
        <w:tc>
          <w:tcPr>
            <w:tcW w:w="168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655</w:t>
            </w:r>
          </w:p>
        </w:tc>
        <w:tc>
          <w:tcPr>
            <w:tcW w:w="154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rPr>
              <w:t>.54</w:t>
            </w:r>
          </w:p>
        </w:tc>
        <w:tc>
          <w:tcPr>
            <w:tcW w:w="9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512</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4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.49</w:t>
            </w:r>
          </w:p>
        </w:tc>
      </w:tr>
      <w:tr>
        <w:trPr>
          <w:trHeight w:val="216"/>
        </w:trPr>
        <w:tc>
          <w:tcPr>
            <w:tcW w:w="20" w:type="dxa"/>
            <w:vAlign w:val="bottom"/>
          </w:tcPr>
          <w:p>
            <w:pPr>
              <w:spacing w:after="0"/>
              <w:rPr>
                <w:sz w:val="18"/>
                <w:szCs w:val="18"/>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rPr>
              <w:t>Savings deposits</w:t>
            </w:r>
          </w:p>
        </w:tc>
        <w:tc>
          <w:tcPr>
            <w:tcW w:w="460" w:type="dxa"/>
            <w:vAlign w:val="bottom"/>
          </w:tcPr>
          <w:p>
            <w:pPr>
              <w:spacing w:after="0"/>
              <w:rPr>
                <w:sz w:val="18"/>
                <w:szCs w:val="18"/>
                <w:color w:val="auto"/>
              </w:rPr>
            </w:pPr>
          </w:p>
        </w:tc>
        <w:tc>
          <w:tcPr>
            <w:tcW w:w="820" w:type="dxa"/>
            <w:vAlign w:val="bottom"/>
          </w:tcPr>
          <w:p>
            <w:pPr>
              <w:jc w:val="right"/>
              <w:ind w:right="231"/>
              <w:spacing w:after="0"/>
              <w:rPr>
                <w:sz w:val="20"/>
                <w:szCs w:val="20"/>
                <w:color w:val="auto"/>
              </w:rPr>
            </w:pPr>
            <w:r>
              <w:rPr>
                <w:rFonts w:ascii="Arial" w:cs="Arial" w:eastAsia="Arial" w:hAnsi="Arial"/>
                <w:sz w:val="18"/>
                <w:szCs w:val="18"/>
                <w:color w:val="auto"/>
                <w:w w:val="87"/>
              </w:rPr>
              <w:t>18,191</w:t>
            </w:r>
          </w:p>
        </w:tc>
        <w:tc>
          <w:tcPr>
            <w:tcW w:w="1680" w:type="dxa"/>
            <w:vAlign w:val="bottom"/>
          </w:tcPr>
          <w:p>
            <w:pPr>
              <w:jc w:val="right"/>
              <w:ind w:right="411"/>
              <w:spacing w:after="0"/>
              <w:rPr>
                <w:sz w:val="20"/>
                <w:szCs w:val="20"/>
                <w:color w:val="auto"/>
              </w:rPr>
            </w:pPr>
            <w:r>
              <w:rPr>
                <w:rFonts w:ascii="Arial" w:cs="Arial" w:eastAsia="Arial" w:hAnsi="Arial"/>
                <w:sz w:val="18"/>
                <w:szCs w:val="18"/>
                <w:color w:val="auto"/>
              </w:rPr>
              <w:t>58,917</w:t>
            </w:r>
          </w:p>
        </w:tc>
        <w:tc>
          <w:tcPr>
            <w:tcW w:w="1540" w:type="dxa"/>
            <w:vAlign w:val="bottom"/>
          </w:tcPr>
          <w:p>
            <w:pPr>
              <w:jc w:val="right"/>
              <w:ind w:right="731"/>
              <w:spacing w:after="0"/>
              <w:rPr>
                <w:sz w:val="20"/>
                <w:szCs w:val="20"/>
                <w:color w:val="auto"/>
              </w:rPr>
            </w:pPr>
            <w:r>
              <w:rPr>
                <w:rFonts w:ascii="Arial" w:cs="Arial" w:eastAsia="Arial" w:hAnsi="Arial"/>
                <w:sz w:val="18"/>
                <w:szCs w:val="18"/>
                <w:color w:val="auto"/>
              </w:rPr>
              <w:t>1.29</w:t>
            </w:r>
          </w:p>
        </w:tc>
        <w:tc>
          <w:tcPr>
            <w:tcW w:w="920" w:type="dxa"/>
            <w:vAlign w:val="bottom"/>
          </w:tcPr>
          <w:p>
            <w:pPr>
              <w:jc w:val="right"/>
              <w:ind w:right="211"/>
              <w:spacing w:after="0"/>
              <w:rPr>
                <w:sz w:val="20"/>
                <w:szCs w:val="20"/>
                <w:color w:val="auto"/>
              </w:rPr>
            </w:pPr>
            <w:r>
              <w:rPr>
                <w:rFonts w:ascii="Arial" w:cs="Arial" w:eastAsia="Arial" w:hAnsi="Arial"/>
                <w:sz w:val="18"/>
                <w:szCs w:val="18"/>
                <w:color w:val="auto"/>
              </w:rPr>
              <w:t>18,092</w:t>
            </w:r>
          </w:p>
        </w:tc>
        <w:tc>
          <w:tcPr>
            <w:tcW w:w="1280" w:type="dxa"/>
            <w:vAlign w:val="bottom"/>
          </w:tcPr>
          <w:p>
            <w:pPr>
              <w:jc w:val="right"/>
              <w:spacing w:after="0"/>
              <w:rPr>
                <w:sz w:val="20"/>
                <w:szCs w:val="20"/>
                <w:color w:val="auto"/>
              </w:rPr>
            </w:pPr>
            <w:r>
              <w:rPr>
                <w:rFonts w:ascii="Arial" w:cs="Arial" w:eastAsia="Arial" w:hAnsi="Arial"/>
                <w:sz w:val="18"/>
                <w:szCs w:val="18"/>
                <w:color w:val="auto"/>
              </w:rPr>
              <w:t>60,317</w:t>
            </w:r>
          </w:p>
        </w:tc>
        <w:tc>
          <w:tcPr>
            <w:tcW w:w="1460" w:type="dxa"/>
            <w:vAlign w:val="bottom"/>
          </w:tcPr>
          <w:p>
            <w:pPr>
              <w:jc w:val="right"/>
              <w:ind w:right="191"/>
              <w:spacing w:after="0"/>
              <w:rPr>
                <w:sz w:val="20"/>
                <w:szCs w:val="20"/>
                <w:color w:val="auto"/>
              </w:rPr>
            </w:pPr>
            <w:r>
              <w:rPr>
                <w:rFonts w:ascii="Arial" w:cs="Arial" w:eastAsia="Arial" w:hAnsi="Arial"/>
                <w:sz w:val="18"/>
                <w:szCs w:val="18"/>
                <w:color w:val="auto"/>
              </w:rPr>
              <w:t>1.34</w:t>
            </w: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Time deposits</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9,318</w:t>
            </w:r>
          </w:p>
        </w:tc>
        <w:tc>
          <w:tcPr>
            <w:tcW w:w="168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72,100</w:t>
            </w:r>
          </w:p>
        </w:tc>
        <w:tc>
          <w:tcPr>
            <w:tcW w:w="154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rPr>
              <w:t>3.08</w:t>
            </w:r>
          </w:p>
        </w:tc>
        <w:tc>
          <w:tcPr>
            <w:tcW w:w="9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9,216</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79,467</w:t>
            </w:r>
          </w:p>
        </w:tc>
        <w:tc>
          <w:tcPr>
            <w:tcW w:w="14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3.47</w:t>
            </w:r>
          </w:p>
        </w:tc>
      </w:tr>
      <w:tr>
        <w:trPr>
          <w:trHeight w:val="223"/>
        </w:trPr>
        <w:tc>
          <w:tcPr>
            <w:tcW w:w="20" w:type="dxa"/>
            <w:vAlign w:val="bottom"/>
          </w:tcPr>
          <w:p>
            <w:pPr>
              <w:spacing w:after="0"/>
              <w:rPr>
                <w:sz w:val="19"/>
                <w:szCs w:val="19"/>
                <w:color w:val="auto"/>
              </w:rPr>
            </w:pPr>
          </w:p>
        </w:tc>
        <w:tc>
          <w:tcPr>
            <w:tcW w:w="32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Deposits at foreign office</w:t>
            </w: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3,837</w:t>
            </w:r>
          </w:p>
        </w:tc>
        <w:tc>
          <w:tcPr>
            <w:tcW w:w="16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18,709</w:t>
            </w:r>
          </w:p>
        </w:tc>
        <w:tc>
          <w:tcPr>
            <w:tcW w:w="154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rPr>
              <w:t>1.94</w:t>
            </w:r>
          </w:p>
        </w:tc>
        <w:tc>
          <w:tcPr>
            <w:tcW w:w="9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4,314</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22,075</w:t>
            </w:r>
          </w:p>
        </w:tc>
        <w:tc>
          <w:tcPr>
            <w:tcW w:w="14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2.06</w:t>
            </w:r>
          </w:p>
        </w:tc>
      </w:tr>
      <w:tr>
        <w:trPr>
          <w:trHeight w:val="216"/>
        </w:trPr>
        <w:tc>
          <w:tcPr>
            <w:tcW w:w="20" w:type="dxa"/>
            <w:vAlign w:val="bottom"/>
          </w:tcPr>
          <w:p>
            <w:pPr>
              <w:spacing w:after="0"/>
              <w:rPr>
                <w:sz w:val="18"/>
                <w:szCs w:val="18"/>
                <w:color w:val="auto"/>
              </w:rPr>
            </w:pPr>
          </w:p>
        </w:tc>
        <w:tc>
          <w:tcPr>
            <w:tcW w:w="32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interest-bearing deposits</w:t>
            </w: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87"/>
              </w:rPr>
              <w:t>31,830</w:t>
            </w:r>
          </w:p>
        </w:tc>
        <w:tc>
          <w:tcPr>
            <w:tcW w:w="168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rPr>
              <w:t>150,381</w:t>
            </w:r>
          </w:p>
        </w:tc>
        <w:tc>
          <w:tcPr>
            <w:tcW w:w="1540" w:type="dxa"/>
            <w:vAlign w:val="bottom"/>
            <w:tcBorders>
              <w:bottom w:val="single" w:sz="8" w:color="auto"/>
            </w:tcBorders>
            <w:shd w:val="clear" w:color="auto" w:fill="CCEEFF"/>
          </w:tcPr>
          <w:p>
            <w:pPr>
              <w:jc w:val="right"/>
              <w:ind w:right="731"/>
              <w:spacing w:after="0"/>
              <w:rPr>
                <w:sz w:val="20"/>
                <w:szCs w:val="20"/>
                <w:color w:val="auto"/>
              </w:rPr>
            </w:pPr>
            <w:r>
              <w:rPr>
                <w:rFonts w:ascii="Arial" w:cs="Arial" w:eastAsia="Arial" w:hAnsi="Arial"/>
                <w:sz w:val="18"/>
                <w:szCs w:val="18"/>
                <w:color w:val="auto"/>
              </w:rPr>
              <w:t>1.88</w:t>
            </w:r>
          </w:p>
        </w:tc>
        <w:tc>
          <w:tcPr>
            <w:tcW w:w="9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32,134</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162,488</w:t>
            </w:r>
          </w:p>
        </w:tc>
        <w:tc>
          <w:tcPr>
            <w:tcW w:w="14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2.03</w:t>
            </w:r>
          </w:p>
        </w:tc>
      </w:tr>
      <w:tr>
        <w:trPr>
          <w:trHeight w:val="223"/>
        </w:trPr>
        <w:tc>
          <w:tcPr>
            <w:tcW w:w="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Short-term borrowings</w:t>
            </w:r>
          </w:p>
        </w:tc>
        <w:tc>
          <w:tcPr>
            <w:tcW w:w="460" w:type="dxa"/>
            <w:vAlign w:val="bottom"/>
          </w:tcPr>
          <w:p>
            <w:pPr>
              <w:spacing w:after="0"/>
              <w:rPr>
                <w:sz w:val="19"/>
                <w:szCs w:val="19"/>
                <w:color w:val="auto"/>
              </w:rPr>
            </w:pPr>
          </w:p>
        </w:tc>
        <w:tc>
          <w:tcPr>
            <w:tcW w:w="820" w:type="dxa"/>
            <w:vAlign w:val="bottom"/>
          </w:tcPr>
          <w:p>
            <w:pPr>
              <w:jc w:val="right"/>
              <w:ind w:right="231"/>
              <w:spacing w:after="0"/>
              <w:rPr>
                <w:sz w:val="20"/>
                <w:szCs w:val="20"/>
                <w:color w:val="auto"/>
              </w:rPr>
            </w:pPr>
            <w:r>
              <w:rPr>
                <w:rFonts w:ascii="Arial" w:cs="Arial" w:eastAsia="Arial" w:hAnsi="Arial"/>
                <w:sz w:val="18"/>
                <w:szCs w:val="18"/>
                <w:color w:val="auto"/>
              </w:rPr>
              <w:t>5,392</w:t>
            </w:r>
          </w:p>
        </w:tc>
        <w:tc>
          <w:tcPr>
            <w:tcW w:w="1680" w:type="dxa"/>
            <w:vAlign w:val="bottom"/>
          </w:tcPr>
          <w:p>
            <w:pPr>
              <w:jc w:val="right"/>
              <w:ind w:right="411"/>
              <w:spacing w:after="0"/>
              <w:rPr>
                <w:sz w:val="20"/>
                <w:szCs w:val="20"/>
                <w:color w:val="auto"/>
              </w:rPr>
            </w:pPr>
            <w:r>
              <w:rPr>
                <w:rFonts w:ascii="Arial" w:cs="Arial" w:eastAsia="Arial" w:hAnsi="Arial"/>
                <w:sz w:val="18"/>
                <w:szCs w:val="18"/>
                <w:color w:val="auto"/>
              </w:rPr>
              <w:t>28,155</w:t>
            </w:r>
          </w:p>
        </w:tc>
        <w:tc>
          <w:tcPr>
            <w:tcW w:w="1540" w:type="dxa"/>
            <w:vAlign w:val="bottom"/>
          </w:tcPr>
          <w:p>
            <w:pPr>
              <w:jc w:val="right"/>
              <w:ind w:right="731"/>
              <w:spacing w:after="0"/>
              <w:rPr>
                <w:sz w:val="20"/>
                <w:szCs w:val="20"/>
                <w:color w:val="auto"/>
              </w:rPr>
            </w:pPr>
            <w:r>
              <w:rPr>
                <w:rFonts w:ascii="Arial" w:cs="Arial" w:eastAsia="Arial" w:hAnsi="Arial"/>
                <w:sz w:val="18"/>
                <w:szCs w:val="18"/>
                <w:color w:val="auto"/>
              </w:rPr>
              <w:t>2.08</w:t>
            </w:r>
          </w:p>
        </w:tc>
        <w:tc>
          <w:tcPr>
            <w:tcW w:w="920" w:type="dxa"/>
            <w:vAlign w:val="bottom"/>
          </w:tcPr>
          <w:p>
            <w:pPr>
              <w:jc w:val="right"/>
              <w:ind w:right="211"/>
              <w:spacing w:after="0"/>
              <w:rPr>
                <w:sz w:val="20"/>
                <w:szCs w:val="20"/>
                <w:color w:val="auto"/>
              </w:rPr>
            </w:pPr>
            <w:r>
              <w:rPr>
                <w:rFonts w:ascii="Arial" w:cs="Arial" w:eastAsia="Arial" w:hAnsi="Arial"/>
                <w:sz w:val="18"/>
                <w:szCs w:val="18"/>
                <w:color w:val="auto"/>
              </w:rPr>
              <w:t>6,869</w:t>
            </w:r>
          </w:p>
        </w:tc>
        <w:tc>
          <w:tcPr>
            <w:tcW w:w="1280" w:type="dxa"/>
            <w:vAlign w:val="bottom"/>
          </w:tcPr>
          <w:p>
            <w:pPr>
              <w:jc w:val="right"/>
              <w:spacing w:after="0"/>
              <w:rPr>
                <w:sz w:val="20"/>
                <w:szCs w:val="20"/>
                <w:color w:val="auto"/>
              </w:rPr>
            </w:pPr>
            <w:r>
              <w:rPr>
                <w:rFonts w:ascii="Arial" w:cs="Arial" w:eastAsia="Arial" w:hAnsi="Arial"/>
                <w:sz w:val="18"/>
                <w:szCs w:val="18"/>
                <w:color w:val="auto"/>
              </w:rPr>
              <w:t>42,612</w:t>
            </w:r>
          </w:p>
        </w:tc>
        <w:tc>
          <w:tcPr>
            <w:tcW w:w="1460" w:type="dxa"/>
            <w:vAlign w:val="bottom"/>
          </w:tcPr>
          <w:p>
            <w:pPr>
              <w:jc w:val="right"/>
              <w:ind w:right="191"/>
              <w:spacing w:after="0"/>
              <w:rPr>
                <w:sz w:val="20"/>
                <w:szCs w:val="20"/>
                <w:color w:val="auto"/>
              </w:rPr>
            </w:pPr>
            <w:r>
              <w:rPr>
                <w:rFonts w:ascii="Arial" w:cs="Arial" w:eastAsia="Arial" w:hAnsi="Arial"/>
                <w:sz w:val="18"/>
                <w:szCs w:val="18"/>
                <w:color w:val="auto"/>
              </w:rPr>
              <w:t>2.49</w:t>
            </w:r>
          </w:p>
        </w:tc>
      </w:tr>
      <w:tr>
        <w:trPr>
          <w:trHeight w:val="216"/>
        </w:trPr>
        <w:tc>
          <w:tcPr>
            <w:tcW w:w="20" w:type="dxa"/>
            <w:vAlign w:val="bottom"/>
          </w:tcPr>
          <w:p>
            <w:pPr>
              <w:spacing w:after="0"/>
              <w:rPr>
                <w:sz w:val="18"/>
                <w:szCs w:val="18"/>
                <w:color w:val="auto"/>
              </w:rPr>
            </w:pPr>
          </w:p>
        </w:tc>
        <w:tc>
          <w:tcPr>
            <w:tcW w:w="3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87"/>
              </w:rPr>
              <w:t>12,666</w:t>
            </w:r>
          </w:p>
        </w:tc>
        <w:tc>
          <w:tcPr>
            <w:tcW w:w="168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rPr>
              <w:t>134,579</w:t>
            </w:r>
          </w:p>
        </w:tc>
        <w:tc>
          <w:tcPr>
            <w:tcW w:w="1540" w:type="dxa"/>
            <w:vAlign w:val="bottom"/>
            <w:tcBorders>
              <w:bottom w:val="single" w:sz="8" w:color="auto"/>
            </w:tcBorders>
            <w:shd w:val="clear" w:color="auto" w:fill="CCEEFF"/>
          </w:tcPr>
          <w:p>
            <w:pPr>
              <w:jc w:val="right"/>
              <w:ind w:right="731"/>
              <w:spacing w:after="0"/>
              <w:rPr>
                <w:sz w:val="20"/>
                <w:szCs w:val="20"/>
                <w:color w:val="auto"/>
              </w:rPr>
            </w:pPr>
            <w:r>
              <w:rPr>
                <w:rFonts w:ascii="Arial" w:cs="Arial" w:eastAsia="Arial" w:hAnsi="Arial"/>
                <w:sz w:val="18"/>
                <w:szCs w:val="18"/>
                <w:color w:val="auto"/>
              </w:rPr>
              <w:t>4.23</w:t>
            </w:r>
          </w:p>
        </w:tc>
        <w:tc>
          <w:tcPr>
            <w:tcW w:w="9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11,407</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125,842</w:t>
            </w:r>
          </w:p>
        </w:tc>
        <w:tc>
          <w:tcPr>
            <w:tcW w:w="14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4.44</w:t>
            </w:r>
          </w:p>
        </w:tc>
      </w:tr>
      <w:tr>
        <w:trPr>
          <w:trHeight w:val="230"/>
        </w:trPr>
        <w:tc>
          <w:tcPr>
            <w:tcW w:w="20" w:type="dxa"/>
            <w:vAlign w:val="bottom"/>
          </w:tcPr>
          <w:p>
            <w:pPr>
              <w:spacing w:after="0"/>
              <w:rPr>
                <w:sz w:val="20"/>
                <w:szCs w:val="20"/>
                <w:color w:val="auto"/>
              </w:rPr>
            </w:pPr>
          </w:p>
        </w:tc>
        <w:tc>
          <w:tcPr>
            <w:tcW w:w="324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Total interest-bearing liabilities</w:t>
            </w: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87"/>
              </w:rPr>
              <w:t>49,888</w:t>
            </w:r>
          </w:p>
        </w:tc>
        <w:tc>
          <w:tcPr>
            <w:tcW w:w="16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313,115</w:t>
            </w:r>
          </w:p>
        </w:tc>
        <w:tc>
          <w:tcPr>
            <w:tcW w:w="154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rPr>
              <w:t>2.50</w:t>
            </w:r>
          </w:p>
        </w:tc>
        <w:tc>
          <w:tcPr>
            <w:tcW w:w="9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50,410</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330,942</w:t>
            </w:r>
          </w:p>
        </w:tc>
        <w:tc>
          <w:tcPr>
            <w:tcW w:w="14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2.64</w:t>
            </w: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7,673</w:t>
            </w:r>
          </w:p>
        </w:tc>
        <w:tc>
          <w:tcPr>
            <w:tcW w:w="16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7,577</w:t>
            </w:r>
          </w:p>
        </w:tc>
        <w:tc>
          <w:tcPr>
            <w:tcW w:w="1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liabilities</w:t>
            </w: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1,021</w:t>
            </w:r>
          </w:p>
        </w:tc>
        <w:tc>
          <w:tcPr>
            <w:tcW w:w="16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1,128</w:t>
            </w:r>
          </w:p>
        </w:tc>
        <w:tc>
          <w:tcPr>
            <w:tcW w:w="1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87"/>
              </w:rPr>
              <w:t>58,582</w:t>
            </w:r>
          </w:p>
        </w:tc>
        <w:tc>
          <w:tcPr>
            <w:tcW w:w="16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59,115</w:t>
            </w:r>
          </w:p>
        </w:tc>
        <w:tc>
          <w:tcPr>
            <w:tcW w:w="12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Stockholders’ equity</w:t>
            </w: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6,415</w:t>
            </w:r>
          </w:p>
        </w:tc>
        <w:tc>
          <w:tcPr>
            <w:tcW w:w="16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6,469</w:t>
            </w:r>
          </w:p>
        </w:tc>
        <w:tc>
          <w:tcPr>
            <w:tcW w:w="1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Total liabilities and stockholders’</w:t>
            </w: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2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equity</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87"/>
              </w:rPr>
              <w:t>64,997</w:t>
            </w:r>
          </w:p>
        </w:tc>
        <w:tc>
          <w:tcPr>
            <w:tcW w:w="168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65,584</w:t>
            </w:r>
          </w:p>
        </w:tc>
        <w:tc>
          <w:tcPr>
            <w:tcW w:w="128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spacing w:after="0"/>
              <w:rPr>
                <w:sz w:val="20"/>
                <w:szCs w:val="20"/>
                <w:color w:val="auto"/>
              </w:rPr>
            </w:pPr>
          </w:p>
        </w:tc>
      </w:tr>
      <w:tr>
        <w:trPr>
          <w:trHeight w:val="20"/>
        </w:trPr>
        <w:tc>
          <w:tcPr>
            <w:tcW w:w="32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interest spread</w:t>
            </w: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731"/>
              <w:spacing w:after="0"/>
              <w:rPr>
                <w:sz w:val="20"/>
                <w:szCs w:val="20"/>
                <w:color w:val="auto"/>
              </w:rPr>
            </w:pPr>
            <w:r>
              <w:rPr>
                <w:rFonts w:ascii="Arial" w:cs="Arial" w:eastAsia="Arial" w:hAnsi="Arial"/>
                <w:sz w:val="18"/>
                <w:szCs w:val="18"/>
                <w:color w:val="auto"/>
              </w:rPr>
              <w:t>3.04</w:t>
            </w:r>
          </w:p>
        </w:tc>
        <w:tc>
          <w:tcPr>
            <w:tcW w:w="9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91"/>
              <w:spacing w:after="0"/>
              <w:rPr>
                <w:sz w:val="20"/>
                <w:szCs w:val="20"/>
                <w:color w:val="auto"/>
              </w:rPr>
            </w:pPr>
            <w:r>
              <w:rPr>
                <w:rFonts w:ascii="Arial" w:cs="Arial" w:eastAsia="Arial" w:hAnsi="Arial"/>
                <w:sz w:val="18"/>
                <w:szCs w:val="18"/>
                <w:color w:val="auto"/>
              </w:rPr>
              <w:t>3.02</w:t>
            </w:r>
          </w:p>
        </w:tc>
      </w:tr>
      <w:tr>
        <w:trPr>
          <w:trHeight w:val="216"/>
        </w:trPr>
        <w:tc>
          <w:tcPr>
            <w:tcW w:w="20" w:type="dxa"/>
            <w:vAlign w:val="bottom"/>
          </w:tcPr>
          <w:p>
            <w:pPr>
              <w:spacing w:after="0"/>
              <w:rPr>
                <w:sz w:val="18"/>
                <w:szCs w:val="18"/>
                <w:color w:val="auto"/>
              </w:rPr>
            </w:pPr>
          </w:p>
        </w:tc>
        <w:tc>
          <w:tcPr>
            <w:tcW w:w="3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Contribution of interest-free funds</w:t>
            </w: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731"/>
              <w:spacing w:after="0"/>
              <w:rPr>
                <w:sz w:val="20"/>
                <w:szCs w:val="20"/>
                <w:color w:val="auto"/>
              </w:rPr>
            </w:pPr>
            <w:r>
              <w:rPr>
                <w:rFonts w:ascii="Arial" w:cs="Arial" w:eastAsia="Arial" w:hAnsi="Arial"/>
                <w:sz w:val="18"/>
                <w:szCs w:val="18"/>
                <w:color w:val="auto"/>
              </w:rPr>
              <w:t>.35</w:t>
            </w:r>
          </w:p>
        </w:tc>
        <w:tc>
          <w:tcPr>
            <w:tcW w:w="9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.37</w:t>
            </w:r>
          </w:p>
        </w:tc>
      </w:tr>
      <w:tr>
        <w:trPr>
          <w:trHeight w:val="209"/>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Net interest income/margin on earning</w:t>
            </w: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2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assets</w:t>
            </w: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$493,499</w:t>
            </w:r>
          </w:p>
        </w:tc>
        <w:tc>
          <w:tcPr>
            <w:tcW w:w="1540" w:type="dxa"/>
            <w:vAlign w:val="bottom"/>
            <w:tcBorders>
              <w:bottom w:val="single" w:sz="8" w:color="auto"/>
            </w:tcBorders>
          </w:tcPr>
          <w:p>
            <w:pPr>
              <w:jc w:val="right"/>
              <w:ind w:right="591"/>
              <w:spacing w:after="0"/>
              <w:rPr>
                <w:sz w:val="20"/>
                <w:szCs w:val="20"/>
                <w:color w:val="auto"/>
              </w:rPr>
            </w:pPr>
            <w:r>
              <w:rPr>
                <w:rFonts w:ascii="Arial" w:cs="Arial" w:eastAsia="Arial" w:hAnsi="Arial"/>
                <w:sz w:val="18"/>
                <w:szCs w:val="18"/>
                <w:color w:val="auto"/>
              </w:rPr>
              <w:t>3.39%</w:t>
            </w:r>
          </w:p>
        </w:tc>
        <w:tc>
          <w:tcPr>
            <w:tcW w:w="9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492,483</w:t>
            </w:r>
          </w:p>
        </w:tc>
        <w:tc>
          <w:tcPr>
            <w:tcW w:w="14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3.39%</w:t>
            </w:r>
          </w:p>
        </w:tc>
      </w:tr>
      <w:tr>
        <w:trPr>
          <w:trHeight w:val="20"/>
        </w:trPr>
        <w:tc>
          <w:tcPr>
            <w:tcW w:w="20" w:type="dxa"/>
            <w:vAlign w:val="bottom"/>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77"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 for sale securities at amortized cost.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17" w:lineRule="exact"/>
        <w:rPr>
          <w:sz w:val="20"/>
          <w:szCs w:val="20"/>
          <w:color w:val="auto"/>
        </w:rPr>
      </w:pPr>
    </w:p>
    <w:p>
      <w:pPr>
        <w:ind w:right="480" w:firstLine="225"/>
        <w:spacing w:after="0" w:line="277" w:lineRule="auto"/>
        <w:rPr>
          <w:sz w:val="20"/>
          <w:szCs w:val="20"/>
          <w:color w:val="auto"/>
        </w:rPr>
      </w:pPr>
      <w:r>
        <w:rPr>
          <w:rFonts w:ascii="Arial" w:cs="Arial" w:eastAsia="Arial" w:hAnsi="Arial"/>
          <w:sz w:val="18"/>
          <w:szCs w:val="18"/>
          <w:color w:val="auto"/>
        </w:rPr>
        <w:t>Incorporated by reference to the discussion contained under the caption “Taxable-equivalent Net Interest Income” in Part I, Item 2, “Management’s Discussion and Analysis of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17" w:lineRule="exact"/>
        <w:rPr>
          <w:sz w:val="20"/>
          <w:szCs w:val="20"/>
          <w:color w:val="auto"/>
        </w:rPr>
      </w:pPr>
    </w:p>
    <w:p>
      <w:pPr>
        <w:ind w:right="220" w:firstLine="233"/>
        <w:spacing w:after="0" w:line="312" w:lineRule="auto"/>
        <w:tabs>
          <w:tab w:leader="none" w:pos="47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Evaluation of disclosure controls and procedures. Based upon their evaluation of the effectiveness of M&amp;T’s disclosure controls and procedures (as defined in Exchange Act rules 13a-15(e) and 15d-15(e)), Robert G. Wilmers, Chairman of the Board and Chief Executive Officer, and René F. Jones, Executive Vice President and Chief Financial Officer, concluded that M&amp;T’s disclosure controls and procedures were effective as of June 30, 2009.</w:t>
      </w:r>
    </w:p>
    <w:p>
      <w:pPr>
        <w:spacing w:after="0" w:line="38" w:lineRule="exact"/>
        <w:rPr>
          <w:rFonts w:ascii="Arial" w:cs="Arial" w:eastAsia="Arial" w:hAnsi="Arial"/>
          <w:sz w:val="16"/>
          <w:szCs w:val="16"/>
          <w:color w:val="auto"/>
        </w:rPr>
      </w:pPr>
    </w:p>
    <w:p>
      <w:pPr>
        <w:ind w:firstLine="233"/>
        <w:spacing w:after="0" w:line="279" w:lineRule="auto"/>
        <w:tabs>
          <w:tab w:leader="none" w:pos="4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 disclosure controls and procedures during the quarter ended June 30, 2009 that have materially affected, or are reasonably likely to materially affect, M&amp;T’s internal control over financial reporting.</w:t>
      </w:r>
    </w:p>
    <w:p>
      <w:pPr>
        <w:spacing w:after="0" w:line="28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17" w:lineRule="exact"/>
        <w:rPr>
          <w:sz w:val="20"/>
          <w:szCs w:val="20"/>
          <w:color w:val="auto"/>
        </w:rPr>
      </w:pPr>
    </w:p>
    <w:p>
      <w:pPr>
        <w:ind w:right="120" w:firstLine="225"/>
        <w:spacing w:after="0" w:line="302" w:lineRule="auto"/>
        <w:rPr>
          <w:sz w:val="20"/>
          <w:szCs w:val="20"/>
          <w:color w:val="auto"/>
        </w:rPr>
      </w:pPr>
      <w:r>
        <w:rPr>
          <w:rFonts w:ascii="Arial" w:cs="Arial" w:eastAsia="Arial" w:hAnsi="Arial"/>
          <w:sz w:val="16"/>
          <w:szCs w:val="16"/>
          <w:color w:val="auto"/>
        </w:rPr>
        <w:t>M&amp;T and its subsidiaries are subject in the normal course of business to various pending and threatened legal proceedings in which claims for monetary damages are asserted. Management, after consultation with legal counsel, does not anticipate that the aggregate ultimate liability arising out of litigation pending against M&amp;T or its subsidiaries will be material to M&amp;T’s consolidated financial position, but at the present time is not in a position to determine whether such litigation will have a material adverse effect on M&amp;T’s consolidated results of operations in any future reporting period.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117"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There have been no material changes in risk factors relating to M&amp;T to those disclosed in response to Item 1A. to Part I of Form 10-K for the year ended December 31, 2008.</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- 89 -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(a)-(b) Not applicable.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w:t>
      </w:r>
    </w:p>
    <w:p>
      <w:pPr>
        <w:spacing w:after="0" w:line="221"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Issuer Purchases of Equity Securities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4020" w:type="dxa"/>
            <w:vAlign w:val="bottom"/>
            <w:tcBorders>
              <w:top w:val="single" w:sz="8" w:color="auto"/>
            </w:tcBorders>
          </w:tcPr>
          <w:p>
            <w:pPr>
              <w:spacing w:after="0"/>
              <w:rPr>
                <w:sz w:val="10"/>
                <w:szCs w:val="10"/>
                <w:color w:val="auto"/>
              </w:rPr>
            </w:pPr>
          </w:p>
        </w:tc>
        <w:tc>
          <w:tcPr>
            <w:tcW w:w="23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rPr>
              <w:t>(d)Maximum</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2"/>
              </w:rPr>
              <w:t>(c)Total</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7"/>
              </w:rPr>
              <w:t>Number of</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0"/>
              </w:rPr>
              <w:t>Shares</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7"/>
              </w:rPr>
              <w:t>(or Units)</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89"/>
              </w:rPr>
              <w:t>Purchased</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(or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2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5"/>
              </w:rPr>
              <w:t>(a)Total</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0"/>
              </w:rPr>
              <w:t>as Part of</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2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2"/>
              </w:rPr>
              <w:t>Number</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5"/>
              </w:rPr>
              <w:t>(b)Average</w:t>
            </w:r>
          </w:p>
        </w:tc>
        <w:tc>
          <w:tcPr>
            <w:tcW w:w="68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9"/>
              </w:rPr>
              <w:t>Publicly</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2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0"/>
              </w:rPr>
              <w:t>of Shares</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Price Paid</w:t>
            </w:r>
          </w:p>
        </w:tc>
        <w:tc>
          <w:tcPr>
            <w:tcW w:w="680" w:type="dxa"/>
            <w:vAlign w:val="bottom"/>
          </w:tcPr>
          <w:p>
            <w:pPr>
              <w:spacing w:after="0"/>
              <w:rPr>
                <w:sz w:val="12"/>
                <w:szCs w:val="12"/>
                <w:color w:val="auto"/>
              </w:rPr>
            </w:pPr>
          </w:p>
        </w:tc>
        <w:tc>
          <w:tcPr>
            <w:tcW w:w="136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3"/>
              </w:rPr>
              <w:t>Announced</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Under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2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7"/>
              </w:rPr>
              <w:t>(or Units)</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per Share</w:t>
            </w:r>
          </w:p>
        </w:tc>
        <w:tc>
          <w:tcPr>
            <w:tcW w:w="68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3"/>
              </w:rPr>
              <w:t>Plans or</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9"/>
              </w:rPr>
              <w:t>Plans or</w:t>
            </w:r>
          </w:p>
        </w:tc>
        <w:tc>
          <w:tcPr>
            <w:tcW w:w="0" w:type="dxa"/>
            <w:vAlign w:val="bottom"/>
          </w:tcPr>
          <w:p>
            <w:pPr>
              <w:spacing w:after="0"/>
              <w:rPr>
                <w:sz w:val="1"/>
                <w:szCs w:val="1"/>
                <w:color w:val="auto"/>
              </w:rPr>
            </w:pPr>
          </w:p>
        </w:tc>
      </w:tr>
      <w:tr>
        <w:trPr>
          <w:trHeight w:val="174"/>
        </w:trPr>
        <w:tc>
          <w:tcPr>
            <w:tcW w:w="4040" w:type="dxa"/>
            <w:vAlign w:val="bottom"/>
            <w:gridSpan w:val="2"/>
          </w:tcPr>
          <w:p>
            <w:pPr>
              <w:spacing w:after="0"/>
              <w:rPr>
                <w:sz w:val="20"/>
                <w:szCs w:val="20"/>
                <w:color w:val="auto"/>
              </w:rPr>
            </w:pPr>
            <w:r>
              <w:rPr>
                <w:rFonts w:ascii="Arial" w:cs="Arial" w:eastAsia="Arial" w:hAnsi="Arial"/>
                <w:sz w:val="14"/>
                <w:szCs w:val="14"/>
                <w:color w:val="auto"/>
              </w:rPr>
              <w:t>Period</w:t>
            </w:r>
          </w:p>
        </w:tc>
        <w:tc>
          <w:tcPr>
            <w:tcW w:w="3740" w:type="dxa"/>
            <w:vAlign w:val="bottom"/>
            <w:gridSpan w:val="3"/>
          </w:tcPr>
          <w:p>
            <w:pPr>
              <w:jc w:val="right"/>
              <w:ind w:right="660"/>
              <w:spacing w:after="0"/>
              <w:rPr>
                <w:sz w:val="20"/>
                <w:szCs w:val="20"/>
                <w:color w:val="auto"/>
              </w:rPr>
            </w:pPr>
            <w:r>
              <w:rPr>
                <w:rFonts w:ascii="Arial" w:cs="Arial" w:eastAsia="Arial" w:hAnsi="Arial"/>
                <w:sz w:val="14"/>
                <w:szCs w:val="14"/>
                <w:color w:val="auto"/>
              </w:rPr>
              <w:t>Purchased(1)</w:t>
            </w:r>
          </w:p>
        </w:tc>
        <w:tc>
          <w:tcPr>
            <w:tcW w:w="660" w:type="dxa"/>
            <w:vAlign w:val="bottom"/>
            <w:gridSpan w:val="2"/>
          </w:tcPr>
          <w:p>
            <w:pPr>
              <w:jc w:val="center"/>
              <w:spacing w:after="0"/>
              <w:rPr>
                <w:sz w:val="20"/>
                <w:szCs w:val="20"/>
                <w:color w:val="auto"/>
              </w:rPr>
            </w:pPr>
            <w:r>
              <w:rPr>
                <w:rFonts w:ascii="Arial" w:cs="Arial" w:eastAsia="Arial" w:hAnsi="Arial"/>
                <w:sz w:val="14"/>
                <w:szCs w:val="14"/>
                <w:color w:val="auto"/>
                <w:w w:val="98"/>
              </w:rPr>
              <w:t>(or Unit)</w:t>
            </w:r>
          </w:p>
        </w:tc>
        <w:tc>
          <w:tcPr>
            <w:tcW w:w="680" w:type="dxa"/>
            <w:vAlign w:val="bottom"/>
          </w:tcPr>
          <w:p>
            <w:pPr>
              <w:spacing w:after="0"/>
              <w:rPr>
                <w:sz w:val="15"/>
                <w:szCs w:val="15"/>
                <w:color w:val="auto"/>
              </w:rPr>
            </w:pPr>
          </w:p>
        </w:tc>
        <w:tc>
          <w:tcPr>
            <w:tcW w:w="1360" w:type="dxa"/>
            <w:vAlign w:val="bottom"/>
            <w:gridSpan w:val="2"/>
          </w:tcPr>
          <w:p>
            <w:pPr>
              <w:jc w:val="center"/>
              <w:ind w:right="680"/>
              <w:spacing w:after="0"/>
              <w:rPr>
                <w:sz w:val="20"/>
                <w:szCs w:val="20"/>
                <w:color w:val="auto"/>
              </w:rPr>
            </w:pPr>
            <w:r>
              <w:rPr>
                <w:rFonts w:ascii="Arial" w:cs="Arial" w:eastAsia="Arial" w:hAnsi="Arial"/>
                <w:sz w:val="14"/>
                <w:szCs w:val="14"/>
                <w:color w:val="auto"/>
                <w:w w:val="92"/>
              </w:rPr>
              <w:t>Programs</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Programs (2)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1 - April 30, 2009</w:t>
            </w:r>
          </w:p>
        </w:tc>
        <w:tc>
          <w:tcPr>
            <w:tcW w:w="3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13,286</w:t>
            </w: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48.18</w:t>
            </w:r>
          </w:p>
        </w:tc>
        <w:tc>
          <w:tcPr>
            <w:tcW w:w="6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2,181,500</w:t>
            </w:r>
          </w:p>
        </w:tc>
        <w:tc>
          <w:tcPr>
            <w:tcW w:w="0" w:type="dxa"/>
            <w:vAlign w:val="bottom"/>
          </w:tcPr>
          <w:p>
            <w:pPr>
              <w:spacing w:after="0"/>
              <w:rPr>
                <w:sz w:val="1"/>
                <w:szCs w:val="1"/>
                <w:color w:val="auto"/>
              </w:rPr>
            </w:pPr>
          </w:p>
        </w:tc>
      </w:tr>
      <w:tr>
        <w:trPr>
          <w:trHeight w:val="432"/>
        </w:trPr>
        <w:tc>
          <w:tcPr>
            <w:tcW w:w="4040" w:type="dxa"/>
            <w:vAlign w:val="bottom"/>
            <w:gridSpan w:val="2"/>
          </w:tcPr>
          <w:p>
            <w:pPr>
              <w:spacing w:after="0"/>
              <w:rPr>
                <w:sz w:val="20"/>
                <w:szCs w:val="20"/>
                <w:color w:val="auto"/>
              </w:rPr>
            </w:pPr>
            <w:r>
              <w:rPr>
                <w:rFonts w:ascii="Arial" w:cs="Arial" w:eastAsia="Arial" w:hAnsi="Arial"/>
                <w:sz w:val="18"/>
                <w:szCs w:val="18"/>
                <w:color w:val="auto"/>
              </w:rPr>
              <w:t>May 1 - May 31, 2009</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58,022</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54.29</w:t>
            </w:r>
          </w:p>
        </w:tc>
        <w:tc>
          <w:tcPr>
            <w:tcW w:w="680" w:type="dxa"/>
            <w:vAlign w:val="bottom"/>
          </w:tcPr>
          <w:p>
            <w:pPr>
              <w:spacing w:after="0"/>
              <w:rPr>
                <w:sz w:val="24"/>
                <w:szCs w:val="24"/>
                <w:color w:val="auto"/>
              </w:rPr>
            </w:pPr>
          </w:p>
        </w:tc>
        <w:tc>
          <w:tcPr>
            <w:tcW w:w="13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2,181,500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June 1 - June 30, 2009</w:t>
            </w:r>
          </w:p>
        </w:tc>
        <w:tc>
          <w:tcPr>
            <w:tcW w:w="23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8"/>
              </w:rPr>
              <w:t>—</w:t>
            </w:r>
          </w:p>
        </w:tc>
        <w:tc>
          <w:tcPr>
            <w:tcW w:w="6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3080" w:type="dxa"/>
            <w:vAlign w:val="bottom"/>
            <w:gridSpan w:val="2"/>
            <w:vMerge w:val="restart"/>
          </w:tcPr>
          <w:p>
            <w:pPr>
              <w:jc w:val="right"/>
              <w:spacing w:after="0"/>
              <w:rPr>
                <w:sz w:val="20"/>
                <w:szCs w:val="20"/>
                <w:color w:val="auto"/>
              </w:rPr>
            </w:pPr>
            <w:r>
              <w:rPr>
                <w:rFonts w:ascii="Arial" w:cs="Arial" w:eastAsia="Arial" w:hAnsi="Arial"/>
                <w:sz w:val="18"/>
                <w:szCs w:val="18"/>
                <w:color w:val="auto"/>
              </w:rPr>
              <w:t>71,308</w:t>
            </w:r>
          </w:p>
        </w:tc>
        <w:tc>
          <w:tcPr>
            <w:tcW w:w="660" w:type="dxa"/>
            <w:vAlign w:val="bottom"/>
          </w:tcPr>
          <w:p>
            <w:pPr>
              <w:spacing w:after="0" w:line="20" w:lineRule="exact"/>
              <w:rPr>
                <w:sz w:val="1"/>
                <w:szCs w:val="1"/>
                <w:color w:val="auto"/>
              </w:rPr>
            </w:pPr>
          </w:p>
        </w:tc>
        <w:tc>
          <w:tcPr>
            <w:tcW w:w="180" w:type="dxa"/>
            <w:vAlign w:val="bottom"/>
            <w:vMerge w:val="restart"/>
          </w:tcPr>
          <w:p>
            <w:pPr>
              <w:jc w:val="right"/>
              <w:ind w:right="27"/>
              <w:spacing w:after="0"/>
              <w:rPr>
                <w:sz w:val="20"/>
                <w:szCs w:val="20"/>
                <w:color w:val="auto"/>
              </w:rPr>
            </w:pPr>
            <w:r>
              <w:rPr>
                <w:rFonts w:ascii="Arial" w:cs="Arial" w:eastAsia="Arial" w:hAnsi="Arial"/>
                <w:sz w:val="15"/>
                <w:szCs w:val="15"/>
                <w:color w:val="auto"/>
                <w:w w:val="71"/>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53.15</w:t>
            </w:r>
          </w:p>
        </w:tc>
        <w:tc>
          <w:tcPr>
            <w:tcW w:w="680" w:type="dxa"/>
            <w:vAlign w:val="bottom"/>
          </w:tcPr>
          <w:p>
            <w:pPr>
              <w:spacing w:after="0" w:line="20" w:lineRule="exact"/>
              <w:rPr>
                <w:sz w:val="1"/>
                <w:szCs w:val="1"/>
                <w:color w:val="auto"/>
              </w:rPr>
            </w:pPr>
          </w:p>
        </w:tc>
        <w:tc>
          <w:tcPr>
            <w:tcW w:w="1360" w:type="dxa"/>
            <w:vAlign w:val="bottom"/>
            <w:gridSpan w:val="2"/>
            <w:vMerge w:val="restart"/>
          </w:tcPr>
          <w:p>
            <w:pPr>
              <w:ind w:left="5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040" w:type="dxa"/>
            <w:vAlign w:val="bottom"/>
            <w:gridSpan w:val="2"/>
            <w:vMerge w:val="continue"/>
          </w:tcPr>
          <w:p>
            <w:pPr>
              <w:spacing w:after="0"/>
              <w:rPr>
                <w:sz w:val="24"/>
                <w:szCs w:val="24"/>
                <w:color w:val="auto"/>
              </w:rPr>
            </w:pPr>
          </w:p>
        </w:tc>
        <w:tc>
          <w:tcPr>
            <w:tcW w:w="308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vMerge w:val="continue"/>
          </w:tcPr>
          <w:p>
            <w:pPr>
              <w:spacing w:after="0"/>
              <w:rPr>
                <w:sz w:val="24"/>
                <w:szCs w:val="24"/>
                <w:color w:val="auto"/>
              </w:rPr>
            </w:pPr>
          </w:p>
        </w:tc>
        <w:tc>
          <w:tcPr>
            <w:tcW w:w="4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36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40" w:hanging="452"/>
        <w:spacing w:after="0" w:line="325"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total number of shares purchased during the periods indicated includes shares deemed to have been received from employees who exercised stock options by attesting to previously acquired common shares in satisfaction of the exercise price, as is permitted under M&amp;T’s stock option plans.</w:t>
      </w:r>
    </w:p>
    <w:p>
      <w:pPr>
        <w:spacing w:after="0" w:line="1" w:lineRule="exact"/>
        <w:rPr>
          <w:rFonts w:ascii="Arial" w:cs="Arial" w:eastAsia="Arial" w:hAnsi="Arial"/>
          <w:sz w:val="16"/>
          <w:szCs w:val="16"/>
          <w:color w:val="auto"/>
        </w:rPr>
      </w:pPr>
    </w:p>
    <w:p>
      <w:pPr>
        <w:ind w:left="460" w:right="420" w:hanging="452"/>
        <w:spacing w:after="0" w:line="277"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February 22, 2007, M&amp;T announced a program to purchase up to 5,000,000 shares of its common stock. No shares were purchased under such program during the periods indicated.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3. Defaults Upon Senior Securities.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4. Submission of Matters to a Vote of Security Holders.</w:t>
      </w:r>
    </w:p>
    <w:p>
      <w:pPr>
        <w:spacing w:after="0" w:line="117"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Information concerning the matters submitted to a vote of stockholders at M&amp;T’s Annual Meeting of Stockholders held on April 21, 2009 was previously reported in response to Item 4 of Part II of M&amp;T’s Quarterly Report on Form 10-Q for the quarter ended March 31, 2009.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5. Other Information.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exhibits are filed as a part of this report.</w:t>
      </w:r>
    </w:p>
    <w:p>
      <w:pPr>
        <w:spacing w:after="0" w:line="220" w:lineRule="exact"/>
        <w:rPr>
          <w:sz w:val="20"/>
          <w:szCs w:val="20"/>
          <w:color w:val="auto"/>
        </w:rPr>
      </w:pPr>
    </w:p>
    <w:p>
      <w:pPr>
        <w:jc w:val="center"/>
        <w:ind w:right="10440"/>
        <w:spacing w:after="0"/>
        <w:rPr>
          <w:sz w:val="20"/>
          <w:szCs w:val="20"/>
          <w:color w:val="auto"/>
        </w:rPr>
      </w:pPr>
      <w:r>
        <w:rPr>
          <w:rFonts w:ascii="Arial" w:cs="Arial" w:eastAsia="Arial" w:hAnsi="Arial"/>
          <w:sz w:val="14"/>
          <w:szCs w:val="14"/>
          <w:color w:val="auto"/>
        </w:rPr>
        <w:t>Exhibit</w:t>
      </w:r>
    </w:p>
    <w:p>
      <w:pPr>
        <w:jc w:val="center"/>
        <w:ind w:right="10440"/>
        <w:spacing w:after="0"/>
        <w:rPr>
          <w:sz w:val="20"/>
          <w:szCs w:val="20"/>
          <w:color w:val="auto"/>
        </w:rPr>
      </w:pPr>
      <w:r>
        <w:rPr>
          <w:rFonts w:ascii="Arial" w:cs="Arial" w:eastAsia="Arial" w:hAnsi="Arial"/>
          <w:sz w:val="14"/>
          <w:szCs w:val="14"/>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6172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19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60" w:type="dxa"/>
            <w:vAlign w:val="bottom"/>
          </w:tcPr>
          <w:p>
            <w:pPr>
              <w:jc w:val="right"/>
              <w:ind w:right="350"/>
              <w:spacing w:after="0"/>
              <w:rPr>
                <w:sz w:val="20"/>
                <w:szCs w:val="20"/>
                <w:color w:val="auto"/>
              </w:rPr>
            </w:pPr>
            <w:r>
              <w:rPr>
                <w:rFonts w:ascii="Arial" w:cs="Arial" w:eastAsia="Arial" w:hAnsi="Arial"/>
                <w:sz w:val="18"/>
                <w:szCs w:val="18"/>
                <w:color w:val="auto"/>
              </w:rPr>
              <w:t>3.1</w:t>
            </w:r>
          </w:p>
        </w:tc>
        <w:tc>
          <w:tcPr>
            <w:tcW w:w="10000" w:type="dxa"/>
            <w:vAlign w:val="bottom"/>
          </w:tcPr>
          <w:p>
            <w:pPr>
              <w:ind w:left="440"/>
              <w:spacing w:after="0"/>
              <w:rPr>
                <w:sz w:val="20"/>
                <w:szCs w:val="20"/>
                <w:color w:val="auto"/>
              </w:rPr>
            </w:pPr>
            <w:r>
              <w:rPr>
                <w:rFonts w:ascii="Arial" w:cs="Arial" w:eastAsia="Arial" w:hAnsi="Arial"/>
                <w:sz w:val="18"/>
                <w:szCs w:val="18"/>
                <w:color w:val="auto"/>
                <w:w w:val="92"/>
              </w:rPr>
              <w:t>Restated Certificate of Incorporation of M&amp;T Bank Corporation dated May 22, 2009. Incorporated by reference to Exhibit 3.1 to the</w:t>
            </w:r>
          </w:p>
        </w:tc>
      </w:tr>
      <w:tr>
        <w:trPr>
          <w:trHeight w:val="230"/>
        </w:trPr>
        <w:tc>
          <w:tcPr>
            <w:tcW w:w="760" w:type="dxa"/>
            <w:vAlign w:val="bottom"/>
          </w:tcPr>
          <w:p>
            <w:pPr>
              <w:spacing w:after="0"/>
              <w:rPr>
                <w:sz w:val="20"/>
                <w:szCs w:val="20"/>
                <w:color w:val="auto"/>
              </w:rPr>
            </w:pPr>
          </w:p>
        </w:tc>
        <w:tc>
          <w:tcPr>
            <w:tcW w:w="10000" w:type="dxa"/>
            <w:vAlign w:val="bottom"/>
          </w:tcPr>
          <w:p>
            <w:pPr>
              <w:ind w:left="440"/>
              <w:spacing w:after="0"/>
              <w:rPr>
                <w:sz w:val="20"/>
                <w:szCs w:val="20"/>
                <w:color w:val="auto"/>
              </w:rPr>
            </w:pPr>
            <w:r>
              <w:rPr>
                <w:rFonts w:ascii="Arial" w:cs="Arial" w:eastAsia="Arial" w:hAnsi="Arial"/>
                <w:sz w:val="18"/>
                <w:szCs w:val="18"/>
                <w:color w:val="auto"/>
              </w:rPr>
              <w:t>Form 8-K dated May 28, 2009 (File No. 1-9861).</w:t>
            </w:r>
          </w:p>
        </w:tc>
      </w:tr>
      <w:tr>
        <w:trPr>
          <w:trHeight w:val="432"/>
        </w:trPr>
        <w:tc>
          <w:tcPr>
            <w:tcW w:w="760" w:type="dxa"/>
            <w:vAlign w:val="bottom"/>
          </w:tcPr>
          <w:p>
            <w:pPr>
              <w:jc w:val="right"/>
              <w:ind w:right="350"/>
              <w:spacing w:after="0"/>
              <w:rPr>
                <w:sz w:val="20"/>
                <w:szCs w:val="20"/>
                <w:color w:val="auto"/>
              </w:rPr>
            </w:pPr>
            <w:r>
              <w:rPr>
                <w:rFonts w:ascii="Arial" w:cs="Arial" w:eastAsia="Arial" w:hAnsi="Arial"/>
                <w:sz w:val="18"/>
                <w:szCs w:val="18"/>
                <w:color w:val="auto"/>
                <w:w w:val="85"/>
              </w:rPr>
              <w:t>31.1</w:t>
            </w:r>
          </w:p>
        </w:tc>
        <w:tc>
          <w:tcPr>
            <w:tcW w:w="10000" w:type="dxa"/>
            <w:vAlign w:val="bottom"/>
          </w:tcPr>
          <w:p>
            <w:pPr>
              <w:ind w:left="440"/>
              <w:spacing w:after="0"/>
              <w:rPr>
                <w:sz w:val="20"/>
                <w:szCs w:val="20"/>
                <w:color w:val="auto"/>
              </w:rPr>
            </w:pPr>
            <w:r>
              <w:rPr>
                <w:rFonts w:ascii="Arial" w:cs="Arial" w:eastAsia="Arial" w:hAnsi="Arial"/>
                <w:sz w:val="18"/>
                <w:szCs w:val="18"/>
                <w:color w:val="auto"/>
              </w:rPr>
              <w:t>Certification of Chief Executive Officer under Section 302 of the Sarbanes-Oxley Act of 2002. Filed herewith.</w:t>
            </w:r>
          </w:p>
        </w:tc>
      </w:tr>
      <w:tr>
        <w:trPr>
          <w:trHeight w:val="432"/>
        </w:trPr>
        <w:tc>
          <w:tcPr>
            <w:tcW w:w="760" w:type="dxa"/>
            <w:vAlign w:val="bottom"/>
          </w:tcPr>
          <w:p>
            <w:pPr>
              <w:jc w:val="right"/>
              <w:ind w:right="350"/>
              <w:spacing w:after="0"/>
              <w:rPr>
                <w:sz w:val="20"/>
                <w:szCs w:val="20"/>
                <w:color w:val="auto"/>
              </w:rPr>
            </w:pPr>
            <w:r>
              <w:rPr>
                <w:rFonts w:ascii="Arial" w:cs="Arial" w:eastAsia="Arial" w:hAnsi="Arial"/>
                <w:sz w:val="18"/>
                <w:szCs w:val="18"/>
                <w:color w:val="auto"/>
                <w:w w:val="85"/>
              </w:rPr>
              <w:t>31.2</w:t>
            </w:r>
          </w:p>
        </w:tc>
        <w:tc>
          <w:tcPr>
            <w:tcW w:w="10000" w:type="dxa"/>
            <w:vAlign w:val="bottom"/>
          </w:tcPr>
          <w:p>
            <w:pPr>
              <w:ind w:left="440"/>
              <w:spacing w:after="0"/>
              <w:rPr>
                <w:sz w:val="20"/>
                <w:szCs w:val="20"/>
                <w:color w:val="auto"/>
              </w:rPr>
            </w:pPr>
            <w:r>
              <w:rPr>
                <w:rFonts w:ascii="Arial" w:cs="Arial" w:eastAsia="Arial" w:hAnsi="Arial"/>
                <w:sz w:val="18"/>
                <w:szCs w:val="18"/>
                <w:color w:val="auto"/>
              </w:rPr>
              <w:t>Certification of Chief Financial Officer under Section 302 of the Sarbanes-Oxley Act of 2002. Filed herewith.</w:t>
            </w:r>
          </w:p>
        </w:tc>
      </w:tr>
      <w:tr>
        <w:trPr>
          <w:trHeight w:val="418"/>
        </w:trPr>
        <w:tc>
          <w:tcPr>
            <w:tcW w:w="760" w:type="dxa"/>
            <w:vAlign w:val="bottom"/>
          </w:tcPr>
          <w:p>
            <w:pPr>
              <w:jc w:val="right"/>
              <w:ind w:right="350"/>
              <w:spacing w:after="0"/>
              <w:rPr>
                <w:sz w:val="20"/>
                <w:szCs w:val="20"/>
                <w:color w:val="auto"/>
              </w:rPr>
            </w:pPr>
            <w:r>
              <w:rPr>
                <w:rFonts w:ascii="Arial" w:cs="Arial" w:eastAsia="Arial" w:hAnsi="Arial"/>
                <w:sz w:val="18"/>
                <w:szCs w:val="18"/>
                <w:color w:val="auto"/>
                <w:w w:val="85"/>
              </w:rPr>
              <w:t>32.1</w:t>
            </w:r>
          </w:p>
        </w:tc>
        <w:tc>
          <w:tcPr>
            <w:tcW w:w="10000" w:type="dxa"/>
            <w:vAlign w:val="bottom"/>
          </w:tcPr>
          <w:p>
            <w:pPr>
              <w:ind w:left="440"/>
              <w:spacing w:after="0"/>
              <w:rPr>
                <w:sz w:val="20"/>
                <w:szCs w:val="20"/>
                <w:color w:val="auto"/>
              </w:rPr>
            </w:pPr>
            <w:r>
              <w:rPr>
                <w:rFonts w:ascii="Arial" w:cs="Arial" w:eastAsia="Arial" w:hAnsi="Arial"/>
                <w:sz w:val="18"/>
                <w:szCs w:val="18"/>
                <w:color w:val="auto"/>
                <w:w w:val="93"/>
              </w:rPr>
              <w:t>Certification of Chief Executive Officer under 18 U.S.C. §1350 pursuant to Section 906 of the Sarbanes-Oxley Act of 2002. Filed</w:t>
            </w:r>
          </w:p>
        </w:tc>
      </w:tr>
      <w:tr>
        <w:trPr>
          <w:trHeight w:val="230"/>
        </w:trPr>
        <w:tc>
          <w:tcPr>
            <w:tcW w:w="760" w:type="dxa"/>
            <w:vAlign w:val="bottom"/>
          </w:tcPr>
          <w:p>
            <w:pPr>
              <w:spacing w:after="0"/>
              <w:rPr>
                <w:sz w:val="20"/>
                <w:szCs w:val="20"/>
                <w:color w:val="auto"/>
              </w:rPr>
            </w:pPr>
          </w:p>
        </w:tc>
        <w:tc>
          <w:tcPr>
            <w:tcW w:w="10000" w:type="dxa"/>
            <w:vAlign w:val="bottom"/>
          </w:tcPr>
          <w:p>
            <w:pPr>
              <w:ind w:left="440"/>
              <w:spacing w:after="0"/>
              <w:rPr>
                <w:sz w:val="20"/>
                <w:szCs w:val="20"/>
                <w:color w:val="auto"/>
              </w:rPr>
            </w:pPr>
            <w:r>
              <w:rPr>
                <w:rFonts w:ascii="Arial" w:cs="Arial" w:eastAsia="Arial" w:hAnsi="Arial"/>
                <w:sz w:val="18"/>
                <w:szCs w:val="18"/>
                <w:color w:val="auto"/>
              </w:rPr>
              <w:t>herewith.</w:t>
            </w:r>
          </w:p>
        </w:tc>
      </w:tr>
      <w:tr>
        <w:trPr>
          <w:trHeight w:val="418"/>
        </w:trPr>
        <w:tc>
          <w:tcPr>
            <w:tcW w:w="760" w:type="dxa"/>
            <w:vAlign w:val="bottom"/>
          </w:tcPr>
          <w:p>
            <w:pPr>
              <w:jc w:val="right"/>
              <w:ind w:right="350"/>
              <w:spacing w:after="0"/>
              <w:rPr>
                <w:sz w:val="20"/>
                <w:szCs w:val="20"/>
                <w:color w:val="auto"/>
              </w:rPr>
            </w:pPr>
            <w:r>
              <w:rPr>
                <w:rFonts w:ascii="Arial" w:cs="Arial" w:eastAsia="Arial" w:hAnsi="Arial"/>
                <w:sz w:val="18"/>
                <w:szCs w:val="18"/>
                <w:color w:val="auto"/>
                <w:w w:val="85"/>
              </w:rPr>
              <w:t>32.2</w:t>
            </w:r>
          </w:p>
        </w:tc>
        <w:tc>
          <w:tcPr>
            <w:tcW w:w="10000" w:type="dxa"/>
            <w:vAlign w:val="bottom"/>
          </w:tcPr>
          <w:p>
            <w:pPr>
              <w:ind w:left="440"/>
              <w:spacing w:after="0"/>
              <w:rPr>
                <w:sz w:val="20"/>
                <w:szCs w:val="20"/>
                <w:color w:val="auto"/>
              </w:rPr>
            </w:pPr>
            <w:r>
              <w:rPr>
                <w:rFonts w:ascii="Arial" w:cs="Arial" w:eastAsia="Arial" w:hAnsi="Arial"/>
                <w:sz w:val="18"/>
                <w:szCs w:val="18"/>
                <w:color w:val="auto"/>
                <w:w w:val="94"/>
              </w:rPr>
              <w:t>Certification of Chief Financial Officer under 18 U.S.C. §1350 pursuant to Section 906 of the Sarbanes-Oxley Act of 2002. Filed</w:t>
            </w:r>
          </w:p>
        </w:tc>
      </w:tr>
      <w:tr>
        <w:trPr>
          <w:trHeight w:val="230"/>
        </w:trPr>
        <w:tc>
          <w:tcPr>
            <w:tcW w:w="760" w:type="dxa"/>
            <w:vAlign w:val="bottom"/>
          </w:tcPr>
          <w:p>
            <w:pPr>
              <w:spacing w:after="0"/>
              <w:rPr>
                <w:sz w:val="20"/>
                <w:szCs w:val="20"/>
                <w:color w:val="auto"/>
              </w:rPr>
            </w:pPr>
          </w:p>
        </w:tc>
        <w:tc>
          <w:tcPr>
            <w:tcW w:w="10000" w:type="dxa"/>
            <w:vAlign w:val="bottom"/>
          </w:tcPr>
          <w:p>
            <w:pPr>
              <w:ind w:left="440"/>
              <w:spacing w:after="0"/>
              <w:rPr>
                <w:sz w:val="20"/>
                <w:szCs w:val="20"/>
                <w:color w:val="auto"/>
              </w:rPr>
            </w:pPr>
            <w:r>
              <w:rPr>
                <w:rFonts w:ascii="Arial" w:cs="Arial" w:eastAsia="Arial" w:hAnsi="Arial"/>
                <w:sz w:val="18"/>
                <w:szCs w:val="18"/>
                <w:color w:val="auto"/>
              </w:rPr>
              <w:t>herewith.</w:t>
            </w: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M&amp;T BANK CORPORATION</w:t>
            </w:r>
          </w:p>
        </w:tc>
        <w:tc>
          <w:tcPr>
            <w:tcW w:w="1680" w:type="dxa"/>
            <w:vAlign w:val="bottom"/>
          </w:tcPr>
          <w:p>
            <w:pPr>
              <w:spacing w:after="0"/>
              <w:rPr>
                <w:sz w:val="20"/>
                <w:szCs w:val="20"/>
                <w:color w:val="auto"/>
              </w:rPr>
            </w:pPr>
          </w:p>
        </w:tc>
      </w:tr>
      <w:tr>
        <w:trPr>
          <w:trHeight w:val="432"/>
        </w:trPr>
        <w:tc>
          <w:tcPr>
            <w:tcW w:w="3460" w:type="dxa"/>
            <w:vAlign w:val="bottom"/>
          </w:tcPr>
          <w:p>
            <w:pPr>
              <w:spacing w:after="0"/>
              <w:rPr>
                <w:sz w:val="20"/>
                <w:szCs w:val="20"/>
                <w:color w:val="auto"/>
              </w:rPr>
            </w:pPr>
            <w:r>
              <w:rPr>
                <w:rFonts w:ascii="Arial" w:cs="Arial" w:eastAsia="Arial" w:hAnsi="Arial"/>
                <w:sz w:val="18"/>
                <w:szCs w:val="18"/>
                <w:color w:val="auto"/>
              </w:rPr>
              <w:t>Date: August 4, 2009</w:t>
            </w:r>
          </w:p>
        </w:tc>
        <w:tc>
          <w:tcPr>
            <w:tcW w:w="6280" w:type="dxa"/>
            <w:vAlign w:val="bottom"/>
            <w:gridSpan w:val="2"/>
          </w:tcPr>
          <w:p>
            <w:pPr>
              <w:jc w:val="right"/>
              <w:ind w:right="2730"/>
              <w:spacing w:after="0"/>
              <w:rPr>
                <w:sz w:val="20"/>
                <w:szCs w:val="20"/>
                <w:color w:val="auto"/>
              </w:rPr>
            </w:pPr>
            <w:r>
              <w:rPr>
                <w:rFonts w:ascii="Arial" w:cs="Arial" w:eastAsia="Arial" w:hAnsi="Arial"/>
                <w:sz w:val="18"/>
                <w:szCs w:val="18"/>
                <w:color w:val="auto"/>
              </w:rPr>
              <w:t>By: /s/ René F. Jones</w:t>
            </w:r>
          </w:p>
        </w:tc>
        <w:tc>
          <w:tcPr>
            <w:tcW w:w="1680" w:type="dxa"/>
            <w:vAlign w:val="bottom"/>
          </w:tcPr>
          <w:p>
            <w:pPr>
              <w:spacing w:after="0"/>
              <w:rPr>
                <w:sz w:val="24"/>
                <w:szCs w:val="24"/>
                <w:color w:val="auto"/>
              </w:rPr>
            </w:pPr>
          </w:p>
        </w:tc>
      </w:tr>
      <w:tr>
        <w:trPr>
          <w:trHeight w:val="195"/>
        </w:trPr>
        <w:tc>
          <w:tcPr>
            <w:tcW w:w="34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René F. Jones</w:t>
            </w:r>
          </w:p>
        </w:tc>
        <w:tc>
          <w:tcPr>
            <w:tcW w:w="1680" w:type="dxa"/>
            <w:vAlign w:val="bottom"/>
          </w:tcPr>
          <w:p>
            <w:pPr>
              <w:spacing w:after="0"/>
              <w:rPr>
                <w:sz w:val="16"/>
                <w:szCs w:val="16"/>
                <w:color w:val="auto"/>
              </w:rPr>
            </w:pPr>
          </w:p>
        </w:tc>
      </w:tr>
      <w:tr>
        <w:trPr>
          <w:trHeight w:val="216"/>
        </w:trPr>
        <w:tc>
          <w:tcPr>
            <w:tcW w:w="3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1680" w:type="dxa"/>
            <w:vAlign w:val="bottom"/>
          </w:tcPr>
          <w:p>
            <w:pPr>
              <w:spacing w:after="0"/>
              <w:rPr>
                <w:sz w:val="18"/>
                <w:szCs w:val="18"/>
                <w:color w:val="auto"/>
              </w:rPr>
            </w:pPr>
          </w:p>
        </w:tc>
      </w:tr>
      <w:tr>
        <w:trPr>
          <w:trHeight w:val="230"/>
        </w:trPr>
        <w:tc>
          <w:tcPr>
            <w:tcW w:w="34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and Chief Financial Officer</w:t>
            </w:r>
          </w:p>
        </w:tc>
        <w:tc>
          <w:tcPr>
            <w:tcW w:w="1680" w:type="dxa"/>
            <w:vAlign w:val="bottom"/>
          </w:tcPr>
          <w:p>
            <w:pPr>
              <w:spacing w:after="0"/>
              <w:rPr>
                <w:sz w:val="20"/>
                <w:szCs w:val="20"/>
                <w:color w:val="auto"/>
              </w:rPr>
            </w:pPr>
          </w:p>
        </w:tc>
      </w:tr>
      <w:tr>
        <w:trPr>
          <w:trHeight w:val="621"/>
        </w:trPr>
        <w:tc>
          <w:tcPr>
            <w:tcW w:w="3460" w:type="dxa"/>
            <w:vAlign w:val="bottom"/>
          </w:tcPr>
          <w:p>
            <w:pPr>
              <w:spacing w:after="0"/>
              <w:rPr>
                <w:sz w:val="24"/>
                <w:szCs w:val="24"/>
                <w:color w:val="auto"/>
              </w:rPr>
            </w:pPr>
          </w:p>
        </w:tc>
        <w:tc>
          <w:tcPr>
            <w:tcW w:w="6280" w:type="dxa"/>
            <w:vAlign w:val="bottom"/>
            <w:gridSpan w:val="2"/>
          </w:tcPr>
          <w:p>
            <w:pPr>
              <w:jc w:val="right"/>
              <w:ind w:right="3750"/>
              <w:spacing w:after="0"/>
              <w:rPr>
                <w:sz w:val="20"/>
                <w:szCs w:val="20"/>
                <w:color w:val="auto"/>
              </w:rPr>
            </w:pPr>
            <w:r>
              <w:rPr>
                <w:rFonts w:ascii="Arial" w:cs="Arial" w:eastAsia="Arial" w:hAnsi="Arial"/>
                <w:sz w:val="18"/>
                <w:szCs w:val="18"/>
                <w:color w:val="auto"/>
              </w:rPr>
              <w:t>- 91 -</w:t>
            </w:r>
          </w:p>
        </w:tc>
        <w:tc>
          <w:tcPr>
            <w:tcW w:w="1680" w:type="dxa"/>
            <w:vAlign w:val="bottom"/>
          </w:tcPr>
          <w:p>
            <w:pPr>
              <w:spacing w:after="0"/>
              <w:rPr>
                <w:sz w:val="24"/>
                <w:szCs w:val="24"/>
                <w:color w:val="auto"/>
              </w:rPr>
            </w:pPr>
          </w:p>
        </w:tc>
      </w:tr>
      <w:tr>
        <w:trPr>
          <w:trHeight w:val="226"/>
        </w:trPr>
        <w:tc>
          <w:tcPr>
            <w:tcW w:w="3460" w:type="dxa"/>
            <w:vAlign w:val="bottom"/>
            <w:tcBorders>
              <w:bottom w:val="single" w:sz="8" w:color="808080"/>
            </w:tcBorders>
          </w:tcPr>
          <w:p>
            <w:pPr>
              <w:spacing w:after="0"/>
              <w:rPr>
                <w:sz w:val="19"/>
                <w:szCs w:val="19"/>
                <w:color w:val="auto"/>
              </w:rPr>
            </w:pPr>
          </w:p>
        </w:tc>
        <w:tc>
          <w:tcPr>
            <w:tcW w:w="224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10120" w:type="dxa"/>
            <w:vAlign w:val="bottom"/>
          </w:tcPr>
          <w:p>
            <w:pPr>
              <w:ind w:left="4080"/>
              <w:spacing w:after="0"/>
              <w:rPr>
                <w:sz w:val="20"/>
                <w:szCs w:val="20"/>
                <w:color w:val="auto"/>
              </w:rPr>
            </w:pPr>
            <w:r>
              <w:rPr>
                <w:rFonts w:ascii="Arial" w:cs="Arial" w:eastAsia="Arial" w:hAnsi="Arial"/>
                <w:sz w:val="18"/>
                <w:szCs w:val="18"/>
                <w:color w:val="auto"/>
              </w:rPr>
              <w:t>EXHIBIT INDEX</w:t>
            </w:r>
          </w:p>
        </w:tc>
      </w:tr>
      <w:tr>
        <w:trPr>
          <w:trHeight w:val="346"/>
        </w:trPr>
        <w:tc>
          <w:tcPr>
            <w:tcW w:w="980" w:type="dxa"/>
            <w:vAlign w:val="bottom"/>
          </w:tcPr>
          <w:p>
            <w:pPr>
              <w:jc w:val="right"/>
              <w:ind w:right="195"/>
              <w:spacing w:after="0"/>
              <w:rPr>
                <w:sz w:val="20"/>
                <w:szCs w:val="20"/>
                <w:color w:val="auto"/>
              </w:rPr>
            </w:pPr>
            <w:r>
              <w:rPr>
                <w:rFonts w:ascii="Arial" w:cs="Arial" w:eastAsia="Arial" w:hAnsi="Arial"/>
                <w:sz w:val="14"/>
                <w:szCs w:val="14"/>
                <w:color w:val="auto"/>
              </w:rPr>
              <w:t>Exhibit</w:t>
            </w:r>
          </w:p>
        </w:tc>
        <w:tc>
          <w:tcPr>
            <w:tcW w:w="10120" w:type="dxa"/>
            <w:vAlign w:val="bottom"/>
          </w:tcPr>
          <w:p>
            <w:pPr>
              <w:spacing w:after="0"/>
              <w:rPr>
                <w:sz w:val="24"/>
                <w:szCs w:val="24"/>
                <w:color w:val="auto"/>
              </w:rPr>
            </w:pPr>
          </w:p>
        </w:tc>
      </w:tr>
      <w:tr>
        <w:trPr>
          <w:trHeight w:val="167"/>
        </w:trPr>
        <w:tc>
          <w:tcPr>
            <w:tcW w:w="9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color w:val="auto"/>
              </w:rPr>
              <w:t>No.</w:t>
            </w:r>
          </w:p>
        </w:tc>
        <w:tc>
          <w:tcPr>
            <w:tcW w:w="10120" w:type="dxa"/>
            <w:vAlign w:val="bottom"/>
          </w:tcPr>
          <w:p>
            <w:pPr>
              <w:spacing w:after="0"/>
              <w:rPr>
                <w:sz w:val="14"/>
                <w:szCs w:val="14"/>
                <w:color w:val="auto"/>
              </w:rPr>
            </w:pPr>
          </w:p>
        </w:tc>
      </w:tr>
      <w:tr>
        <w:trPr>
          <w:trHeight w:val="411"/>
        </w:trPr>
        <w:tc>
          <w:tcPr>
            <w:tcW w:w="980" w:type="dxa"/>
            <w:vAlign w:val="bottom"/>
          </w:tcPr>
          <w:p>
            <w:pPr>
              <w:jc w:val="right"/>
              <w:ind w:right="235"/>
              <w:spacing w:after="0"/>
              <w:rPr>
                <w:sz w:val="20"/>
                <w:szCs w:val="20"/>
                <w:color w:val="auto"/>
              </w:rPr>
            </w:pPr>
            <w:r>
              <w:rPr>
                <w:rFonts w:ascii="Arial" w:cs="Arial" w:eastAsia="Arial" w:hAnsi="Arial"/>
                <w:sz w:val="18"/>
                <w:szCs w:val="18"/>
                <w:color w:val="auto"/>
              </w:rPr>
              <w:t>3.1</w:t>
            </w:r>
          </w:p>
        </w:tc>
        <w:tc>
          <w:tcPr>
            <w:tcW w:w="10120" w:type="dxa"/>
            <w:vAlign w:val="bottom"/>
          </w:tcPr>
          <w:p>
            <w:pPr>
              <w:ind w:left="560"/>
              <w:spacing w:after="0"/>
              <w:rPr>
                <w:sz w:val="20"/>
                <w:szCs w:val="20"/>
                <w:color w:val="auto"/>
              </w:rPr>
            </w:pPr>
            <w:r>
              <w:rPr>
                <w:rFonts w:ascii="Arial" w:cs="Arial" w:eastAsia="Arial" w:hAnsi="Arial"/>
                <w:sz w:val="18"/>
                <w:szCs w:val="18"/>
                <w:color w:val="auto"/>
                <w:w w:val="92"/>
              </w:rPr>
              <w:t>Restated Certificate of Incorporation of M&amp;T Bank Corporation dated May 22, 2009. Incorporated by reference to Exhibit 3.1 to the</w:t>
            </w:r>
          </w:p>
        </w:tc>
      </w:tr>
      <w:tr>
        <w:trPr>
          <w:trHeight w:val="230"/>
        </w:trPr>
        <w:tc>
          <w:tcPr>
            <w:tcW w:w="980" w:type="dxa"/>
            <w:vAlign w:val="bottom"/>
          </w:tcPr>
          <w:p>
            <w:pPr>
              <w:spacing w:after="0"/>
              <w:rPr>
                <w:sz w:val="20"/>
                <w:szCs w:val="20"/>
                <w:color w:val="auto"/>
              </w:rPr>
            </w:pPr>
          </w:p>
        </w:tc>
        <w:tc>
          <w:tcPr>
            <w:tcW w:w="10120" w:type="dxa"/>
            <w:vAlign w:val="bottom"/>
          </w:tcPr>
          <w:p>
            <w:pPr>
              <w:ind w:left="560"/>
              <w:spacing w:after="0"/>
              <w:rPr>
                <w:sz w:val="20"/>
                <w:szCs w:val="20"/>
                <w:color w:val="auto"/>
              </w:rPr>
            </w:pPr>
            <w:r>
              <w:rPr>
                <w:rFonts w:ascii="Arial" w:cs="Arial" w:eastAsia="Arial" w:hAnsi="Arial"/>
                <w:sz w:val="18"/>
                <w:szCs w:val="18"/>
                <w:color w:val="auto"/>
              </w:rPr>
              <w:t>Form 8-K dated May 28, 2009 (File No. 1-9861).</w:t>
            </w:r>
          </w:p>
        </w:tc>
      </w:tr>
      <w:tr>
        <w:trPr>
          <w:trHeight w:val="432"/>
        </w:trPr>
        <w:tc>
          <w:tcPr>
            <w:tcW w:w="980" w:type="dxa"/>
            <w:vAlign w:val="bottom"/>
          </w:tcPr>
          <w:p>
            <w:pPr>
              <w:jc w:val="right"/>
              <w:ind w:right="235"/>
              <w:spacing w:after="0"/>
              <w:rPr>
                <w:sz w:val="20"/>
                <w:szCs w:val="20"/>
                <w:color w:val="auto"/>
              </w:rPr>
            </w:pPr>
            <w:r>
              <w:rPr>
                <w:rFonts w:ascii="Arial" w:cs="Arial" w:eastAsia="Arial" w:hAnsi="Arial"/>
                <w:sz w:val="18"/>
                <w:szCs w:val="18"/>
                <w:color w:val="auto"/>
              </w:rPr>
              <w:t>31.1</w:t>
            </w:r>
          </w:p>
        </w:tc>
        <w:tc>
          <w:tcPr>
            <w:tcW w:w="10120" w:type="dxa"/>
            <w:vAlign w:val="bottom"/>
          </w:tcPr>
          <w:p>
            <w:pPr>
              <w:ind w:left="560"/>
              <w:spacing w:after="0"/>
              <w:rPr>
                <w:sz w:val="20"/>
                <w:szCs w:val="20"/>
                <w:color w:val="auto"/>
              </w:rPr>
            </w:pPr>
            <w:r>
              <w:rPr>
                <w:rFonts w:ascii="Arial" w:cs="Arial" w:eastAsia="Arial" w:hAnsi="Arial"/>
                <w:sz w:val="18"/>
                <w:szCs w:val="18"/>
                <w:color w:val="auto"/>
              </w:rPr>
              <w:t>Certification of Chief Executive Officer under Section 302 of the Sarbanes-Oxley Act of 2002. Filed herewith.</w:t>
            </w:r>
          </w:p>
        </w:tc>
      </w:tr>
      <w:tr>
        <w:trPr>
          <w:trHeight w:val="432"/>
        </w:trPr>
        <w:tc>
          <w:tcPr>
            <w:tcW w:w="980" w:type="dxa"/>
            <w:vAlign w:val="bottom"/>
          </w:tcPr>
          <w:p>
            <w:pPr>
              <w:jc w:val="right"/>
              <w:ind w:right="235"/>
              <w:spacing w:after="0"/>
              <w:rPr>
                <w:sz w:val="20"/>
                <w:szCs w:val="20"/>
                <w:color w:val="auto"/>
              </w:rPr>
            </w:pPr>
            <w:r>
              <w:rPr>
                <w:rFonts w:ascii="Arial" w:cs="Arial" w:eastAsia="Arial" w:hAnsi="Arial"/>
                <w:sz w:val="18"/>
                <w:szCs w:val="18"/>
                <w:color w:val="auto"/>
              </w:rPr>
              <w:t>31.2</w:t>
            </w:r>
          </w:p>
        </w:tc>
        <w:tc>
          <w:tcPr>
            <w:tcW w:w="10120" w:type="dxa"/>
            <w:vAlign w:val="bottom"/>
          </w:tcPr>
          <w:p>
            <w:pPr>
              <w:ind w:left="560"/>
              <w:spacing w:after="0"/>
              <w:rPr>
                <w:sz w:val="20"/>
                <w:szCs w:val="20"/>
                <w:color w:val="auto"/>
              </w:rPr>
            </w:pPr>
            <w:r>
              <w:rPr>
                <w:rFonts w:ascii="Arial" w:cs="Arial" w:eastAsia="Arial" w:hAnsi="Arial"/>
                <w:sz w:val="18"/>
                <w:szCs w:val="18"/>
                <w:color w:val="auto"/>
              </w:rPr>
              <w:t>Certification of Chief Financial Officer under Section 302 of the Sarbanes-Oxley Act of 2002. Filed herewith.</w:t>
            </w:r>
          </w:p>
        </w:tc>
      </w:tr>
      <w:tr>
        <w:trPr>
          <w:trHeight w:val="418"/>
        </w:trPr>
        <w:tc>
          <w:tcPr>
            <w:tcW w:w="980" w:type="dxa"/>
            <w:vAlign w:val="bottom"/>
          </w:tcPr>
          <w:p>
            <w:pPr>
              <w:jc w:val="right"/>
              <w:ind w:right="235"/>
              <w:spacing w:after="0"/>
              <w:rPr>
                <w:sz w:val="20"/>
                <w:szCs w:val="20"/>
                <w:color w:val="auto"/>
              </w:rPr>
            </w:pPr>
            <w:r>
              <w:rPr>
                <w:rFonts w:ascii="Arial" w:cs="Arial" w:eastAsia="Arial" w:hAnsi="Arial"/>
                <w:sz w:val="18"/>
                <w:szCs w:val="18"/>
                <w:color w:val="auto"/>
              </w:rPr>
              <w:t>32.1</w:t>
            </w:r>
          </w:p>
        </w:tc>
        <w:tc>
          <w:tcPr>
            <w:tcW w:w="10120" w:type="dxa"/>
            <w:vAlign w:val="bottom"/>
          </w:tcPr>
          <w:p>
            <w:pPr>
              <w:ind w:left="560"/>
              <w:spacing w:after="0"/>
              <w:rPr>
                <w:sz w:val="20"/>
                <w:szCs w:val="20"/>
                <w:color w:val="auto"/>
              </w:rPr>
            </w:pPr>
            <w:r>
              <w:rPr>
                <w:rFonts w:ascii="Arial" w:cs="Arial" w:eastAsia="Arial" w:hAnsi="Arial"/>
                <w:sz w:val="18"/>
                <w:szCs w:val="18"/>
                <w:color w:val="auto"/>
                <w:w w:val="93"/>
              </w:rPr>
              <w:t>Certification of Chief Executive Officer under 18 U.S.C. §1350 pursuant to Section 906 of the Sarbanes-Oxley Act of 2002. Filed</w:t>
            </w:r>
          </w:p>
        </w:tc>
      </w:tr>
      <w:tr>
        <w:trPr>
          <w:trHeight w:val="230"/>
        </w:trPr>
        <w:tc>
          <w:tcPr>
            <w:tcW w:w="980" w:type="dxa"/>
            <w:vAlign w:val="bottom"/>
          </w:tcPr>
          <w:p>
            <w:pPr>
              <w:spacing w:after="0"/>
              <w:rPr>
                <w:sz w:val="20"/>
                <w:szCs w:val="20"/>
                <w:color w:val="auto"/>
              </w:rPr>
            </w:pPr>
          </w:p>
        </w:tc>
        <w:tc>
          <w:tcPr>
            <w:tcW w:w="10120" w:type="dxa"/>
            <w:vAlign w:val="bottom"/>
          </w:tcPr>
          <w:p>
            <w:pPr>
              <w:ind w:left="560"/>
              <w:spacing w:after="0"/>
              <w:rPr>
                <w:sz w:val="20"/>
                <w:szCs w:val="20"/>
                <w:color w:val="auto"/>
              </w:rPr>
            </w:pPr>
            <w:r>
              <w:rPr>
                <w:rFonts w:ascii="Arial" w:cs="Arial" w:eastAsia="Arial" w:hAnsi="Arial"/>
                <w:sz w:val="18"/>
                <w:szCs w:val="18"/>
                <w:color w:val="auto"/>
              </w:rPr>
              <w:t>herewith.</w:t>
            </w:r>
          </w:p>
        </w:tc>
      </w:tr>
      <w:tr>
        <w:trPr>
          <w:trHeight w:val="418"/>
        </w:trPr>
        <w:tc>
          <w:tcPr>
            <w:tcW w:w="980" w:type="dxa"/>
            <w:vAlign w:val="bottom"/>
          </w:tcPr>
          <w:p>
            <w:pPr>
              <w:jc w:val="right"/>
              <w:ind w:right="235"/>
              <w:spacing w:after="0"/>
              <w:rPr>
                <w:sz w:val="20"/>
                <w:szCs w:val="20"/>
                <w:color w:val="auto"/>
              </w:rPr>
            </w:pPr>
            <w:r>
              <w:rPr>
                <w:rFonts w:ascii="Arial" w:cs="Arial" w:eastAsia="Arial" w:hAnsi="Arial"/>
                <w:sz w:val="18"/>
                <w:szCs w:val="18"/>
                <w:color w:val="auto"/>
              </w:rPr>
              <w:t>32.2</w:t>
            </w:r>
          </w:p>
        </w:tc>
        <w:tc>
          <w:tcPr>
            <w:tcW w:w="10120" w:type="dxa"/>
            <w:vAlign w:val="bottom"/>
          </w:tcPr>
          <w:p>
            <w:pPr>
              <w:ind w:left="560"/>
              <w:spacing w:after="0"/>
              <w:rPr>
                <w:sz w:val="20"/>
                <w:szCs w:val="20"/>
                <w:color w:val="auto"/>
              </w:rPr>
            </w:pPr>
            <w:r>
              <w:rPr>
                <w:rFonts w:ascii="Arial" w:cs="Arial" w:eastAsia="Arial" w:hAnsi="Arial"/>
                <w:sz w:val="18"/>
                <w:szCs w:val="18"/>
                <w:color w:val="auto"/>
                <w:w w:val="94"/>
              </w:rPr>
              <w:t>Certification of Chief Financial Officer under 18 U.S.C. §1350 pursuant to Section 906 of the Sarbanes-Oxley Act of 2002. Filed</w:t>
            </w:r>
          </w:p>
        </w:tc>
      </w:tr>
      <w:tr>
        <w:trPr>
          <w:trHeight w:val="230"/>
        </w:trPr>
        <w:tc>
          <w:tcPr>
            <w:tcW w:w="980" w:type="dxa"/>
            <w:vAlign w:val="bottom"/>
          </w:tcPr>
          <w:p>
            <w:pPr>
              <w:spacing w:after="0"/>
              <w:rPr>
                <w:sz w:val="20"/>
                <w:szCs w:val="20"/>
                <w:color w:val="auto"/>
              </w:rPr>
            </w:pPr>
          </w:p>
        </w:tc>
        <w:tc>
          <w:tcPr>
            <w:tcW w:w="10120" w:type="dxa"/>
            <w:vAlign w:val="bottom"/>
          </w:tcPr>
          <w:p>
            <w:pPr>
              <w:ind w:left="560"/>
              <w:spacing w:after="0"/>
              <w:rPr>
                <w:sz w:val="20"/>
                <w:szCs w:val="20"/>
                <w:color w:val="auto"/>
              </w:rPr>
            </w:pPr>
            <w:r>
              <w:rPr>
                <w:rFonts w:ascii="Arial" w:cs="Arial" w:eastAsia="Arial" w:hAnsi="Arial"/>
                <w:sz w:val="18"/>
                <w:szCs w:val="18"/>
                <w:color w:val="auto"/>
              </w:rPr>
              <w:t>herewith.</w:t>
            </w:r>
          </w:p>
        </w:tc>
      </w:tr>
      <w:tr>
        <w:trPr>
          <w:trHeight w:val="405"/>
        </w:trPr>
        <w:tc>
          <w:tcPr>
            <w:tcW w:w="980" w:type="dxa"/>
            <w:vAlign w:val="bottom"/>
          </w:tcPr>
          <w:p>
            <w:pPr>
              <w:spacing w:after="0"/>
              <w:rPr>
                <w:sz w:val="24"/>
                <w:szCs w:val="24"/>
                <w:color w:val="auto"/>
              </w:rPr>
            </w:pPr>
          </w:p>
        </w:tc>
        <w:tc>
          <w:tcPr>
            <w:tcW w:w="10120" w:type="dxa"/>
            <w:vAlign w:val="bottom"/>
          </w:tcPr>
          <w:p>
            <w:pPr>
              <w:ind w:left="4540"/>
              <w:spacing w:after="0"/>
              <w:rPr>
                <w:sz w:val="20"/>
                <w:szCs w:val="20"/>
                <w:color w:val="auto"/>
              </w:rPr>
            </w:pPr>
            <w:r>
              <w:rPr>
                <w:rFonts w:ascii="Arial" w:cs="Arial" w:eastAsia="Arial" w:hAnsi="Arial"/>
                <w:sz w:val="18"/>
                <w:szCs w:val="18"/>
                <w:color w:val="auto"/>
              </w:rPr>
              <w:t>- 92 -</w:t>
            </w:r>
          </w:p>
        </w:tc>
      </w:tr>
    </w:tbl>
    <w:p>
      <w:pPr>
        <w:sectPr>
          <w:pgSz w:w="11900" w:h="16838" w:orient="portrait"/>
          <w:cols w:equalWidth="0" w:num="1">
            <w:col w:w="11100"/>
          </w:cols>
          <w:pgMar w:left="240" w:top="419" w:right="55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Robert G. Wilmers, certify that:</w:t>
      </w:r>
    </w:p>
    <w:p>
      <w:pPr>
        <w:spacing w:after="0" w:line="117"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117"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460" w:right="280" w:hanging="452"/>
        <w:spacing w:after="0" w:line="26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80" w:hanging="452"/>
        <w:spacing w:after="0" w:line="26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120" w:hanging="452"/>
        <w:spacing w:after="0" w:line="308"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460" w:right="140" w:hanging="452"/>
        <w:spacing w:after="0" w:line="26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sz w:val="20"/>
          <w:szCs w:val="20"/>
          <w:color w:val="auto"/>
        </w:rPr>
      </w:pPr>
    </w:p>
    <w:p>
      <w:pPr>
        <w:ind w:left="460" w:right="200" w:hanging="452"/>
        <w:spacing w:after="0" w:line="308" w:lineRule="auto"/>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460" w:right="60" w:hanging="452"/>
        <w:spacing w:after="0" w:line="277"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300" w:hanging="452"/>
        <w:spacing w:after="0" w:line="277"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54698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Robert G. Wilmers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René F. Jones, certify that:</w:t>
      </w:r>
    </w:p>
    <w:p>
      <w:pPr>
        <w:spacing w:after="0" w:line="117"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117"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460" w:right="280" w:hanging="452"/>
        <w:spacing w:after="0" w:line="264"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80" w:hanging="452"/>
        <w:spacing w:after="0" w:line="264"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120" w:hanging="452"/>
        <w:spacing w:after="0" w:line="308" w:lineRule="auto"/>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460" w:right="140" w:hanging="452"/>
        <w:spacing w:after="0" w:line="264"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sz w:val="20"/>
          <w:szCs w:val="20"/>
          <w:color w:val="auto"/>
        </w:rPr>
      </w:pPr>
    </w:p>
    <w:p>
      <w:pPr>
        <w:ind w:left="460" w:right="200" w:hanging="452"/>
        <w:spacing w:after="0" w:line="308" w:lineRule="auto"/>
        <w:tabs>
          <w:tab w:leader="none" w:pos="4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460" w:right="60" w:hanging="452"/>
        <w:spacing w:after="0" w:line="277"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300" w:hanging="452"/>
        <w:spacing w:after="0" w:line="277"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54698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René F. Jones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125"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UNDER 18 U.S.C. §1350</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 Robert G. Wilmers, Chairman of the Board and Chief Executive Officer of M&amp;T Bank Corporation, certify, pursuant to Section 906 of the Sarbanes-Oxley Act of 2002, 18 U.S.C. Section 1350, that:</w:t>
      </w:r>
    </w:p>
    <w:p>
      <w:pPr>
        <w:spacing w:after="0" w:line="62" w:lineRule="exact"/>
        <w:rPr>
          <w:sz w:val="20"/>
          <w:szCs w:val="20"/>
          <w:color w:val="auto"/>
        </w:rPr>
      </w:pPr>
    </w:p>
    <w:p>
      <w:pPr>
        <w:ind w:left="660" w:right="160" w:hanging="436"/>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Quarterly Report on Form 10-Q of M&amp;T Bank Corporation for the quarterly period ended June 30, 2009 (the “Report”) fully complies with the requirements of Section 13(a) or 15(d) of the Securities Exchange Act of 1934 (15 U.S.C. 78m or 78o(d)); and</w:t>
      </w:r>
    </w:p>
    <w:p>
      <w:pPr>
        <w:spacing w:after="0" w:line="62" w:lineRule="exact"/>
        <w:rPr>
          <w:rFonts w:ascii="Arial" w:cs="Arial" w:eastAsia="Arial" w:hAnsi="Arial"/>
          <w:sz w:val="18"/>
          <w:szCs w:val="18"/>
          <w:color w:val="auto"/>
        </w:rPr>
      </w:pPr>
    </w:p>
    <w:p>
      <w:pPr>
        <w:ind w:left="660" w:right="540" w:hanging="436"/>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6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 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4319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G. Wilmers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4, 2009</w:t>
      </w:r>
    </w:p>
    <w:p>
      <w:pPr>
        <w:spacing w:after="0" w:line="10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UNDER 18 U.S.C. §1350</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 René F. Jones, Executive Vice President and Chief Financial Officer of M&amp;T Bank Corporation, certify, pursuant to Section 906 of the Sarbanes-Oxley Act of 2002, 18 U.S.C. Section 1350, that:</w:t>
      </w:r>
    </w:p>
    <w:p>
      <w:pPr>
        <w:spacing w:after="0" w:line="62" w:lineRule="exact"/>
        <w:rPr>
          <w:sz w:val="20"/>
          <w:szCs w:val="20"/>
          <w:color w:val="auto"/>
        </w:rPr>
      </w:pPr>
    </w:p>
    <w:p>
      <w:pPr>
        <w:ind w:left="660" w:right="160" w:hanging="436"/>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Quarterly Report on Form 10-Q of M&amp;T Bank Corporation for the quarterly period ended June 30, 2009 (the “Report”) fully complies with the requirements of Section 13(a) or 15(d) of the Securities Exchange Act of 1934 (15 U.S.C. 78m or 78o(d)); and</w:t>
      </w:r>
    </w:p>
    <w:p>
      <w:pPr>
        <w:spacing w:after="0" w:line="62" w:lineRule="exact"/>
        <w:rPr>
          <w:rFonts w:ascii="Arial" w:cs="Arial" w:eastAsia="Arial" w:hAnsi="Arial"/>
          <w:sz w:val="18"/>
          <w:szCs w:val="18"/>
          <w:color w:val="auto"/>
        </w:rPr>
      </w:pPr>
    </w:p>
    <w:p>
      <w:pPr>
        <w:ind w:left="660" w:right="540" w:hanging="436"/>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6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19189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René F. Jones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4, 2009</w:t>
      </w:r>
    </w:p>
    <w:p>
      <w:pPr>
        <w:spacing w:after="0" w:line="10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o"/>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1)"/>
      <w:numFmt w:val="lowerLetter"/>
      <w:start w:val="1"/>
    </w:lvl>
    <w:lvl w:ilvl="1">
      <w:lvlJc w:val="left"/>
      <w:lvlText w:val="-"/>
      <w:numFmt w:val="bullet"/>
      <w:start w:val="1"/>
    </w:lvl>
  </w:abstractNum>
  <w:abstractNum w:abstractNumId="5">
    <w:nsid w:val="628C895D"/>
    <w:multiLevelType w:val="hybridMultilevel"/>
    <w:lvl w:ilvl="0">
      <w:lvlJc w:val="left"/>
      <w:lvlText w:val="(%1)"/>
      <w:numFmt w:val="lowerLetter"/>
      <w:start w:val="1"/>
    </w:lvl>
  </w:abstractNum>
  <w:abstractNum w:abstractNumId="6">
    <w:nsid w:val="333AB105"/>
    <w:multiLevelType w:val="hybridMultilevel"/>
    <w:lvl w:ilvl="0">
      <w:lvlJc w:val="left"/>
      <w:lvlText w:val="(%1)"/>
      <w:numFmt w:val="lowerLetter"/>
      <w:start w:val="1"/>
    </w:lvl>
    <w:lvl w:ilvl="1">
      <w:lvlJc w:val="left"/>
      <w:lvlText w:val="-"/>
      <w:numFmt w:val="bullet"/>
      <w:start w:val="1"/>
    </w:lvl>
  </w:abstractNum>
  <w:abstractNum w:abstractNumId="7">
    <w:nsid w:val="721DA317"/>
    <w:multiLevelType w:val="hybridMultilevel"/>
    <w:lvl w:ilvl="0">
      <w:lvlJc w:val="left"/>
      <w:lvlText w:val="•"/>
      <w:numFmt w:val="bullet"/>
      <w:start w:val="1"/>
    </w:lvl>
    <w:lvl w:ilvl="1">
      <w:lvlJc w:val="left"/>
      <w:lvlText w:val="-"/>
      <w:numFmt w:val="bullet"/>
      <w:start w:val="1"/>
    </w:lvl>
  </w:abstractNum>
  <w:abstractNum w:abstractNumId="8">
    <w:nsid w:val="2443A858"/>
    <w:multiLevelType w:val="hybridMultilevel"/>
    <w:lvl w:ilvl="0">
      <w:lvlJc w:val="left"/>
      <w:lvlText w:val="%1."/>
      <w:numFmt w:val="decimal"/>
      <w:start w:val="2"/>
    </w:lvl>
  </w:abstractNum>
  <w:abstractNum w:abstractNumId="9">
    <w:nsid w:val="2D1D5AE9"/>
    <w:multiLevelType w:val="hybridMultilevel"/>
    <w:lvl w:ilvl="0">
      <w:lvlJc w:val="left"/>
      <w:lvlText w:val="(%1)"/>
      <w:numFmt w:val="lowerLetter"/>
      <w:start w:val="1"/>
    </w:lvl>
    <w:lvl w:ilvl="1">
      <w:lvlJc w:val="left"/>
      <w:lvlText w:val="-"/>
      <w:numFmt w:val="bullet"/>
      <w:start w:val="1"/>
    </w:lvl>
  </w:abstractNum>
  <w:abstractNum w:abstractNumId="10">
    <w:nsid w:val="6763845E"/>
    <w:multiLevelType w:val="hybridMultilevel"/>
    <w:lvl w:ilvl="0">
      <w:lvlJc w:val="left"/>
      <w:lvlText w:val="(%1)"/>
      <w:numFmt w:val="lowerLetter"/>
      <w:start w:val="1"/>
    </w:lvl>
    <w:lvl w:ilvl="1">
      <w:lvlJc w:val="left"/>
      <w:lvlText w:val="-"/>
      <w:numFmt w:val="bullet"/>
      <w:start w:val="1"/>
    </w:lvl>
  </w:abstractNum>
  <w:abstractNum w:abstractNumId="11">
    <w:nsid w:val="75A2A8D4"/>
    <w:multiLevelType w:val="hybridMultilevel"/>
    <w:lvl w:ilvl="0">
      <w:lvlJc w:val="left"/>
      <w:lvlText w:val="(%1)"/>
      <w:numFmt w:val="lowerLetter"/>
      <w:start w:val="1"/>
    </w:lvl>
    <w:lvl w:ilvl="1">
      <w:lvlJc w:val="left"/>
      <w:lvlText w:val="-"/>
      <w:numFmt w:val="bullet"/>
      <w:start w:val="1"/>
    </w:lvl>
  </w:abstractNum>
  <w:abstractNum w:abstractNumId="12">
    <w:nsid w:val="8EDBDAB"/>
    <w:multiLevelType w:val="hybridMultilevel"/>
    <w:lvl w:ilvl="0">
      <w:lvlJc w:val="left"/>
      <w:lvlText w:val="(%1)"/>
      <w:numFmt w:val="lowerLetter"/>
      <w:start w:val="1"/>
    </w:lvl>
  </w:abstractNum>
  <w:abstractNum w:abstractNumId="13">
    <w:nsid w:val="79838CB2"/>
    <w:multiLevelType w:val="hybridMultilevel"/>
    <w:lvl w:ilvl="0">
      <w:lvlJc w:val="left"/>
      <w:lvlText w:val="(%1)"/>
      <w:numFmt w:val="lowerLetter"/>
      <w:start w:val="1"/>
    </w:lvl>
  </w:abstractNum>
  <w:abstractNum w:abstractNumId="14">
    <w:nsid w:val="4353D0CD"/>
    <w:multiLevelType w:val="hybridMultilevel"/>
    <w:lvl w:ilvl="0">
      <w:lvlJc w:val="left"/>
      <w:lvlText w:val="(%1)"/>
      <w:numFmt w:val="lowerLetter"/>
      <w:start w:val="1"/>
    </w:lvl>
  </w:abstractNum>
  <w:abstractNum w:abstractNumId="15">
    <w:nsid w:val="B03E0C6"/>
    <w:multiLevelType w:val="hybridMultilevel"/>
    <w:lvl w:ilvl="0">
      <w:lvlJc w:val="left"/>
      <w:lvlText w:val="(%1)"/>
      <w:numFmt w:val="lowerRoman"/>
      <w:start w:val="3"/>
    </w:lvl>
  </w:abstractNum>
  <w:abstractNum w:abstractNumId="16">
    <w:nsid w:val="189A769B"/>
    <w:multiLevelType w:val="hybridMultilevel"/>
    <w:lvl w:ilvl="0">
      <w:lvlJc w:val="left"/>
      <w:lvlText w:val="(%1)"/>
      <w:numFmt w:val="lowerRoman"/>
      <w:start w:val="3"/>
    </w:lvl>
    <w:lvl w:ilvl="1">
      <w:lvlJc w:val="left"/>
      <w:lvlText w:val="-"/>
      <w:numFmt w:val="bullet"/>
      <w:start w:val="1"/>
    </w:lvl>
  </w:abstractNum>
  <w:abstractNum w:abstractNumId="17">
    <w:nsid w:val="54E49EB4"/>
    <w:multiLevelType w:val="hybridMultilevel"/>
    <w:lvl w:ilvl="0">
      <w:lvlJc w:val="left"/>
      <w:lvlText w:val="(%1)"/>
      <w:numFmt w:val="lowerLetter"/>
      <w:start w:val="1"/>
    </w:lvl>
  </w:abstractNum>
  <w:abstractNum w:abstractNumId="18">
    <w:nsid w:val="71F32454"/>
    <w:multiLevelType w:val="hybridMultilevel"/>
    <w:lvl w:ilvl="0">
      <w:lvlJc w:val="left"/>
      <w:lvlText w:val="(%1)"/>
      <w:numFmt w:val="lowerLetter"/>
      <w:start w:val="1"/>
    </w:lvl>
    <w:lvl w:ilvl="1">
      <w:lvlJc w:val="left"/>
      <w:lvlText w:val="-"/>
      <w:numFmt w:val="bullet"/>
      <w:start w:val="1"/>
    </w:lvl>
  </w:abstractNum>
  <w:abstractNum w:abstractNumId="19">
    <w:nsid w:val="2CA88611"/>
    <w:multiLevelType w:val="hybridMultilevel"/>
    <w:lvl w:ilvl="0">
      <w:lvlJc w:val="left"/>
      <w:lvlText w:val="(%1)"/>
      <w:numFmt w:val="lowerLetter"/>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1)"/>
      <w:numFmt w:val="lowerLetter"/>
      <w:start w:val="1"/>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1."/>
      <w:numFmt w:val="decimal"/>
      <w:start w:val="1"/>
    </w:lvl>
  </w:abstractNum>
  <w:abstractNum w:abstractNumId="27">
    <w:nsid w:val="6CEAF087"/>
    <w:multiLevelType w:val="hybridMultilevel"/>
    <w:lvl w:ilvl="0">
      <w:lvlJc w:val="left"/>
      <w:lvlText w:val="%1)"/>
      <w:numFmt w:val="lowerLetter"/>
      <w:start w:val="1"/>
    </w:lvl>
  </w:abstractNum>
  <w:abstractNum w:abstractNumId="28">
    <w:nsid w:val="22221A70"/>
    <w:multiLevelType w:val="hybridMultilevel"/>
    <w:lvl w:ilvl="0">
      <w:lvlJc w:val="left"/>
      <w:lvlText w:val="%1."/>
      <w:numFmt w:val="decimal"/>
      <w:start w:val="5"/>
    </w:lvl>
  </w:abstractNum>
  <w:abstractNum w:abstractNumId="29">
    <w:nsid w:val="4516DDE9"/>
    <w:multiLevelType w:val="hybridMultilevel"/>
    <w:lvl w:ilvl="0">
      <w:lvlJc w:val="left"/>
      <w:lvlText w:val="%1)"/>
      <w:numFmt w:val="lowerLetter"/>
      <w:start w:val="1"/>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1)"/>
      <w:numFmt w:val="lowerLetter"/>
      <w:start w:val="1"/>
    </w:lvl>
  </w:abstractNum>
  <w:abstractNum w:abstractNumId="32">
    <w:nsid w:val="419AC241"/>
    <w:multiLevelType w:val="hybridMultilevel"/>
    <w:lvl w:ilvl="0">
      <w:lvlJc w:val="left"/>
      <w:lvlText w:val="%1."/>
      <w:numFmt w:val="decimal"/>
      <w:start w:val="5"/>
    </w:lvl>
  </w:abstractNum>
  <w:abstractNum w:abstractNumId="33">
    <w:nsid w:val="5577F8E1"/>
    <w:multiLevelType w:val="hybridMultilevel"/>
    <w:lvl w:ilvl="0">
      <w:lvlJc w:val="left"/>
      <w:lvlText w:val="%1)"/>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2019-12-10T00:17:17Z</dcterms:created>
  <dcterms:modified xsi:type="dcterms:W3CDTF">2019-12-10T00:17:17Z</dcterms:modified>
</cp:coreProperties>
</file>