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-106680</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2020</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-106680</wp:posOffset>
            </wp:positionV>
            <wp:extent cx="10414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M&amp;T BANK CORPORATION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tbl>
      <w:tblPr>
        <w:tblLayout w:type="fixed"/>
        <w:tblInd w:w="980" w:type="dxa"/>
        <w:tblCellMar>
          <w:top w:w="0" w:type="dxa"/>
          <w:left w:w="0" w:type="dxa"/>
          <w:bottom w:w="0" w:type="dxa"/>
          <w:right w:w="0" w:type="dxa"/>
        </w:tblCellMar>
      </w:tblPr>
      <w:tr>
        <w:trPr>
          <w:trHeight w:val="214"/>
        </w:trPr>
        <w:tc>
          <w:tcPr>
            <w:tcW w:w="320" w:type="dxa"/>
            <w:vAlign w:val="bottom"/>
          </w:tcPr>
          <w:p>
            <w:pPr>
              <w:spacing w:after="0"/>
              <w:rPr>
                <w:sz w:val="18"/>
                <w:szCs w:val="18"/>
                <w:color w:val="auto"/>
              </w:rPr>
            </w:pPr>
          </w:p>
        </w:tc>
        <w:tc>
          <w:tcPr>
            <w:tcW w:w="2360" w:type="dxa"/>
            <w:vAlign w:val="bottom"/>
            <w:gridSpan w:val="2"/>
          </w:tcPr>
          <w:p>
            <w:pPr>
              <w:jc w:val="center"/>
              <w:ind w:right="368"/>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20" w:type="dxa"/>
            <w:vAlign w:val="bottom"/>
          </w:tcPr>
          <w:p>
            <w:pPr>
              <w:jc w:val="right"/>
              <w:ind w:right="1323"/>
              <w:spacing w:after="0"/>
              <w:rPr>
                <w:sz w:val="20"/>
                <w:szCs w:val="20"/>
                <w:color w:val="auto"/>
              </w:rPr>
            </w:pPr>
            <w:r>
              <w:rPr>
                <w:rFonts w:ascii="Times New Roman" w:cs="Times New Roman" w:eastAsia="Times New Roman" w:hAnsi="Times New Roman"/>
                <w:sz w:val="18"/>
                <w:szCs w:val="18"/>
                <w:b w:val="1"/>
                <w:bCs w:val="1"/>
                <w:color w:val="auto"/>
              </w:rPr>
              <w:t>16-0968385</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2360" w:type="dxa"/>
            <w:vAlign w:val="bottom"/>
            <w:gridSpan w:val="2"/>
          </w:tcPr>
          <w:p>
            <w:pPr>
              <w:jc w:val="center"/>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20" w:type="dxa"/>
            <w:vAlign w:val="bottom"/>
          </w:tcPr>
          <w:p>
            <w:pPr>
              <w:jc w:val="center"/>
              <w:ind w:right="78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2360" w:type="dxa"/>
            <w:vAlign w:val="bottom"/>
            <w:gridSpan w:val="2"/>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20" w:type="dxa"/>
            <w:vAlign w:val="bottom"/>
          </w:tcPr>
          <w:p>
            <w:pPr>
              <w:jc w:val="center"/>
              <w:ind w:right="78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320" w:type="dxa"/>
            <w:vAlign w:val="bottom"/>
          </w:tcPr>
          <w:p>
            <w:pPr>
              <w:spacing w:after="0"/>
              <w:rPr>
                <w:sz w:val="24"/>
                <w:szCs w:val="24"/>
                <w:color w:val="auto"/>
              </w:rPr>
            </w:pPr>
          </w:p>
        </w:tc>
        <w:tc>
          <w:tcPr>
            <w:tcW w:w="2360" w:type="dxa"/>
            <w:vAlign w:val="bottom"/>
            <w:gridSpan w:val="2"/>
          </w:tcPr>
          <w:p>
            <w:pPr>
              <w:jc w:val="center"/>
              <w:ind w:right="368"/>
              <w:spacing w:after="0"/>
              <w:rPr>
                <w:sz w:val="20"/>
                <w:szCs w:val="20"/>
                <w:color w:val="auto"/>
              </w:rPr>
            </w:pPr>
            <w:r>
              <w:rPr>
                <w:rFonts w:ascii="Times New Roman" w:cs="Times New Roman" w:eastAsia="Times New Roman" w:hAnsi="Times New Roman"/>
                <w:sz w:val="18"/>
                <w:szCs w:val="18"/>
                <w:b w:val="1"/>
                <w:bCs w:val="1"/>
                <w:color w:val="auto"/>
                <w:w w:val="99"/>
              </w:rPr>
              <w:t>One M &amp; T Plaza</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2360" w:type="dxa"/>
            <w:vAlign w:val="bottom"/>
            <w:gridSpan w:val="2"/>
          </w:tcPr>
          <w:p>
            <w:pPr>
              <w:jc w:val="center"/>
              <w:ind w:right="388"/>
              <w:spacing w:after="0"/>
              <w:rPr>
                <w:sz w:val="20"/>
                <w:szCs w:val="20"/>
                <w:color w:val="auto"/>
              </w:rPr>
            </w:pPr>
            <w:r>
              <w:rPr>
                <w:rFonts w:ascii="Times New Roman" w:cs="Times New Roman" w:eastAsia="Times New Roman" w:hAnsi="Times New Roman"/>
                <w:sz w:val="18"/>
                <w:szCs w:val="18"/>
                <w:b w:val="1"/>
                <w:bCs w:val="1"/>
                <w:color w:val="auto"/>
                <w:w w:val="98"/>
              </w:rPr>
              <w:t>Buffalo, New York</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20" w:type="dxa"/>
            <w:vAlign w:val="bottom"/>
          </w:tcPr>
          <w:p>
            <w:pPr>
              <w:jc w:val="right"/>
              <w:ind w:right="1543"/>
              <w:spacing w:after="0"/>
              <w:rPr>
                <w:sz w:val="20"/>
                <w:szCs w:val="20"/>
                <w:color w:val="auto"/>
              </w:rPr>
            </w:pPr>
            <w:r>
              <w:rPr>
                <w:rFonts w:ascii="Times New Roman" w:cs="Times New Roman" w:eastAsia="Times New Roman" w:hAnsi="Times New Roman"/>
                <w:sz w:val="18"/>
                <w:szCs w:val="18"/>
                <w:b w:val="1"/>
                <w:bCs w:val="1"/>
                <w:color w:val="auto"/>
              </w:rPr>
              <w:t>14203</w:t>
            </w:r>
          </w:p>
        </w:tc>
        <w:tc>
          <w:tcPr>
            <w:tcW w:w="0" w:type="dxa"/>
            <w:vAlign w:val="bottom"/>
          </w:tcPr>
          <w:p>
            <w:pPr>
              <w:spacing w:after="0"/>
              <w:rPr>
                <w:sz w:val="1"/>
                <w:szCs w:val="1"/>
                <w:color w:val="auto"/>
              </w:rPr>
            </w:pPr>
          </w:p>
        </w:tc>
      </w:tr>
      <w:tr>
        <w:trPr>
          <w:trHeight w:val="190"/>
        </w:trPr>
        <w:tc>
          <w:tcPr>
            <w:tcW w:w="2680" w:type="dxa"/>
            <w:vAlign w:val="bottom"/>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20" w:type="dxa"/>
            <w:vAlign w:val="bottom"/>
          </w:tcPr>
          <w:p>
            <w:pPr>
              <w:jc w:val="center"/>
              <w:ind w:right="783"/>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(716) 635-4000</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3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40" w:type="dxa"/>
            <w:vAlign w:val="bottom"/>
          </w:tcPr>
          <w:p>
            <w:pPr>
              <w:spacing w:after="0"/>
              <w:rPr>
                <w:sz w:val="19"/>
                <w:szCs w:val="19"/>
                <w:color w:val="auto"/>
              </w:rPr>
            </w:pPr>
          </w:p>
        </w:tc>
        <w:tc>
          <w:tcPr>
            <w:tcW w:w="292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value</w:t>
            </w:r>
          </w:p>
        </w:tc>
        <w:tc>
          <w:tcPr>
            <w:tcW w:w="1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$.50 par</w:t>
            </w:r>
          </w:p>
        </w:tc>
        <w:tc>
          <w:tcPr>
            <w:tcW w:w="12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292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color w:val="auto"/>
                <w:w w:val="98"/>
              </w:rPr>
              <w:t>MTB</w:t>
            </w:r>
          </w:p>
        </w:tc>
        <w:tc>
          <w:tcPr>
            <w:tcW w:w="28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6"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9" w:lineRule="exact"/>
        <w:rPr>
          <w:sz w:val="24"/>
          <w:szCs w:val="24"/>
          <w:color w:val="auto"/>
        </w:rPr>
      </w:pPr>
    </w:p>
    <w:p>
      <w:pPr>
        <w:ind w:right="2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Times New Roman" w:cs="Times New Roman" w:eastAsia="Times New Roman" w:hAnsi="Times New Roman"/>
                <w:sz w:val="15"/>
                <w:szCs w:val="15"/>
                <w:color w:val="auto"/>
              </w:rPr>
              <w:t>Accelerated filer</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69" w:lineRule="exact"/>
        <w:rPr>
          <w:sz w:val="24"/>
          <w:szCs w:val="24"/>
          <w:color w:val="auto"/>
        </w:rPr>
      </w:pPr>
    </w:p>
    <w:p>
      <w:pPr>
        <w:ind w:right="2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7" w:lineRule="exact"/>
        <w:rPr>
          <w:sz w:val="24"/>
          <w:szCs w:val="24"/>
          <w:color w:val="auto"/>
        </w:rPr>
      </w:pPr>
    </w:p>
    <w:p>
      <w:pPr>
        <w:spacing w:after="0" w:line="173" w:lineRule="exact"/>
        <w:tabs>
          <w:tab w:leader="none" w:pos="712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Yes</w:t>
      </w:r>
      <w:r>
        <w:rPr>
          <w:rFonts w:ascii="MS PGothic" w:cs="MS PGothic" w:eastAsia="MS PGothic" w:hAnsi="MS PGothic"/>
          <w:sz w:val="15"/>
          <w:szCs w:val="15"/>
          <w:color w:val="auto"/>
        </w:rPr>
        <w:t xml:space="preserve">  ☒ </w:t>
      </w:r>
      <w:r>
        <w:rPr>
          <w:rFonts w:ascii="Times New Roman" w:cs="Times New Roman" w:eastAsia="Times New Roman" w:hAnsi="Times New Roman"/>
          <w:sz w:val="15"/>
          <w:szCs w:val="15"/>
          <w:color w:val="auto"/>
        </w:rPr>
        <w:t>No</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of the registrant's Common Stock, $0.50 par value, outstanding as of the close of business on October 30, 2020: 128,292,616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M&amp;T BANK CORPORATION</w:t>
            </w:r>
          </w:p>
        </w:tc>
        <w:tc>
          <w:tcPr>
            <w:tcW w:w="410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00" w:type="dxa"/>
            <w:vAlign w:val="bottom"/>
            <w:gridSpan w:val="6"/>
          </w:tcPr>
          <w:p>
            <w:pPr>
              <w:jc w:val="center"/>
              <w:ind w:right="4780"/>
              <w:spacing w:after="0"/>
              <w:rPr>
                <w:sz w:val="20"/>
                <w:szCs w:val="20"/>
                <w:color w:val="auto"/>
              </w:rPr>
            </w:pPr>
            <w:r>
              <w:rPr>
                <w:rFonts w:ascii="Times New Roman" w:cs="Times New Roman" w:eastAsia="Times New Roman" w:hAnsi="Times New Roman"/>
                <w:sz w:val="18"/>
                <w:szCs w:val="18"/>
                <w:color w:val="auto"/>
                <w:w w:val="99"/>
              </w:rPr>
              <w:t>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60" w:type="dxa"/>
            <w:vAlign w:val="bottom"/>
            <w:gridSpan w:val="8"/>
          </w:tcPr>
          <w:p>
            <w:pPr>
              <w:jc w:val="center"/>
              <w:ind w:right="3360"/>
              <w:spacing w:after="0"/>
              <w:rPr>
                <w:sz w:val="20"/>
                <w:szCs w:val="20"/>
                <w:color w:val="auto"/>
              </w:rPr>
            </w:pPr>
            <w:r>
              <w:rPr>
                <w:rFonts w:ascii="Times New Roman" w:cs="Times New Roman" w:eastAsia="Times New Roman" w:hAnsi="Times New Roman"/>
                <w:sz w:val="18"/>
                <w:szCs w:val="18"/>
                <w:color w:val="auto"/>
                <w:w w:val="98"/>
              </w:rPr>
              <w:t>For the Quarterly Period Ended September 30, 2020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3700" w:type="dxa"/>
            <w:vAlign w:val="bottom"/>
            <w:gridSpan w:val="5"/>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Table of Contents of Information Required in Report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
        </w:trPr>
        <w:tc>
          <w:tcPr>
            <w:tcW w:w="3800" w:type="dxa"/>
            <w:vAlign w:val="bottom"/>
            <w:tcBorders>
              <w:top w:val="single" w:sz="8" w:color="auto"/>
              <w:bottom w:val="single" w:sz="8" w:color="auto"/>
            </w:tcBorders>
            <w:gridSpan w:val="5"/>
            <w:vMerge w:val="restart"/>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 FINANCIAL INFORMATION</w:t>
              </w:r>
            </w:hyperlink>
          </w:p>
        </w:tc>
        <w:tc>
          <w:tcPr>
            <w:tcW w:w="7060" w:type="dxa"/>
            <w:vAlign w:val="bottom"/>
            <w:gridSpan w:val="8"/>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800" w:type="dxa"/>
            <w:vAlign w:val="bottom"/>
            <w:gridSpan w:val="5"/>
            <w:vMerge w:val="continue"/>
          </w:tcPr>
          <w:p>
            <w:pPr>
              <w:spacing w:after="0"/>
              <w:rPr>
                <w:sz w:val="24"/>
                <w:szCs w:val="24"/>
                <w:color w:val="auto"/>
              </w:rPr>
            </w:pPr>
          </w:p>
        </w:tc>
        <w:tc>
          <w:tcPr>
            <w:tcW w:w="7060" w:type="dxa"/>
            <w:vAlign w:val="bottom"/>
            <w:gridSpan w:val="8"/>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4"/>
                <w:szCs w:val="24"/>
                <w:color w:val="auto"/>
              </w:rPr>
            </w:pPr>
          </w:p>
        </w:tc>
        <w:tc>
          <w:tcPr>
            <w:tcW w:w="9580" w:type="dxa"/>
            <w:vAlign w:val="bottom"/>
            <w:gridSpan w:val="1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BALANCE SHEET – September 30, 2020 and December 31, 2019</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4"/>
                <w:szCs w:val="24"/>
                <w:color w:val="auto"/>
              </w:rPr>
            </w:pPr>
          </w:p>
        </w:tc>
        <w:tc>
          <w:tcPr>
            <w:tcW w:w="9580" w:type="dxa"/>
            <w:vAlign w:val="bottom"/>
            <w:gridSpan w:val="12"/>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STATEMENT OF INCOME – Three and nine months ended September 30, 2020 and 2019</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9580" w:type="dxa"/>
            <w:vAlign w:val="bottom"/>
            <w:gridSpan w:val="1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 OF COMPREHENSIVE INCOME – Three and nine months ended September 30, 2020 and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80" w:type="dxa"/>
            <w:vAlign w:val="bottom"/>
            <w:tcBorders>
              <w:top w:val="single" w:sz="8" w:color="0000EE"/>
            </w:tcBorders>
            <w:gridSpan w:val="2"/>
          </w:tcPr>
          <w:p>
            <w:pPr>
              <w:ind w:left="220"/>
              <w:spacing w:after="0" w:line="196"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2019</w:t>
              </w:r>
            </w:hyperlink>
          </w:p>
        </w:tc>
        <w:tc>
          <w:tcPr>
            <w:tcW w:w="7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8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tcPr>
          <w:p>
            <w:pPr>
              <w:spacing w:after="0"/>
              <w:rPr>
                <w:sz w:val="24"/>
                <w:szCs w:val="24"/>
                <w:color w:val="auto"/>
              </w:rPr>
            </w:pPr>
          </w:p>
        </w:tc>
        <w:tc>
          <w:tcPr>
            <w:tcW w:w="9580" w:type="dxa"/>
            <w:vAlign w:val="bottom"/>
            <w:gridSpan w:val="12"/>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CONSOLIDATED STATEMENT OF CASH FLOWS – Nine months ended September 30, 2020 and 2019</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9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 OF CHANGES IN SHAREHOLDERS' EQUITY – Three and nine months ended September 30,</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1"/>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2020 and 2019</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30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tcPr>
          <w:p>
            <w:pPr>
              <w:spacing w:after="0"/>
              <w:rPr>
                <w:sz w:val="24"/>
                <w:szCs w:val="24"/>
                <w:color w:val="auto"/>
              </w:rPr>
            </w:pPr>
          </w:p>
        </w:tc>
        <w:tc>
          <w:tcPr>
            <w:tcW w:w="9580" w:type="dxa"/>
            <w:vAlign w:val="bottom"/>
            <w:gridSpan w:val="12"/>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FINANCIAL STATEMENTS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2"/>
          </w:tcPr>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12"/>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Quantitative and Qualitative Disclosures About Market Risk.</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2"/>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u w:val="single" w:color="auto"/>
                  <w:color w:val="0000EE"/>
                </w:rPr>
                <w:t>Controls and Procedures</w:t>
              </w:r>
              <w:r>
                <w:rPr>
                  <w:rFonts w:ascii="Times New Roman" w:cs="Times New Roman" w:eastAsia="Times New Roman" w:hAnsi="Times New Roman"/>
                  <w:sz w:val="18"/>
                  <w:szCs w:val="18"/>
                  <w:color w:val="0000EE"/>
                </w:rPr>
                <w:t>.</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38"/>
        </w:trPr>
        <w:tc>
          <w:tcPr>
            <w:tcW w:w="10860" w:type="dxa"/>
            <w:vAlign w:val="bottom"/>
            <w:gridSpan w:val="13"/>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Part II. OTHER INFORMATION</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2"/>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Legal Proceedings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12"/>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u w:val="single" w:color="auto"/>
                  <w:color w:val="0000EE"/>
                </w:rPr>
                <w:t>Risk Factors</w:t>
              </w:r>
            </w:hyperlink>
            <w:r>
              <w:rPr>
                <w:rFonts w:ascii="Times New Roman" w:cs="Times New Roman" w:eastAsia="Times New Roman" w:hAnsi="Times New Roman"/>
                <w:sz w:val="18"/>
                <w:szCs w:val="18"/>
                <w:color w:val="00000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2"/>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12"/>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u w:val="single" w:color="auto"/>
                  <w:color w:val="0000EE"/>
                </w:rPr>
                <w:t>Defaults Upon Senior Securities</w:t>
              </w:r>
              <w:r>
                <w:rPr>
                  <w:rFonts w:ascii="Times New Roman" w:cs="Times New Roman" w:eastAsia="Times New Roman" w:hAnsi="Times New Roman"/>
                  <w:sz w:val="18"/>
                  <w:szCs w:val="18"/>
                  <w:color w:val="0000EE"/>
                </w:rPr>
                <w:t>.</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2"/>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u w:val="single" w:color="auto"/>
                  <w:color w:val="0000EE"/>
                </w:rPr>
                <w:t>Mine Safety Disclosures</w:t>
              </w:r>
              <w:r>
                <w:rPr>
                  <w:rFonts w:ascii="Times New Roman" w:cs="Times New Roman" w:eastAsia="Times New Roman" w:hAnsi="Times New Roman"/>
                  <w:sz w:val="18"/>
                  <w:szCs w:val="18"/>
                  <w:color w:val="0000EE"/>
                </w:rPr>
                <w:t>.</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12"/>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Other Information.</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12"/>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Exhibits.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338"/>
        </w:trPr>
        <w:tc>
          <w:tcPr>
            <w:tcW w:w="1280" w:type="dxa"/>
            <w:vAlign w:val="bottom"/>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SIGNATURES</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769"/>
        </w:trPr>
        <w:tc>
          <w:tcPr>
            <w:tcW w:w="1280" w:type="dxa"/>
            <w:vAlign w:val="bottom"/>
          </w:tcPr>
          <w:p>
            <w:pPr>
              <w:spacing w:after="0"/>
              <w:rPr>
                <w:sz w:val="24"/>
                <w:szCs w:val="24"/>
                <w:color w:val="auto"/>
              </w:rPr>
            </w:pPr>
          </w:p>
        </w:tc>
        <w:tc>
          <w:tcPr>
            <w:tcW w:w="4800" w:type="dxa"/>
            <w:vAlign w:val="bottom"/>
            <w:gridSpan w:val="7"/>
          </w:tcPr>
          <w:p>
            <w:pPr>
              <w:jc w:val="center"/>
              <w:ind w:left="3810"/>
              <w:spacing w:after="0"/>
              <w:rPr>
                <w:sz w:val="20"/>
                <w:szCs w:val="20"/>
                <w:color w:val="auto"/>
              </w:rPr>
            </w:pPr>
            <w:r>
              <w:rPr>
                <w:rFonts w:ascii="Times New Roman" w:cs="Times New Roman" w:eastAsia="Times New Roman" w:hAnsi="Times New Roman"/>
                <w:sz w:val="18"/>
                <w:szCs w:val="18"/>
                <w:color w:val="auto"/>
                <w:w w:val="99"/>
              </w:rPr>
              <w:t>- 2 -</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color w:val="auto"/>
        </w:rPr>
        <w:t>PART I. FINANCIAL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BALANCE SHEET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w:t>
            </w:r>
          </w:p>
        </w:tc>
        <w:tc>
          <w:tcPr>
            <w:tcW w:w="9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7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Cash and due from banks</w:t>
            </w:r>
          </w:p>
        </w:tc>
        <w:tc>
          <w:tcPr>
            <w:tcW w:w="110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1,489,232</w:t>
            </w:r>
          </w:p>
        </w:tc>
        <w:tc>
          <w:tcPr>
            <w:tcW w:w="44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1,432,805</w:t>
            </w:r>
          </w:p>
        </w:tc>
        <w:tc>
          <w:tcPr>
            <w:tcW w:w="120" w:type="dxa"/>
            <w:vAlign w:val="bottom"/>
          </w:tcPr>
          <w:p>
            <w:pPr>
              <w:spacing w:after="0"/>
              <w:rPr>
                <w:sz w:val="15"/>
                <w:szCs w:val="15"/>
                <w:color w:val="auto"/>
              </w:rPr>
            </w:pPr>
          </w:p>
        </w:tc>
      </w:tr>
      <w:tr>
        <w:trPr>
          <w:trHeight w:val="17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Interest-bearing deposits at banks</w:t>
            </w: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20,197,937</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7,190,154</w:t>
            </w:r>
          </w:p>
        </w:tc>
        <w:tc>
          <w:tcPr>
            <w:tcW w:w="120" w:type="dxa"/>
            <w:vAlign w:val="bottom"/>
            <w:shd w:val="clear" w:color="auto" w:fill="CFF0FC"/>
          </w:tcPr>
          <w:p>
            <w:pPr>
              <w:spacing w:after="0"/>
              <w:rPr>
                <w:sz w:val="15"/>
                <w:szCs w:val="15"/>
                <w:color w:val="auto"/>
              </w:rPr>
            </w:pPr>
          </w:p>
        </w:tc>
      </w:tr>
      <w:tr>
        <w:trPr>
          <w:trHeight w:val="176"/>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Federal funds sold</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120" w:type="dxa"/>
            <w:vAlign w:val="bottom"/>
          </w:tcPr>
          <w:p>
            <w:pPr>
              <w:spacing w:after="0"/>
              <w:rPr>
                <w:sz w:val="15"/>
                <w:szCs w:val="15"/>
                <w:color w:val="auto"/>
              </w:rPr>
            </w:pPr>
          </w:p>
        </w:tc>
      </w:tr>
      <w:tr>
        <w:trPr>
          <w:trHeight w:val="175"/>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Trading account</w:t>
            </w: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1,215,573</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470,129</w:t>
            </w:r>
          </w:p>
        </w:tc>
        <w:tc>
          <w:tcPr>
            <w:tcW w:w="120" w:type="dxa"/>
            <w:vAlign w:val="bottom"/>
            <w:shd w:val="clear" w:color="auto" w:fill="CFF0FC"/>
          </w:tcPr>
          <w:p>
            <w:pPr>
              <w:spacing w:after="0"/>
              <w:rPr>
                <w:sz w:val="15"/>
                <w:szCs w:val="15"/>
                <w:color w:val="auto"/>
              </w:rPr>
            </w:pPr>
          </w:p>
        </w:tc>
      </w:tr>
      <w:tr>
        <w:trPr>
          <w:trHeight w:val="158"/>
        </w:trPr>
        <w:tc>
          <w:tcPr>
            <w:tcW w:w="69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Investment securities (includes pledged securities that can be sold or repledged of</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69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$89,351 at September 30, 2020; $200,339 at December 31, 2019)</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8"/>
        </w:trPr>
        <w:tc>
          <w:tcPr>
            <w:tcW w:w="6960" w:type="dxa"/>
            <w:vAlign w:val="bottom"/>
            <w:shd w:val="clear" w:color="auto" w:fill="CFF0FC"/>
          </w:tcPr>
          <w:p>
            <w:pPr>
              <w:ind w:left="260"/>
              <w:spacing w:after="0" w:line="159" w:lineRule="exact"/>
              <w:rPr>
                <w:sz w:val="20"/>
                <w:szCs w:val="20"/>
                <w:color w:val="auto"/>
              </w:rPr>
            </w:pPr>
            <w:r>
              <w:rPr>
                <w:rFonts w:ascii="Times New Roman" w:cs="Times New Roman" w:eastAsia="Times New Roman" w:hAnsi="Times New Roman"/>
                <w:sz w:val="15"/>
                <w:szCs w:val="15"/>
                <w:color w:val="auto"/>
              </w:rPr>
              <w:t>Available for sale (cost: $5,090,064 at September 30, 2020;</w:t>
            </w: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9"/>
        </w:trPr>
        <w:tc>
          <w:tcPr>
            <w:tcW w:w="6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$6,258,276 at December 31, 2019)</w:t>
            </w: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5,302,338</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6,318,776</w:t>
            </w:r>
          </w:p>
        </w:tc>
        <w:tc>
          <w:tcPr>
            <w:tcW w:w="120" w:type="dxa"/>
            <w:vAlign w:val="bottom"/>
            <w:shd w:val="clear" w:color="auto" w:fill="CFF0FC"/>
          </w:tcPr>
          <w:p>
            <w:pPr>
              <w:spacing w:after="0"/>
              <w:rPr>
                <w:sz w:val="15"/>
                <w:szCs w:val="15"/>
                <w:color w:val="auto"/>
              </w:rPr>
            </w:pPr>
          </w:p>
        </w:tc>
      </w:tr>
      <w:tr>
        <w:trPr>
          <w:trHeight w:val="158"/>
        </w:trPr>
        <w:tc>
          <w:tcPr>
            <w:tcW w:w="6960" w:type="dxa"/>
            <w:vAlign w:val="bottom"/>
          </w:tcPr>
          <w:p>
            <w:pPr>
              <w:ind w:left="260"/>
              <w:spacing w:after="0" w:line="159" w:lineRule="exact"/>
              <w:rPr>
                <w:sz w:val="20"/>
                <w:szCs w:val="20"/>
                <w:color w:val="auto"/>
              </w:rPr>
            </w:pPr>
            <w:r>
              <w:rPr>
                <w:rFonts w:ascii="Times New Roman" w:cs="Times New Roman" w:eastAsia="Times New Roman" w:hAnsi="Times New Roman"/>
                <w:sz w:val="15"/>
                <w:szCs w:val="15"/>
                <w:color w:val="auto"/>
              </w:rPr>
              <w:t>Held to maturity (fair value: $2,031,926 at September 30, 2020;</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6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$2,699,206 at December 31, 2019)</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1,938,694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2,656,917</w:t>
            </w:r>
          </w:p>
        </w:tc>
        <w:tc>
          <w:tcPr>
            <w:tcW w:w="120" w:type="dxa"/>
            <w:vAlign w:val="bottom"/>
          </w:tcPr>
          <w:p>
            <w:pPr>
              <w:spacing w:after="0"/>
              <w:rPr>
                <w:sz w:val="15"/>
                <w:szCs w:val="15"/>
                <w:color w:val="auto"/>
              </w:rPr>
            </w:pPr>
          </w:p>
        </w:tc>
      </w:tr>
      <w:tr>
        <w:trPr>
          <w:trHeight w:val="158"/>
        </w:trPr>
        <w:tc>
          <w:tcPr>
            <w:tcW w:w="6960" w:type="dxa"/>
            <w:vAlign w:val="bottom"/>
            <w:shd w:val="clear" w:color="auto" w:fill="CFF0FC"/>
          </w:tcPr>
          <w:p>
            <w:pPr>
              <w:ind w:left="260"/>
              <w:spacing w:after="0" w:line="159" w:lineRule="exact"/>
              <w:rPr>
                <w:sz w:val="20"/>
                <w:szCs w:val="20"/>
                <w:color w:val="auto"/>
              </w:rPr>
            </w:pPr>
            <w:r>
              <w:rPr>
                <w:rFonts w:ascii="Times New Roman" w:cs="Times New Roman" w:eastAsia="Times New Roman" w:hAnsi="Times New Roman"/>
                <w:sz w:val="15"/>
                <w:szCs w:val="15"/>
                <w:color w:val="auto"/>
              </w:rPr>
              <w:t>Equity and other securities (cost: $458,498 at September 30, 2020;</w:t>
            </w: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9"/>
        </w:trPr>
        <w:tc>
          <w:tcPr>
            <w:tcW w:w="6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$487,041 at December 31, 2019)</w:t>
            </w:r>
          </w:p>
        </w:tc>
        <w:tc>
          <w:tcPr>
            <w:tcW w:w="9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481,972</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521,558</w:t>
            </w:r>
          </w:p>
        </w:tc>
        <w:tc>
          <w:tcPr>
            <w:tcW w:w="120" w:type="dxa"/>
            <w:vAlign w:val="bottom"/>
            <w:shd w:val="clear" w:color="auto" w:fill="CFF0FC"/>
          </w:tcPr>
          <w:p>
            <w:pPr>
              <w:spacing w:after="0"/>
              <w:rPr>
                <w:sz w:val="15"/>
                <w:szCs w:val="15"/>
                <w:color w:val="auto"/>
              </w:rPr>
            </w:pPr>
          </w:p>
        </w:tc>
      </w:tr>
      <w:tr>
        <w:trPr>
          <w:trHeight w:val="169"/>
        </w:trPr>
        <w:tc>
          <w:tcPr>
            <w:tcW w:w="696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investment securities</w:t>
            </w:r>
          </w:p>
        </w:tc>
        <w:tc>
          <w:tcPr>
            <w:tcW w:w="9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7,723,004</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9,497,251</w:t>
            </w:r>
          </w:p>
        </w:tc>
        <w:tc>
          <w:tcPr>
            <w:tcW w:w="120" w:type="dxa"/>
            <w:vAlign w:val="bottom"/>
            <w:tcBorders>
              <w:bottom w:val="single" w:sz="8" w:color="CFF0FC"/>
            </w:tcBorders>
          </w:tcPr>
          <w:p>
            <w:pPr>
              <w:spacing w:after="0"/>
              <w:rPr>
                <w:sz w:val="14"/>
                <w:szCs w:val="14"/>
                <w:color w:val="auto"/>
              </w:rPr>
            </w:pPr>
          </w:p>
        </w:tc>
      </w:tr>
      <w:tr>
        <w:trPr>
          <w:trHeight w:val="169"/>
        </w:trPr>
        <w:tc>
          <w:tcPr>
            <w:tcW w:w="69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Loans and leases</w:t>
            </w: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98,849,533</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91,188,525</w:t>
            </w:r>
          </w:p>
        </w:tc>
        <w:tc>
          <w:tcPr>
            <w:tcW w:w="120" w:type="dxa"/>
            <w:vAlign w:val="bottom"/>
            <w:shd w:val="clear" w:color="auto" w:fill="CFF0FC"/>
          </w:tcPr>
          <w:p>
            <w:pPr>
              <w:spacing w:after="0"/>
              <w:rPr>
                <w:sz w:val="14"/>
                <w:szCs w:val="14"/>
                <w:color w:val="auto"/>
              </w:rPr>
            </w:pPr>
          </w:p>
        </w:tc>
      </w:tr>
      <w:tr>
        <w:trPr>
          <w:trHeight w:val="175"/>
        </w:trPr>
        <w:tc>
          <w:tcPr>
            <w:tcW w:w="69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Unearned discount</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(402,485)</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(265,656)</w:t>
            </w:r>
          </w:p>
        </w:tc>
      </w:tr>
      <w:tr>
        <w:trPr>
          <w:trHeight w:val="169"/>
        </w:trPr>
        <w:tc>
          <w:tcPr>
            <w:tcW w:w="6960" w:type="dxa"/>
            <w:vAlign w:val="bottom"/>
            <w:tcBorders>
              <w:top w:val="single" w:sz="8" w:color="CFF0FC"/>
            </w:tcBorders>
            <w:shd w:val="clear" w:color="auto" w:fill="CFF0FC"/>
          </w:tcPr>
          <w:p>
            <w:pPr>
              <w:ind w:left="380"/>
              <w:spacing w:after="0" w:line="169" w:lineRule="exact"/>
              <w:rPr>
                <w:sz w:val="20"/>
                <w:szCs w:val="20"/>
                <w:color w:val="auto"/>
              </w:rPr>
            </w:pPr>
            <w:r>
              <w:rPr>
                <w:rFonts w:ascii="Times New Roman" w:cs="Times New Roman" w:eastAsia="Times New Roman" w:hAnsi="Times New Roman"/>
                <w:sz w:val="15"/>
                <w:szCs w:val="15"/>
                <w:color w:val="auto"/>
              </w:rPr>
              <w:t>Loans and leases, net of unearned discount</w:t>
            </w:r>
          </w:p>
        </w:tc>
        <w:tc>
          <w:tcPr>
            <w:tcW w:w="9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98,447,048</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90,922,869</w:t>
            </w: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69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(1,758,505)</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(1,051,071)</w:t>
            </w:r>
          </w:p>
        </w:tc>
      </w:tr>
      <w:tr>
        <w:trPr>
          <w:trHeight w:val="169"/>
        </w:trPr>
        <w:tc>
          <w:tcPr>
            <w:tcW w:w="6960" w:type="dxa"/>
            <w:vAlign w:val="bottom"/>
            <w:tcBorders>
              <w:top w:val="single" w:sz="8" w:color="CFF0FC"/>
            </w:tcBorders>
            <w:shd w:val="clear" w:color="auto" w:fill="CFF0FC"/>
          </w:tcPr>
          <w:p>
            <w:pPr>
              <w:ind w:left="380"/>
              <w:spacing w:after="0" w:line="169" w:lineRule="exact"/>
              <w:rPr>
                <w:sz w:val="20"/>
                <w:szCs w:val="20"/>
                <w:color w:val="auto"/>
              </w:rPr>
            </w:pPr>
            <w:r>
              <w:rPr>
                <w:rFonts w:ascii="Times New Roman" w:cs="Times New Roman" w:eastAsia="Times New Roman" w:hAnsi="Times New Roman"/>
                <w:sz w:val="15"/>
                <w:szCs w:val="15"/>
                <w:color w:val="auto"/>
              </w:rPr>
              <w:t>Loans and leases, net</w:t>
            </w:r>
          </w:p>
        </w:tc>
        <w:tc>
          <w:tcPr>
            <w:tcW w:w="9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96,688,543</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89,871,798</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69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Premises and equipment</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1,146,681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1,140,924</w:t>
            </w:r>
          </w:p>
        </w:tc>
        <w:tc>
          <w:tcPr>
            <w:tcW w:w="120" w:type="dxa"/>
            <w:vAlign w:val="bottom"/>
          </w:tcPr>
          <w:p>
            <w:pPr>
              <w:spacing w:after="0"/>
              <w:rPr>
                <w:sz w:val="14"/>
                <w:szCs w:val="14"/>
                <w:color w:val="auto"/>
              </w:rPr>
            </w:pPr>
          </w:p>
        </w:tc>
      </w:tr>
      <w:tr>
        <w:trPr>
          <w:trHeight w:val="17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Goodwill</w:t>
            </w: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4,593,112</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4,593,112</w:t>
            </w:r>
          </w:p>
        </w:tc>
        <w:tc>
          <w:tcPr>
            <w:tcW w:w="120" w:type="dxa"/>
            <w:vAlign w:val="bottom"/>
            <w:shd w:val="clear" w:color="auto" w:fill="CFF0FC"/>
          </w:tcPr>
          <w:p>
            <w:pPr>
              <w:spacing w:after="0"/>
              <w:rPr>
                <w:sz w:val="15"/>
                <w:szCs w:val="15"/>
                <w:color w:val="auto"/>
              </w:rPr>
            </w:pPr>
          </w:p>
        </w:tc>
      </w:tr>
      <w:tr>
        <w:trPr>
          <w:trHeight w:val="17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Core deposit and other intangible assets</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17,294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29,034</w:t>
            </w:r>
          </w:p>
        </w:tc>
        <w:tc>
          <w:tcPr>
            <w:tcW w:w="120" w:type="dxa"/>
            <w:vAlign w:val="bottom"/>
          </w:tcPr>
          <w:p>
            <w:pPr>
              <w:spacing w:after="0"/>
              <w:rPr>
                <w:sz w:val="15"/>
                <w:szCs w:val="15"/>
                <w:color w:val="auto"/>
              </w:rPr>
            </w:pPr>
          </w:p>
        </w:tc>
      </w:tr>
      <w:tr>
        <w:trPr>
          <w:trHeight w:val="17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Accrued interest and other assets</w:t>
            </w:r>
          </w:p>
        </w:tc>
        <w:tc>
          <w:tcPr>
            <w:tcW w:w="9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5,555,367</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5,644,050</w:t>
            </w:r>
          </w:p>
        </w:tc>
        <w:tc>
          <w:tcPr>
            <w:tcW w:w="120" w:type="dxa"/>
            <w:vAlign w:val="bottom"/>
            <w:shd w:val="clear" w:color="auto" w:fill="CFF0FC"/>
          </w:tcPr>
          <w:p>
            <w:pPr>
              <w:spacing w:after="0"/>
              <w:rPr>
                <w:sz w:val="15"/>
                <w:szCs w:val="15"/>
                <w:color w:val="auto"/>
              </w:rPr>
            </w:pPr>
          </w:p>
        </w:tc>
      </w:tr>
      <w:tr>
        <w:trPr>
          <w:trHeight w:val="209"/>
        </w:trPr>
        <w:tc>
          <w:tcPr>
            <w:tcW w:w="696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assets</w:t>
            </w:r>
          </w:p>
        </w:tc>
        <w:tc>
          <w:tcPr>
            <w:tcW w:w="9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138,626,743</w:t>
            </w:r>
          </w:p>
        </w:tc>
        <w:tc>
          <w:tcPr>
            <w:tcW w:w="4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119,872,757</w:t>
            </w:r>
          </w:p>
        </w:tc>
        <w:tc>
          <w:tcPr>
            <w:tcW w:w="120" w:type="dxa"/>
            <w:vAlign w:val="bottom"/>
            <w:tcBorders>
              <w:bottom w:val="single" w:sz="8" w:color="CFF0FC"/>
            </w:tcBorders>
          </w:tcPr>
          <w:p>
            <w:pPr>
              <w:spacing w:after="0"/>
              <w:rPr>
                <w:sz w:val="18"/>
                <w:szCs w:val="18"/>
                <w:color w:val="auto"/>
              </w:rPr>
            </w:pPr>
          </w:p>
        </w:tc>
      </w:tr>
      <w:tr>
        <w:trPr>
          <w:trHeight w:val="19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7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Noninterest-bearing deposits</w:t>
            </w:r>
          </w:p>
        </w:tc>
        <w:tc>
          <w:tcPr>
            <w:tcW w:w="110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44,201,670</w:t>
            </w:r>
          </w:p>
        </w:tc>
        <w:tc>
          <w:tcPr>
            <w:tcW w:w="44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32,396,407</w:t>
            </w:r>
          </w:p>
        </w:tc>
        <w:tc>
          <w:tcPr>
            <w:tcW w:w="120" w:type="dxa"/>
            <w:vAlign w:val="bottom"/>
          </w:tcPr>
          <w:p>
            <w:pPr>
              <w:spacing w:after="0"/>
              <w:rPr>
                <w:sz w:val="15"/>
                <w:szCs w:val="15"/>
                <w:color w:val="auto"/>
              </w:rPr>
            </w:pPr>
          </w:p>
        </w:tc>
      </w:tr>
      <w:tr>
        <w:trPr>
          <w:trHeight w:val="175"/>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Savings and interest-checking deposits</w:t>
            </w: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65,732,130</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54,932,162</w:t>
            </w:r>
          </w:p>
        </w:tc>
        <w:tc>
          <w:tcPr>
            <w:tcW w:w="120" w:type="dxa"/>
            <w:vAlign w:val="bottom"/>
            <w:shd w:val="clear" w:color="auto" w:fill="CFF0FC"/>
          </w:tcPr>
          <w:p>
            <w:pPr>
              <w:spacing w:after="0"/>
              <w:rPr>
                <w:sz w:val="15"/>
                <w:szCs w:val="15"/>
                <w:color w:val="auto"/>
              </w:rPr>
            </w:pPr>
          </w:p>
        </w:tc>
      </w:tr>
      <w:tr>
        <w:trPr>
          <w:trHeight w:val="17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Time deposits</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4,329,550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5,757,456</w:t>
            </w:r>
          </w:p>
        </w:tc>
        <w:tc>
          <w:tcPr>
            <w:tcW w:w="120" w:type="dxa"/>
            <w:vAlign w:val="bottom"/>
          </w:tcPr>
          <w:p>
            <w:pPr>
              <w:spacing w:after="0"/>
              <w:rPr>
                <w:sz w:val="15"/>
                <w:szCs w:val="15"/>
                <w:color w:val="auto"/>
              </w:rPr>
            </w:pPr>
          </w:p>
        </w:tc>
      </w:tr>
      <w:tr>
        <w:trPr>
          <w:trHeight w:val="175"/>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Deposits at Cayman Islands office</w:t>
            </w:r>
          </w:p>
        </w:tc>
        <w:tc>
          <w:tcPr>
            <w:tcW w:w="9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899,989</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1,684,044</w:t>
            </w:r>
          </w:p>
        </w:tc>
        <w:tc>
          <w:tcPr>
            <w:tcW w:w="120" w:type="dxa"/>
            <w:vAlign w:val="bottom"/>
            <w:shd w:val="clear" w:color="auto" w:fill="CFF0FC"/>
          </w:tcPr>
          <w:p>
            <w:pPr>
              <w:spacing w:after="0"/>
              <w:rPr>
                <w:sz w:val="15"/>
                <w:szCs w:val="15"/>
                <w:color w:val="auto"/>
              </w:rPr>
            </w:pPr>
          </w:p>
        </w:tc>
      </w:tr>
      <w:tr>
        <w:trPr>
          <w:trHeight w:val="169"/>
        </w:trPr>
        <w:tc>
          <w:tcPr>
            <w:tcW w:w="696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deposits</w:t>
            </w:r>
          </w:p>
        </w:tc>
        <w:tc>
          <w:tcPr>
            <w:tcW w:w="9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115,163,339</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94,770,069</w:t>
            </w:r>
          </w:p>
        </w:tc>
        <w:tc>
          <w:tcPr>
            <w:tcW w:w="120" w:type="dxa"/>
            <w:vAlign w:val="bottom"/>
            <w:tcBorders>
              <w:bottom w:val="single" w:sz="8" w:color="CFF0FC"/>
            </w:tcBorders>
          </w:tcPr>
          <w:p>
            <w:pPr>
              <w:spacing w:after="0"/>
              <w:rPr>
                <w:sz w:val="14"/>
                <w:szCs w:val="14"/>
                <w:color w:val="auto"/>
              </w:rPr>
            </w:pPr>
          </w:p>
        </w:tc>
      </w:tr>
      <w:tr>
        <w:trPr>
          <w:trHeight w:val="169"/>
        </w:trPr>
        <w:tc>
          <w:tcPr>
            <w:tcW w:w="69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Short-term borrowings</w:t>
            </w: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46,123</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62,363</w:t>
            </w:r>
          </w:p>
        </w:tc>
        <w:tc>
          <w:tcPr>
            <w:tcW w:w="120" w:type="dxa"/>
            <w:vAlign w:val="bottom"/>
            <w:shd w:val="clear" w:color="auto" w:fill="CFF0FC"/>
          </w:tcPr>
          <w:p>
            <w:pPr>
              <w:spacing w:after="0"/>
              <w:rPr>
                <w:sz w:val="14"/>
                <w:szCs w:val="14"/>
                <w:color w:val="auto"/>
              </w:rPr>
            </w:pPr>
          </w:p>
        </w:tc>
      </w:tr>
      <w:tr>
        <w:trPr>
          <w:trHeight w:val="17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Accrued interest and other liabilities</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1,857,383</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2,337,490</w:t>
            </w:r>
          </w:p>
        </w:tc>
        <w:tc>
          <w:tcPr>
            <w:tcW w:w="120" w:type="dxa"/>
            <w:vAlign w:val="bottom"/>
          </w:tcPr>
          <w:p>
            <w:pPr>
              <w:spacing w:after="0"/>
              <w:rPr>
                <w:sz w:val="15"/>
                <w:szCs w:val="15"/>
                <w:color w:val="auto"/>
              </w:rPr>
            </w:pPr>
          </w:p>
        </w:tc>
      </w:tr>
      <w:tr>
        <w:trPr>
          <w:trHeight w:val="175"/>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Long-term borrowings</w:t>
            </w:r>
          </w:p>
        </w:tc>
        <w:tc>
          <w:tcPr>
            <w:tcW w:w="9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5,458,885</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6,986,186</w:t>
            </w:r>
          </w:p>
        </w:tc>
        <w:tc>
          <w:tcPr>
            <w:tcW w:w="120" w:type="dxa"/>
            <w:vAlign w:val="bottom"/>
            <w:shd w:val="clear" w:color="auto" w:fill="CFF0FC"/>
          </w:tcPr>
          <w:p>
            <w:pPr>
              <w:spacing w:after="0"/>
              <w:rPr>
                <w:sz w:val="15"/>
                <w:szCs w:val="15"/>
                <w:color w:val="auto"/>
              </w:rPr>
            </w:pPr>
          </w:p>
        </w:tc>
      </w:tr>
      <w:tr>
        <w:trPr>
          <w:trHeight w:val="169"/>
        </w:trPr>
        <w:tc>
          <w:tcPr>
            <w:tcW w:w="696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liabilities</w:t>
            </w:r>
          </w:p>
        </w:tc>
        <w:tc>
          <w:tcPr>
            <w:tcW w:w="9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122,525,730</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104,156,108</w:t>
            </w:r>
          </w:p>
        </w:tc>
        <w:tc>
          <w:tcPr>
            <w:tcW w:w="120" w:type="dxa"/>
            <w:vAlign w:val="bottom"/>
            <w:tcBorders>
              <w:bottom w:val="single" w:sz="8" w:color="CFF0FC"/>
            </w:tcBorders>
          </w:tcPr>
          <w:p>
            <w:pPr>
              <w:spacing w:after="0"/>
              <w:rPr>
                <w:sz w:val="14"/>
                <w:szCs w:val="14"/>
                <w:color w:val="auto"/>
              </w:rPr>
            </w:pPr>
          </w:p>
        </w:tc>
      </w:tr>
      <w:tr>
        <w:trPr>
          <w:trHeight w:val="20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58"/>
        </w:trPr>
        <w:tc>
          <w:tcPr>
            <w:tcW w:w="69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Preferred stock, $1.00 par, 1,000,000 shares authorized;</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9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Issued and outstanding: Liquidation preference of $1,000 per</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9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share: 350,000 shares at September 30, 2020 and December 31, 2019; Liquidation preference of</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9"/>
        </w:trPr>
        <w:tc>
          <w:tcPr>
            <w:tcW w:w="69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$10,000 per share: 90,000 shares at September 30, 2020 and December 31, 2019</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1,250,000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1,250,000</w:t>
            </w:r>
          </w:p>
        </w:tc>
        <w:tc>
          <w:tcPr>
            <w:tcW w:w="120" w:type="dxa"/>
            <w:vAlign w:val="bottom"/>
          </w:tcPr>
          <w:p>
            <w:pPr>
              <w:spacing w:after="0"/>
              <w:rPr>
                <w:sz w:val="15"/>
                <w:szCs w:val="15"/>
                <w:color w:val="auto"/>
              </w:rPr>
            </w:pPr>
          </w:p>
        </w:tc>
      </w:tr>
      <w:tr>
        <w:trPr>
          <w:trHeight w:val="158"/>
        </w:trPr>
        <w:tc>
          <w:tcPr>
            <w:tcW w:w="69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Common stock, $.50 par, 250,000,000 shares authorized,</w:t>
            </w: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9"/>
        </w:trPr>
        <w:tc>
          <w:tcPr>
            <w:tcW w:w="6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159,741,898 shares issued at September 30, 2020 and December 31, 2019</w:t>
            </w: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79,871</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79,871</w:t>
            </w:r>
          </w:p>
        </w:tc>
        <w:tc>
          <w:tcPr>
            <w:tcW w:w="120" w:type="dxa"/>
            <w:vAlign w:val="bottom"/>
            <w:shd w:val="clear" w:color="auto" w:fill="CFF0FC"/>
          </w:tcPr>
          <w:p>
            <w:pPr>
              <w:spacing w:after="0"/>
              <w:rPr>
                <w:sz w:val="15"/>
                <w:szCs w:val="15"/>
                <w:color w:val="auto"/>
              </w:rPr>
            </w:pPr>
          </w:p>
        </w:tc>
      </w:tr>
      <w:tr>
        <w:trPr>
          <w:trHeight w:val="158"/>
        </w:trPr>
        <w:tc>
          <w:tcPr>
            <w:tcW w:w="69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Common stock issuable, 17,999 shares at September 30, 2020;</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69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21,534 shares at December 31, 2019</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1,566</w:t>
            </w:r>
          </w:p>
        </w:tc>
        <w:tc>
          <w:tcPr>
            <w:tcW w:w="120" w:type="dxa"/>
            <w:vAlign w:val="bottom"/>
          </w:tcPr>
          <w:p>
            <w:pPr>
              <w:spacing w:after="0"/>
              <w:rPr>
                <w:sz w:val="15"/>
                <w:szCs w:val="15"/>
                <w:color w:val="auto"/>
              </w:rPr>
            </w:pPr>
          </w:p>
        </w:tc>
      </w:tr>
      <w:tr>
        <w:trPr>
          <w:trHeight w:val="175"/>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6,609,573</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6,593,539</w:t>
            </w:r>
          </w:p>
        </w:tc>
        <w:tc>
          <w:tcPr>
            <w:tcW w:w="120" w:type="dxa"/>
            <w:vAlign w:val="bottom"/>
            <w:shd w:val="clear" w:color="auto" w:fill="CFF0FC"/>
          </w:tcPr>
          <w:p>
            <w:pPr>
              <w:spacing w:after="0"/>
              <w:rPr>
                <w:sz w:val="15"/>
                <w:szCs w:val="15"/>
                <w:color w:val="auto"/>
              </w:rPr>
            </w:pPr>
          </w:p>
        </w:tc>
      </w:tr>
      <w:tr>
        <w:trPr>
          <w:trHeight w:val="17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Retained earnings</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13,132,374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12,820,916</w:t>
            </w:r>
          </w:p>
        </w:tc>
        <w:tc>
          <w:tcPr>
            <w:tcW w:w="120" w:type="dxa"/>
            <w:vAlign w:val="bottom"/>
          </w:tcPr>
          <w:p>
            <w:pPr>
              <w:spacing w:after="0"/>
              <w:rPr>
                <w:sz w:val="15"/>
                <w:szCs w:val="15"/>
                <w:color w:val="auto"/>
              </w:rPr>
            </w:pPr>
          </w:p>
        </w:tc>
      </w:tr>
      <w:tr>
        <w:trPr>
          <w:trHeight w:val="175"/>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Accumulated other comprehensive income (loss), net</w:t>
            </w: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175,503</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(206,680)</w:t>
            </w:r>
          </w:p>
        </w:tc>
      </w:tr>
      <w:tr>
        <w:trPr>
          <w:trHeight w:val="158"/>
        </w:trPr>
        <w:tc>
          <w:tcPr>
            <w:tcW w:w="69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Treasury stock — common, at cost — 31,456,705 shares at September 30, 2020;</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69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29,174,402 shares at December 31, 2019</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(5,147,635)</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(4,822,563)</w:t>
            </w:r>
          </w:p>
        </w:tc>
      </w:tr>
      <w:tr>
        <w:trPr>
          <w:trHeight w:val="169"/>
        </w:trPr>
        <w:tc>
          <w:tcPr>
            <w:tcW w:w="6960" w:type="dxa"/>
            <w:vAlign w:val="bottom"/>
            <w:tcBorders>
              <w:top w:val="single" w:sz="8" w:color="CFF0FC"/>
            </w:tcBorders>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shareholders’ equity</w:t>
            </w:r>
          </w:p>
        </w:tc>
        <w:tc>
          <w:tcPr>
            <w:tcW w:w="9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16,101,013</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15,716,649</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6960" w:type="dxa"/>
            <w:vAlign w:val="bottom"/>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liabilities and shareholders’ equity</w:t>
            </w:r>
          </w:p>
        </w:tc>
        <w:tc>
          <w:tcPr>
            <w:tcW w:w="940" w:type="dxa"/>
            <w:vAlign w:val="bottom"/>
          </w:tcPr>
          <w:p>
            <w:pPr>
              <w:spacing w:after="0"/>
              <w:rPr>
                <w:sz w:val="14"/>
                <w:szCs w:val="14"/>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138,626,743</w:t>
            </w:r>
          </w:p>
        </w:tc>
        <w:tc>
          <w:tcPr>
            <w:tcW w:w="440" w:type="dxa"/>
            <w:vAlign w:val="bottom"/>
          </w:tcPr>
          <w:p>
            <w:pPr>
              <w:spacing w:after="0"/>
              <w:rPr>
                <w:sz w:val="14"/>
                <w:szCs w:val="14"/>
                <w:color w:val="auto"/>
              </w:rPr>
            </w:pPr>
          </w:p>
        </w:tc>
        <w:tc>
          <w:tcPr>
            <w:tcW w:w="180" w:type="dxa"/>
            <w:vAlign w:val="bottom"/>
            <w:tcBorders>
              <w:bottom w:val="single" w:sz="8" w:color="auto"/>
            </w:tcBorders>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119,872,757</w:t>
            </w:r>
          </w:p>
        </w:tc>
        <w:tc>
          <w:tcPr>
            <w:tcW w:w="120" w:type="dxa"/>
            <w:vAlign w:val="bottom"/>
          </w:tcPr>
          <w:p>
            <w:pPr>
              <w:spacing w:after="0"/>
              <w:rPr>
                <w:sz w:val="14"/>
                <w:szCs w:val="14"/>
                <w:color w:val="auto"/>
              </w:rPr>
            </w:pPr>
          </w:p>
        </w:tc>
      </w:tr>
      <w:tr>
        <w:trPr>
          <w:trHeight w:val="20"/>
        </w:trPr>
        <w:tc>
          <w:tcPr>
            <w:tcW w:w="6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r>
        <w:rPr>
          <w:rFonts w:ascii="Times New Roman" w:cs="Times New Roman" w:eastAsia="Times New Roman" w:hAnsi="Times New Roman"/>
          <w:sz w:val="10"/>
          <w:szCs w:val="10"/>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INCOME (Unaudited)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26"/>
        </w:trPr>
        <w:tc>
          <w:tcPr>
            <w:tcW w:w="5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thousands, except per share)</w:t>
            </w:r>
          </w:p>
        </w:tc>
        <w:tc>
          <w:tcPr>
            <w:tcW w:w="1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2020</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2019</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2020</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Loans and leases, including fees</w:t>
            </w:r>
          </w:p>
        </w:tc>
        <w:tc>
          <w:tcPr>
            <w:tcW w:w="14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956,594</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1,119,662</w:t>
            </w:r>
          </w:p>
        </w:tc>
        <w:tc>
          <w:tcPr>
            <w:tcW w:w="5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2,983,787</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3,363,152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Investment securities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Fully taxable</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38,529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69,059</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135,858</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225,048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Exempt from federal taxes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Deposits at banks</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40,388</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27,308</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1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3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6,706</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interest income</w:t>
            </w:r>
          </w:p>
        </w:tc>
        <w:tc>
          <w:tcPr>
            <w:tcW w:w="1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1,001,161</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1,229,469</w:t>
            </w:r>
          </w:p>
        </w:tc>
        <w:tc>
          <w:tcPr>
            <w:tcW w:w="3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3,153,822</w:t>
            </w:r>
          </w:p>
        </w:tc>
        <w:tc>
          <w:tcPr>
            <w:tcW w:w="3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3,693,691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Savings and interest-checking deposits</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22,403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104,724</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126,859</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272,419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Time deposits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25,456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56,274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Deposits at Cayman Islands office</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6,218</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3,821</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Short-term borrowings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Long-term borrowings</w:t>
            </w:r>
          </w:p>
        </w:tc>
        <w:tc>
          <w:tcPr>
            <w:tcW w:w="1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20,902</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56,214</w:t>
            </w:r>
          </w:p>
        </w:tc>
        <w:tc>
          <w:tcPr>
            <w:tcW w:w="3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89,805</w:t>
            </w:r>
          </w:p>
        </w:tc>
        <w:tc>
          <w:tcPr>
            <w:tcW w:w="3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189,805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7"/>
                <w:szCs w:val="17"/>
                <w:color w:val="auto"/>
              </w:rPr>
              <w:t>Total interest expense</w:t>
            </w:r>
          </w:p>
        </w:tc>
        <w:tc>
          <w:tcPr>
            <w:tcW w:w="1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58,066</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199,579</w:t>
            </w:r>
          </w:p>
        </w:tc>
        <w:tc>
          <w:tcPr>
            <w:tcW w:w="3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276,785</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572,260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i w:val="1"/>
                <w:iCs w:val="1"/>
                <w:color w:val="auto"/>
              </w:rPr>
              <w:t>Net interest income</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943,095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1,029,890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2,877,037</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3,121,431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3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725,000</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122,000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793,095</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984,890</w:t>
            </w:r>
          </w:p>
        </w:tc>
        <w:tc>
          <w:tcPr>
            <w:tcW w:w="3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2,152,037</w:t>
            </w:r>
          </w:p>
        </w:tc>
        <w:tc>
          <w:tcPr>
            <w:tcW w:w="3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2,999,431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income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Mortgage banking revenues</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153,267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137,004</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426,200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339,636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111,092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274,971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Trust income</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149,937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143,915</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450,570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421,083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Brokerage services income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35,194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Trading account and foreign exchange gains</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4,026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16,072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33,332</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45,327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Gain (loss) on bank investment securities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(11,040)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revenues from operations</w:t>
            </w:r>
          </w:p>
        </w:tc>
        <w:tc>
          <w:tcPr>
            <w:tcW w:w="1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107,601</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103,882</w:t>
            </w:r>
          </w:p>
        </w:tc>
        <w:tc>
          <w:tcPr>
            <w:tcW w:w="3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327,967</w:t>
            </w:r>
          </w:p>
        </w:tc>
        <w:tc>
          <w:tcPr>
            <w:tcW w:w="3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351,082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7"/>
                <w:szCs w:val="17"/>
                <w:color w:val="auto"/>
              </w:rPr>
              <w:t>Total other income</w:t>
            </w:r>
          </w:p>
        </w:tc>
        <w:tc>
          <w:tcPr>
            <w:tcW w:w="1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520,561</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527,779</w:t>
            </w:r>
          </w:p>
        </w:tc>
        <w:tc>
          <w:tcPr>
            <w:tcW w:w="3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1,537,194</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1,540,639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Other expense</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478,897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476,780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1,474,582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Equipment and net occupancy</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81,080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82,690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237,809</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241,187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Outside data processing and software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64,660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60,360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190,446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FDIC assessments</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12,121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9,906</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38,599</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Advertising and marketing</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22,088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44,072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Printing, postage and supplies</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9,422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10,201</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31,534</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core deposit and other intangible assets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costs of operations</w:t>
            </w:r>
          </w:p>
        </w:tc>
        <w:tc>
          <w:tcPr>
            <w:tcW w:w="1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164,825</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210,506</w:t>
            </w:r>
          </w:p>
        </w:tc>
        <w:tc>
          <w:tcPr>
            <w:tcW w:w="3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511,450</w:t>
            </w:r>
          </w:p>
        </w:tc>
        <w:tc>
          <w:tcPr>
            <w:tcW w:w="3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663,006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7"/>
                <w:szCs w:val="17"/>
                <w:color w:val="auto"/>
              </w:rPr>
              <w:t>Total other expense</w:t>
            </w:r>
          </w:p>
        </w:tc>
        <w:tc>
          <w:tcPr>
            <w:tcW w:w="1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826,774</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877,619</w:t>
            </w:r>
          </w:p>
        </w:tc>
        <w:tc>
          <w:tcPr>
            <w:tcW w:w="3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2,540,232</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2,644,999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before taxes</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486,882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635,050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1,148,999</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1,895,071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Income taxes</w:t>
            </w:r>
          </w:p>
        </w:tc>
        <w:tc>
          <w:tcPr>
            <w:tcW w:w="1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114,746</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154,969</w:t>
            </w:r>
          </w:p>
        </w:tc>
        <w:tc>
          <w:tcPr>
            <w:tcW w:w="3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266,987</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458,988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i w:val="1"/>
                <w:iCs w:val="1"/>
                <w:color w:val="auto"/>
              </w:rPr>
              <w:t>Net income</w:t>
            </w:r>
          </w:p>
        </w:tc>
        <w:tc>
          <w:tcPr>
            <w:tcW w:w="1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372,136</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480,081</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882,012</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1,436,083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income available to common shareholders</w:t>
            </w: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0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Basic</w:t>
            </w:r>
          </w:p>
        </w:tc>
        <w:tc>
          <w:tcPr>
            <w:tcW w:w="14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353,399</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461,410</w:t>
            </w:r>
          </w:p>
        </w:tc>
        <w:tc>
          <w:tcPr>
            <w:tcW w:w="5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827,203</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1,376,128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Diluted</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353,400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461,410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827,204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income per common share</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Basic</w:t>
            </w:r>
          </w:p>
        </w:tc>
        <w:tc>
          <w:tcPr>
            <w:tcW w:w="14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5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34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Diluted</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Average common shares outstanding</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Basic</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128,285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132,965</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128,750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Diluted</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128,355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132,999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128,813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COMPREHENSIVE INCOME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2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4"/>
                <w:szCs w:val="14"/>
                <w:color w:val="auto"/>
              </w:rPr>
            </w:pPr>
          </w:p>
        </w:tc>
        <w:tc>
          <w:tcPr>
            <w:tcW w:w="236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56"/>
        </w:trPr>
        <w:tc>
          <w:tcPr>
            <w:tcW w:w="5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372,136</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480,081</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882,012</w:t>
            </w:r>
          </w:p>
        </w:tc>
        <w:tc>
          <w:tcPr>
            <w:tcW w:w="3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1,436,083</w:t>
            </w:r>
          </w:p>
        </w:tc>
        <w:tc>
          <w:tcPr>
            <w:tcW w:w="100" w:type="dxa"/>
            <w:vAlign w:val="bottom"/>
            <w:shd w:val="clear" w:color="auto" w:fill="CFF0FC"/>
          </w:tcPr>
          <w:p>
            <w:pPr>
              <w:spacing w:after="0"/>
              <w:rPr>
                <w:sz w:val="19"/>
                <w:szCs w:val="19"/>
                <w:color w:val="auto"/>
              </w:rPr>
            </w:pPr>
          </w:p>
        </w:tc>
      </w:tr>
      <w:tr>
        <w:trPr>
          <w:trHeight w:val="21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and</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unrealized gains (losses) on investment securities</w:t>
            </w: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(17,948)</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114,451</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177,049</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flow hedges adjustments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(63,199)</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240,562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155,666</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(1,704)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(2,104)</w:t>
            </w:r>
          </w:p>
        </w:tc>
      </w:tr>
      <w:tr>
        <w:trPr>
          <w:trHeight w:val="229"/>
        </w:trPr>
        <w:tc>
          <w:tcPr>
            <w:tcW w:w="5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plans liability adjustments</w:t>
            </w:r>
          </w:p>
        </w:tc>
        <w:tc>
          <w:tcPr>
            <w:tcW w:w="1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27,431</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(69,127)</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382,183</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339,773</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100" w:type="dxa"/>
            <w:vAlign w:val="bottom"/>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303,009</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1,264,195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1,775,856</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CASH FLOWS (Unaudited)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65"/>
        </w:trPr>
        <w:tc>
          <w:tcPr>
            <w:tcW w:w="6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2020</w:t>
            </w:r>
          </w:p>
        </w:tc>
        <w:tc>
          <w:tcPr>
            <w:tcW w:w="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2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882,012</w:t>
            </w:r>
          </w:p>
        </w:tc>
        <w:tc>
          <w:tcPr>
            <w:tcW w:w="38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1,436,083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725,000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Depreciation and amortization of premises and equipment</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164,323</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155,721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Amortization of capitalized servicing rights</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63,992</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11,740</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Provision for deferred income taxes</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(119,913)</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Asset write-downs</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17,692</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gain on sales of assets</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(14,736)</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(13,938)</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Net change in accrued interest receivable, payable</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(135,825)</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change in other accrued income and expense</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(344,085)</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(75,564)</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Net change in loans originated for sale</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(422,773)</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(20,325)</w:t>
            </w: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change in trading account assets and liabilities</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(702,362)</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(524,755)</w:t>
            </w:r>
          </w:p>
        </w:tc>
        <w:tc>
          <w:tcPr>
            <w:tcW w:w="0" w:type="dxa"/>
            <w:vAlign w:val="bottom"/>
          </w:tcPr>
          <w:p>
            <w:pPr>
              <w:spacing w:after="0"/>
              <w:rPr>
                <w:sz w:val="1"/>
                <w:szCs w:val="1"/>
                <w:color w:val="auto"/>
              </w:rPr>
            </w:pPr>
          </w:p>
        </w:tc>
      </w:tr>
      <w:tr>
        <w:trPr>
          <w:trHeight w:val="155"/>
        </w:trPr>
        <w:tc>
          <w:tcPr>
            <w:tcW w:w="63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0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125,065</w:t>
            </w:r>
          </w:p>
        </w:tc>
        <w:tc>
          <w:tcPr>
            <w:tcW w:w="3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1,226,848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sales of investment securities</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55,499</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878,405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maturities of investment securities</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Available for sale</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1,149,281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1,932,168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Held to maturity</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719,379</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787,655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investment securities</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Available for sale</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(5,860)</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(9,791)</w:t>
            </w: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Held to maturity</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(8,995)</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(495,277)</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(26,955)</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(821,120)</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in loans and leases</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(7,227,304)</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(1,484,135)</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increase in interest-bearing deposits at banks</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(13,007,783)</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(4,390,327)</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Capital expenditures, net</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(125,370)</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(119,522)</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(increase) decrease in loan servicing advances</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149,838</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(333,079)</w:t>
            </w:r>
          </w:p>
        </w:tc>
        <w:tc>
          <w:tcPr>
            <w:tcW w:w="0" w:type="dxa"/>
            <w:vAlign w:val="bottom"/>
          </w:tcPr>
          <w:p>
            <w:pPr>
              <w:spacing w:after="0"/>
              <w:rPr>
                <w:sz w:val="1"/>
                <w:szCs w:val="1"/>
                <w:color w:val="auto"/>
              </w:rPr>
            </w:pPr>
          </w:p>
        </w:tc>
      </w:tr>
      <w:tr>
        <w:trPr>
          <w:trHeight w:val="162"/>
        </w:trPr>
        <w:tc>
          <w:tcPr>
            <w:tcW w:w="6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Other, net</w:t>
            </w:r>
          </w:p>
        </w:tc>
        <w:tc>
          <w:tcPr>
            <w:tcW w:w="20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351,278</w:t>
            </w:r>
          </w:p>
        </w:tc>
        <w:tc>
          <w:tcPr>
            <w:tcW w:w="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55,356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cash used by investing activities</w:t>
            </w:r>
          </w:p>
        </w:tc>
        <w:tc>
          <w:tcPr>
            <w:tcW w:w="2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(17,976,992)</w:t>
            </w: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(3,999,667)</w:t>
            </w:r>
          </w:p>
        </w:tc>
        <w:tc>
          <w:tcPr>
            <w:tcW w:w="0" w:type="dxa"/>
            <w:vAlign w:val="bottom"/>
          </w:tcPr>
          <w:p>
            <w:pPr>
              <w:spacing w:after="0"/>
              <w:rPr>
                <w:sz w:val="1"/>
                <w:szCs w:val="1"/>
                <w:color w:val="auto"/>
              </w:rPr>
            </w:pPr>
          </w:p>
        </w:tc>
      </w:tr>
      <w:tr>
        <w:trPr>
          <w:trHeight w:val="155"/>
        </w:trPr>
        <w:tc>
          <w:tcPr>
            <w:tcW w:w="6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increase in deposits</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20,394,732</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4,959,327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short-term borrowings</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(16,240)</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1,115,518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Payments on long-term borrowings</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(1,605,041)</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(1,552,533)</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(373,750)</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(1,067,575)</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Dividends paid — common</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(426,204)</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(406,967)</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Dividends paid — preferred</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(55,444)</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(54,642)</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issuance of Series G preferred stock</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Redemption of Series A and Series C preferred stock</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(381,500)</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net</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(13,199)</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(21,187)</w:t>
            </w:r>
          </w:p>
        </w:tc>
        <w:tc>
          <w:tcPr>
            <w:tcW w:w="0" w:type="dxa"/>
            <w:vAlign w:val="bottom"/>
          </w:tcPr>
          <w:p>
            <w:pPr>
              <w:spacing w:after="0"/>
              <w:rPr>
                <w:sz w:val="1"/>
                <w:szCs w:val="1"/>
                <w:color w:val="auto"/>
              </w:rPr>
            </w:pPr>
          </w:p>
        </w:tc>
      </w:tr>
      <w:tr>
        <w:trPr>
          <w:trHeight w:val="155"/>
        </w:trPr>
        <w:tc>
          <w:tcPr>
            <w:tcW w:w="63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20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17,904,854</w:t>
            </w:r>
          </w:p>
        </w:tc>
        <w:tc>
          <w:tcPr>
            <w:tcW w:w="3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2,986,441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2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52,927</w:t>
            </w: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213,622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20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1,436,305</w:t>
            </w:r>
          </w:p>
        </w:tc>
        <w:tc>
          <w:tcPr>
            <w:tcW w:w="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1,605,439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2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1,489,232</w:t>
            </w: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1,819,061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20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received during the period</w:t>
            </w:r>
          </w:p>
        </w:tc>
        <w:tc>
          <w:tcPr>
            <w:tcW w:w="2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3,121,917</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3,700,206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319,079</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577,291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Income taxes paid during the period</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254,471</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302,441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schedule of noncash investing and financing activities</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Real estate acquired in settlement of loans</w:t>
            </w:r>
          </w:p>
        </w:tc>
        <w:tc>
          <w:tcPr>
            <w:tcW w:w="2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20,047</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Securitization of residential mortgage loans allocated to</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Available-for-sale investment securities</w:t>
            </w:r>
          </w:p>
        </w:tc>
        <w:tc>
          <w:tcPr>
            <w:tcW w:w="2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Capitalized servicing rights</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Adoption of lease accounting standard</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Right-of-use assets</w:t>
            </w:r>
          </w:p>
        </w:tc>
        <w:tc>
          <w:tcPr>
            <w:tcW w:w="2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Other liabilities</w:t>
            </w:r>
          </w:p>
        </w:tc>
        <w:tc>
          <w:tcPr>
            <w:tcW w:w="2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398,810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Additions to right-of-use assets under operating leases</w:t>
            </w:r>
          </w:p>
        </w:tc>
        <w:tc>
          <w:tcPr>
            <w:tcW w:w="2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45,888</w:t>
            </w:r>
          </w:p>
        </w:tc>
        <w:tc>
          <w:tcPr>
            <w:tcW w:w="38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CHANGES IN SHAREHOLDERS’ EQUITY (Unaudited)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thousands, except per share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Issuable</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(Loss), Net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FF0FC"/>
            </w:tcBorders>
            <w:shd w:val="clear" w:color="auto" w:fill="000000"/>
          </w:tcPr>
          <w:p>
            <w:pPr>
              <w:spacing w:after="0" w:line="20" w:lineRule="exact"/>
              <w:rPr>
                <w:sz w:val="1"/>
                <w:szCs w:val="1"/>
                <w:color w:val="auto"/>
              </w:rPr>
            </w:pPr>
          </w:p>
        </w:tc>
        <w:tc>
          <w:tcPr>
            <w:tcW w:w="154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 2020</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tcBorders>
              <w:left w:val="single" w:sz="8" w:color="CFF0FC"/>
              <w:righ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 July 1, 2020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6,599,069</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12,919,345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244,630</w:t>
            </w:r>
          </w:p>
        </w:tc>
        <w:tc>
          <w:tcPr>
            <w:tcW w:w="2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(5,149,118)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15,945,105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372,136</w:t>
            </w:r>
          </w:p>
        </w:tc>
        <w:tc>
          <w:tcPr>
            <w:tcW w:w="220" w:type="dxa"/>
            <w:vAlign w:val="bottom"/>
            <w:tcBorders>
              <w:right w:val="single" w:sz="8" w:color="CFF0FC"/>
            </w:tcBorders>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(69,127)</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303,009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(17,050)</w:t>
            </w:r>
          </w:p>
        </w:tc>
        <w:tc>
          <w:tcPr>
            <w:tcW w:w="2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(17,050)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10,504</w:t>
            </w:r>
          </w:p>
        </w:tc>
        <w:tc>
          <w:tcPr>
            <w:tcW w:w="20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20" w:type="dxa"/>
            <w:vAlign w:val="bottom"/>
            <w:tcBorders>
              <w:right w:val="single" w:sz="8" w:color="CFF0FC"/>
            </w:tcBorders>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1,483</w:t>
            </w:r>
          </w:p>
        </w:tc>
        <w:tc>
          <w:tcPr>
            <w:tcW w:w="22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$1.10 per share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(141,953)</w:t>
            </w:r>
          </w:p>
        </w:tc>
        <w:tc>
          <w:tcPr>
            <w:tcW w:w="2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(141,953)</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September 30, 2020</w:t>
            </w: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gridSpan w:val="2"/>
            <w:vMerge w:val="continue"/>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6,609,573</w:t>
            </w:r>
          </w:p>
        </w:tc>
        <w:tc>
          <w:tcPr>
            <w:tcW w:w="200" w:type="dxa"/>
            <w:vAlign w:val="bottom"/>
            <w:tcBorders>
              <w:right w:val="single" w:sz="8" w:color="CFF0FC"/>
            </w:tcBorders>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13,132,374</w:t>
            </w:r>
          </w:p>
        </w:tc>
        <w:tc>
          <w:tcPr>
            <w:tcW w:w="220" w:type="dxa"/>
            <w:vAlign w:val="bottom"/>
            <w:tcBorders>
              <w:right w:val="single" w:sz="8" w:color="CFF0FC"/>
            </w:tcBorders>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175,503</w:t>
            </w:r>
          </w:p>
        </w:tc>
        <w:tc>
          <w:tcPr>
            <w:tcW w:w="280" w:type="dxa"/>
            <w:vAlign w:val="bottom"/>
            <w:tcBorders>
              <w:left w:val="single" w:sz="8" w:color="CFF0FC"/>
              <w:righ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(5,147,635)</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16,101,013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Nine Months Ended September 30, 2020</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 January 1, 2020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6,593,539</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12,820,916</w:t>
            </w:r>
          </w:p>
        </w:tc>
        <w:tc>
          <w:tcPr>
            <w:tcW w:w="2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(206,680)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(4,822,563)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15,716,649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Adoption of new accounting standard for</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tcBorders>
              <w:left w:val="single" w:sz="8" w:color="CFF0FC"/>
              <w:righ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credit losses</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(91,925)</w:t>
            </w:r>
          </w:p>
        </w:tc>
        <w:tc>
          <w:tcPr>
            <w:tcW w:w="220" w:type="dxa"/>
            <w:vAlign w:val="bottom"/>
            <w:tcBorders>
              <w:right w:val="single" w:sz="8" w:color="CFF0FC"/>
            </w:tcBorders>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(91,925)</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882,012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382,183</w:t>
            </w:r>
          </w:p>
        </w:tc>
        <w:tc>
          <w:tcPr>
            <w:tcW w:w="2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1,264,195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(51,178)</w:t>
            </w:r>
          </w:p>
        </w:tc>
        <w:tc>
          <w:tcPr>
            <w:tcW w:w="220" w:type="dxa"/>
            <w:vAlign w:val="bottom"/>
            <w:tcBorders>
              <w:right w:val="single" w:sz="8" w:color="CFF0FC"/>
            </w:tcBorders>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(51,178)</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(373,750)</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(373,750)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(239)</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16,034</w:t>
            </w:r>
          </w:p>
        </w:tc>
        <w:tc>
          <w:tcPr>
            <w:tcW w:w="20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220" w:type="dxa"/>
            <w:vAlign w:val="bottom"/>
            <w:tcBorders>
              <w:right w:val="single" w:sz="8" w:color="CFF0FC"/>
            </w:tcBorders>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48,678</w:t>
            </w:r>
          </w:p>
        </w:tc>
        <w:tc>
          <w:tcPr>
            <w:tcW w:w="22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$3.30 per share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(427,141)</w:t>
            </w:r>
          </w:p>
        </w:tc>
        <w:tc>
          <w:tcPr>
            <w:tcW w:w="2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(427,141)</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September 30, 2020</w:t>
            </w: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gridSpan w:val="2"/>
            <w:vMerge w:val="continue"/>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6,609,573</w:t>
            </w:r>
          </w:p>
        </w:tc>
        <w:tc>
          <w:tcPr>
            <w:tcW w:w="200" w:type="dxa"/>
            <w:vAlign w:val="bottom"/>
            <w:tcBorders>
              <w:right w:val="single" w:sz="8" w:color="CFF0FC"/>
            </w:tcBorders>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13,132,374</w:t>
            </w:r>
          </w:p>
        </w:tc>
        <w:tc>
          <w:tcPr>
            <w:tcW w:w="220" w:type="dxa"/>
            <w:vAlign w:val="bottom"/>
            <w:tcBorders>
              <w:right w:val="single" w:sz="8" w:color="CFF0FC"/>
            </w:tcBorders>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175,503</w:t>
            </w:r>
          </w:p>
        </w:tc>
        <w:tc>
          <w:tcPr>
            <w:tcW w:w="280" w:type="dxa"/>
            <w:vAlign w:val="bottom"/>
            <w:tcBorders>
              <w:left w:val="single" w:sz="8" w:color="CFF0FC"/>
              <w:righ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(5,147,635)</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16,101,013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 2019</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July 1, 2019</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1,231,500</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1,526</w:t>
            </w: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6,577,603</w:t>
            </w:r>
          </w:p>
        </w:tc>
        <w:tc>
          <w:tcPr>
            <w:tcW w:w="20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12,162,278</w:t>
            </w: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(112,958)</w:t>
            </w: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(4,247,993)</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15,691,827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480,081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32,650</w:t>
            </w:r>
          </w:p>
        </w:tc>
        <w:tc>
          <w:tcPr>
            <w:tcW w:w="2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512,731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(19,144)</w:t>
            </w:r>
          </w:p>
        </w:tc>
        <w:tc>
          <w:tcPr>
            <w:tcW w:w="10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(19,144)</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Redemption of Series A and Series C preferred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(381,500)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(381,500)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Series G preferred stock</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220" w:type="dxa"/>
            <w:vAlign w:val="bottom"/>
            <w:tcBorders>
              <w:right w:val="single" w:sz="8" w:color="CFF0FC"/>
            </w:tcBorders>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(4,000)</w:t>
            </w: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(299,963)</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(299,963)</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11,102</w:t>
            </w:r>
          </w:p>
        </w:tc>
        <w:tc>
          <w:tcPr>
            <w:tcW w:w="200" w:type="dxa"/>
            <w:vAlign w:val="bottom"/>
            <w:tcBorders>
              <w:right w:val="single" w:sz="8" w:color="CFF0FC"/>
            </w:tcBorders>
            <w:shd w:val="clear" w:color="auto" w:fill="CFF0FC"/>
          </w:tcPr>
          <w:p>
            <w:pPr>
              <w:spacing w:after="0"/>
              <w:rPr>
                <w:sz w:val="14"/>
                <w:szCs w:val="14"/>
                <w:color w:val="auto"/>
              </w:rPr>
            </w:pP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(50)</w:t>
            </w:r>
          </w:p>
        </w:tc>
        <w:tc>
          <w:tcPr>
            <w:tcW w:w="10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22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$1.00 per share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(132,932)</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(132,932)</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September 30, 2019</w:t>
            </w: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vMerge w:val="continue"/>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6,584,705</w:t>
            </w:r>
          </w:p>
        </w:tc>
        <w:tc>
          <w:tcPr>
            <w:tcW w:w="200" w:type="dxa"/>
            <w:vAlign w:val="bottom"/>
            <w:tcBorders>
              <w:right w:val="single" w:sz="8" w:color="CFF0FC"/>
            </w:tcBorders>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12,490,233</w:t>
            </w:r>
          </w:p>
        </w:tc>
        <w:tc>
          <w:tcPr>
            <w:tcW w:w="220" w:type="dxa"/>
            <w:vAlign w:val="bottom"/>
            <w:tcBorders>
              <w:right w:val="single" w:sz="8" w:color="CFF0FC"/>
            </w:tcBorders>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(80,308)</w:t>
            </w:r>
          </w:p>
        </w:tc>
        <w:tc>
          <w:tcPr>
            <w:tcW w:w="280" w:type="dxa"/>
            <w:vAlign w:val="bottom"/>
            <w:tcBorders>
              <w:left w:val="single" w:sz="8" w:color="CFF0FC"/>
              <w:righ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(4,546,237)</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15,779,811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Nine Months Ended September 30, 2019</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 January 1, 2019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1,231,500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79,883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1,726</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6,579,342</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11,516,672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(420,081)</w:t>
            </w:r>
          </w:p>
        </w:tc>
        <w:tc>
          <w:tcPr>
            <w:tcW w:w="2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(3,528,851)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15,460,191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1,436,083</w:t>
            </w: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339,773</w:t>
            </w: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1,775,856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(55,404)</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(55,404)</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Redemption of Series A and Series C preferred stock</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(381,500)</w:t>
            </w: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(381,500)</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Series G preferred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(4,000)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(1,067,575)</w:t>
            </w:r>
          </w:p>
        </w:tc>
        <w:tc>
          <w:tcPr>
            <w:tcW w:w="140" w:type="dxa"/>
            <w:vAlign w:val="bottom"/>
            <w:tcBorders>
              <w:left w:val="single" w:sz="8" w:color="CFF0FC"/>
            </w:tcBorders>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(1,067,575)</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(179)</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9,363</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(151)</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50,189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tcBorders>
              <w:left w:val="single" w:sz="8" w:color="CFF0FC"/>
              <w:righ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$3.00 per share</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(406,967)</w:t>
            </w:r>
          </w:p>
        </w:tc>
        <w:tc>
          <w:tcPr>
            <w:tcW w:w="10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(406,967)</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Balance — September 30, 2019</w:t>
            </w: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gridSpan w:val="2"/>
            <w:vMerge w:val="continue"/>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6,584,705</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12,490,233</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(80,308)</w:t>
            </w:r>
          </w:p>
        </w:tc>
        <w:tc>
          <w:tcPr>
            <w:tcW w:w="2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(4,546,237)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15,779,811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40" w:right="120" w:hanging="357"/>
        <w:spacing w:after="0" w:line="252" w:lineRule="auto"/>
        <w:tabs>
          <w:tab w:leader="none" w:pos="540" w:val="left"/>
        </w:tabs>
        <w:numPr>
          <w:ilvl w:val="0"/>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For the three-month and nine-month periods ended September 30, 2020, dividends per preferred share were: Preferred Series E - $16.125 and $48.375, respectively; Preferred Series F - $128.125 and $384.375, respectively; and Preferred Series G - $125.00 and $375.694, respectively. Dividends per preferred share for the three-month and nine-month periods ended September 30, 2019 were: Preferred Series A - $15.9375 and $47.8125, respectively; Preferred Series C - $15.9375 and $47.8125, respectively; Preferred Series E - $16.125 and $48.375, respectively; and Preferred Series F - $128.125 and $384.375, respectively.</w:t>
      </w: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color w:val="auto"/>
        </w:rPr>
        <w:t>NOTES TO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Significant accounting policies and current environment</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2019 (“2019 Annual Report”), except that effective January 1, 2020 the Company adopted accounting guidance related to the recognition of expected credit losses that is discussed in notes 2, 3 and 15 herein. The financial statements contain all adjustments which are, in the opinion of management, necessary for a fair statement of the Company’s financial position, results of operations and cash flows for the interim periods presented.</w:t>
      </w:r>
    </w:p>
    <w:p>
      <w:pPr>
        <w:spacing w:after="0" w:line="75"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The United States has been operating under a state of emergency related to the Coronavirus Disease 2019 (“COVID-19”) pandemic since March 13, 2020. The direct and indirect effects of the COVID-19 pandemic resulted in a dramatic reduction in economic activity that severely hampered the ability for businesses and consumers to meet their repayment obligations. The effects of the pandemic contributed to a significant increase in the provision for credit losses during the first nine months of 2020. The Coronavirus Aid, Relief, and Economic Security Act (“CARES Act”), in addition to providing financial assistance to both businesses and consumers, creates a forbearance program for federally-backed mortgage loans, protects borrowers from negative credit reporting due to loan accommodations related to the national emergency, and provides financial institutions the option to temporarily suspend certain requirements under GAAP related to troubled debt restructurings to account for the effects of COVID-19. The bank regulatory agencies likewise issued guidance encouraging financial institutions to work prudently with borrowers who are, or may be, unable to meet their contractual payment obligations because of the effects of COVID-19. That guidance, with concurrence of the Financial Accounting Standards Board, and provisions of the CARES Act allow modifications made on a good faith basis in response to COVID-19 to borrowers who were generally current with their payments prior to any relief, to not be treated as troubled debt restructurings nor be reported as past due. Modifications may include payment deferrals, fee waivers, extensions of repayment term, or other delays in payment. The Company has been working with its customers affected by COVID-19 and has granted modifications across many of its loan portfolios. To the extent that such modifications meet the criteria previously described, the modified loans have not been classified as troubled debt restructurings nor reported as past due.</w:t>
      </w:r>
    </w:p>
    <w:p>
      <w:pPr>
        <w:spacing w:after="0" w:line="1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2. Investment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amortized cost and estimated fair value of investment securities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4,944,979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221,561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5,165,701</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135,915</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127,251</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5,090,064</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223,115</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5,302,338</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1,850,864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100,104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1,950,876</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1,938,694</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111,124</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2,031,926</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securities</w:t>
            </w:r>
          </w:p>
        </w:tc>
        <w:tc>
          <w:tcPr>
            <w:tcW w:w="1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7,028,758</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334,239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7,334,264</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and other securities:</w:t>
            </w: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Readily marketable equity — at fair value</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77,708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101,182</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 at cost</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380,790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380,790</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 and other securities</w:t>
            </w:r>
          </w:p>
        </w:tc>
        <w:tc>
          <w:tcPr>
            <w:tcW w:w="1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458,498</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481,972</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6,113,913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6,180,940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133,829</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6,258,276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90,723</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6,318,776</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249,862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250,148</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2,306,180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2,354,569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93,496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87,094</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2,656,917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2,699,206</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debt securities</w:t>
            </w:r>
          </w:p>
        </w:tc>
        <w:tc>
          <w:tcPr>
            <w:tcW w:w="1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8,915,193</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153,185</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50,396</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9,017,982</w:t>
            </w:r>
          </w:p>
        </w:tc>
        <w:tc>
          <w:tcPr>
            <w:tcW w:w="10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 securities:</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Readily marketable equity — at fair value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105,524</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 at cost</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381,517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381,517</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and other securities</w:t>
            </w:r>
          </w:p>
        </w:tc>
        <w:tc>
          <w:tcPr>
            <w:tcW w:w="1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487,041</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34,786</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521,558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202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- 9 -</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112"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There were no significant gross realized gains or losses from sales of investment securities for the three-month and nine-month periods ended September 30, 2020 and 2019. Unrealized gains on equity securities during the three months ended September 30, 2020 were $3 million and unrealized losses during the nine months ended September 30, 2020 were $11 million, compared with unrealized gains of $4 million and $24 million during the three months and nine months ended September 30, 2019, respectively.</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At September 30, 2020, the amortized cost and estimated fair value of debt securities by contractual maturity were as follows:</w:t>
      </w:r>
    </w:p>
    <w:tbl>
      <w:tblPr>
        <w:tblLayout w:type="fixed"/>
        <w:tblInd w:w="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3"/>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securities available for sale:</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12,009</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98,426</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95,033</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24,372</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145,069</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136,621</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 available for sale</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4,944,995</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5,165,717</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5,090,064</w:t>
            </w:r>
          </w:p>
        </w:tc>
        <w:tc>
          <w:tcPr>
            <w:tcW w:w="28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5,302,338</w:t>
            </w:r>
          </w:p>
        </w:tc>
        <w:tc>
          <w:tcPr>
            <w:tcW w:w="80" w:type="dxa"/>
            <w:vAlign w:val="bottom"/>
            <w:tcBorders>
              <w:bottom w:val="single" w:sz="8" w:color="CFF0FC"/>
            </w:tcBorders>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securities held to maturity:</w:t>
            </w:r>
          </w:p>
        </w:tc>
        <w:tc>
          <w:tcPr>
            <w:tcW w:w="2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Mortgage-backed securities held to maturity</w:t>
            </w: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1,930,877</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2,024,099</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1,938,694</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2,031,926</w:t>
            </w:r>
          </w:p>
        </w:tc>
        <w:tc>
          <w:tcPr>
            <w:tcW w:w="80" w:type="dxa"/>
            <w:vAlign w:val="bottom"/>
            <w:tcBorders>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4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112" w:lineRule="exact"/>
        <w:rPr>
          <w:sz w:val="20"/>
          <w:szCs w:val="20"/>
          <w:color w:val="auto"/>
        </w:rPr>
      </w:pPr>
    </w:p>
    <w:p>
      <w:pPr>
        <w:jc w:val="both"/>
        <w:ind w:right="20" w:firstLine="510"/>
        <w:spacing w:after="0" w:line="255" w:lineRule="auto"/>
        <w:rPr>
          <w:sz w:val="20"/>
          <w:szCs w:val="20"/>
          <w:color w:val="auto"/>
        </w:rPr>
      </w:pPr>
      <w:r>
        <w:rPr>
          <w:rFonts w:ascii="Times New Roman" w:cs="Times New Roman" w:eastAsia="Times New Roman" w:hAnsi="Times New Roman"/>
          <w:sz w:val="21"/>
          <w:szCs w:val="21"/>
          <w:color w:val="auto"/>
        </w:rPr>
        <w:t>A summary of investment securities that as of September 30, 2020 and December 31, 2019 had been in a continuous unrealized loss position for less than twelve months and those that had been in a continuous unrealized loss position for twelve months or longer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30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12 Months or More</w:t>
            </w:r>
          </w:p>
        </w:tc>
      </w:tr>
      <w:tr>
        <w:trPr>
          <w:trHeight w:val="131"/>
        </w:trPr>
        <w:tc>
          <w:tcPr>
            <w:tcW w:w="4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66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80" w:type="dxa"/>
            <w:vAlign w:val="bottom"/>
            <w:tcBorders>
              <w:top w:val="single" w:sz="8" w:color="auto"/>
            </w:tcBorders>
          </w:tcPr>
          <w:p>
            <w:pPr>
              <w:jc w:val="right"/>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r>
      <w:tr>
        <w:trPr>
          <w:trHeight w:val="173"/>
        </w:trPr>
        <w:tc>
          <w:tcPr>
            <w:tcW w:w="4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7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96"/>
        </w:trPr>
        <w:tc>
          <w:tcPr>
            <w:tcW w:w="4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42,385</w:t>
            </w:r>
          </w:p>
        </w:tc>
        <w:tc>
          <w:tcPr>
            <w:tcW w:w="3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62,659</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(8,905)</w:t>
            </w:r>
          </w:p>
        </w:tc>
      </w:tr>
      <w:tr>
        <w:trPr>
          <w:trHeight w:val="223"/>
        </w:trPr>
        <w:tc>
          <w:tcPr>
            <w:tcW w:w="46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63,683</w:t>
            </w:r>
          </w:p>
        </w:tc>
        <w:tc>
          <w:tcPr>
            <w:tcW w:w="3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84,394</w:t>
            </w:r>
          </w:p>
        </w:tc>
        <w:tc>
          <w:tcPr>
            <w:tcW w:w="3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3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46,048</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(17,768)</w:t>
            </w:r>
          </w:p>
        </w:tc>
      </w:tr>
      <w:tr>
        <w:trPr>
          <w:trHeight w:val="223"/>
        </w:trPr>
        <w:tc>
          <w:tcPr>
            <w:tcW w:w="460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18,833</w:t>
            </w:r>
          </w:p>
        </w:tc>
        <w:tc>
          <w:tcPr>
            <w:tcW w:w="3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46,048</w:t>
            </w:r>
          </w:p>
        </w:tc>
        <w:tc>
          <w:tcPr>
            <w:tcW w:w="36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100" w:type="dxa"/>
            <w:vAlign w:val="bottom"/>
            <w:tcBorders>
              <w:bottom w:val="single" w:sz="8" w:color="CFF0FC"/>
            </w:tcBorders>
          </w:tcPr>
          <w:p>
            <w:pPr>
              <w:spacing w:after="0"/>
              <w:rPr>
                <w:sz w:val="19"/>
                <w:szCs w:val="19"/>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82,516</w:t>
            </w:r>
          </w:p>
        </w:tc>
        <w:tc>
          <w:tcPr>
            <w:tcW w:w="3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130,442</w:t>
            </w:r>
          </w:p>
        </w:tc>
        <w:tc>
          <w:tcPr>
            <w:tcW w:w="3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3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117,299</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2,002,364</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(21,385)</w:t>
            </w:r>
          </w:p>
        </w:tc>
      </w:tr>
      <w:tr>
        <w:trPr>
          <w:trHeight w:val="24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3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(354)</w:t>
            </w: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56,313</w:t>
            </w: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(8,243)</w:t>
            </w:r>
          </w:p>
        </w:tc>
      </w:tr>
      <w:tr>
        <w:trPr>
          <w:trHeight w:val="20"/>
        </w:trPr>
        <w:tc>
          <w:tcPr>
            <w:tcW w:w="4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125,305</w:t>
            </w:r>
          </w:p>
        </w:tc>
        <w:tc>
          <w:tcPr>
            <w:tcW w:w="3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(583)</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2,061,847</w:t>
            </w:r>
          </w:p>
        </w:tc>
        <w:tc>
          <w:tcPr>
            <w:tcW w:w="3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(29,640)</w:t>
            </w:r>
          </w:p>
        </w:tc>
      </w:tr>
      <w:tr>
        <w:trPr>
          <w:trHeight w:val="237"/>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2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CFF0FC"/>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3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145,235</w:t>
            </w: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(1,987)</w:t>
            </w:r>
          </w:p>
        </w:tc>
      </w:tr>
      <w:tr>
        <w:trPr>
          <w:trHeight w:val="243"/>
        </w:trPr>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49,656</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(18,181)</w:t>
            </w:r>
          </w:p>
        </w:tc>
      </w:tr>
      <w:tr>
        <w:trPr>
          <w:trHeight w:val="20"/>
        </w:trPr>
        <w:tc>
          <w:tcPr>
            <w:tcW w:w="46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6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3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194,891</w:t>
            </w:r>
          </w:p>
        </w:tc>
        <w:tc>
          <w:tcPr>
            <w:tcW w:w="3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(20,168)</w:t>
            </w:r>
          </w:p>
        </w:tc>
      </w:tr>
      <w:tr>
        <w:trPr>
          <w:trHeight w:val="20"/>
        </w:trPr>
        <w:tc>
          <w:tcPr>
            <w:tcW w:w="4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128,032</w:t>
            </w:r>
          </w:p>
        </w:tc>
        <w:tc>
          <w:tcPr>
            <w:tcW w:w="3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(588)</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2,256,738</w:t>
            </w:r>
          </w:p>
        </w:tc>
        <w:tc>
          <w:tcPr>
            <w:tcW w:w="3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(49,808)</w:t>
            </w:r>
          </w:p>
        </w:tc>
      </w:tr>
      <w:tr>
        <w:trPr>
          <w:trHeight w:val="20"/>
        </w:trPr>
        <w:tc>
          <w:tcPr>
            <w:tcW w:w="4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Company owned 290 individual debt securities with aggregate gross unrealized losses of $29 million at September 30, 2020. Based on a review of each of the securities in the investment securities portfolio at September 30, 2020, the Company concluded that it expected to recover the amortized cost basis of its investment. As of September 30, 2020, the Company does not intend to sell nor is it anticipated that it would be required to sell any of its impaired investment securities at a loss. At September 30, 2020, the Company has not identified events or changes in circumstances which may have a significant adverse effect on the fair value of the $381 million of cost method equity securities.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112" w:lineRule="exact"/>
        <w:rPr>
          <w:sz w:val="20"/>
          <w:szCs w:val="20"/>
          <w:color w:val="auto"/>
        </w:rPr>
      </w:pPr>
    </w:p>
    <w:p>
      <w:pPr>
        <w:jc w:val="both"/>
        <w:ind w:firstLine="468"/>
        <w:spacing w:after="0" w:line="247" w:lineRule="auto"/>
        <w:rPr>
          <w:sz w:val="20"/>
          <w:szCs w:val="20"/>
          <w:color w:val="auto"/>
        </w:rPr>
      </w:pPr>
      <w:r>
        <w:rPr>
          <w:rFonts w:ascii="Times New Roman" w:cs="Times New Roman" w:eastAsia="Times New Roman" w:hAnsi="Times New Roman"/>
          <w:sz w:val="21"/>
          <w:szCs w:val="21"/>
          <w:color w:val="auto"/>
        </w:rPr>
        <w:t>As described in notes 3 and 15, on January 1, 2020 the Company adopted amended accounting guidance that requires an allowance for credit losses be deducted from the amortized cost basis of financial assets, including investment securities held to maturity, to present the net carrying value at the amount that is expected to be collected over their contractual term. The Company estimated no material allowance for credit losses for its investment securities classified as held-to-maturity at January 1, 2020 or September 30, 2020, as the substantial majority of such investment securities are obligations backed by the U.S. government or its agencies.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Effective January 1, 2020 the Company adopted amended accounting guidance which requires an allowance for credit losses be deducted from the amortized cost basis of financial assets to present the net carrying value at the amount that is expected to be collected over their contractual term considering relevant information about past events, current conditions, and reasonable and supportable forecasts that affect the collectibility of the reported amount. The amended guidance also requires recording an allowance for credit losses for purchased financial assets with a more-than-insignificant amount of credit deterioration since origination. The initial allowance for these assets will be added to the purchase price at acquisition rather than being reported as an expense. Subsequent changes in the allowance will be recorded in the income statement as an adjustment to the provision for credit losses. The new guidance replaced the previous incurred loss model for determining the allowance for credit losses. The adoption resulted in a $132 million increase in the allowance for credit losses at January 1, 2020. Prior to January 1, 2020, the Company generally recognized the excess of cash flows expected at acquisition over the estimated fair value of the acquired loans as interest income over the remaining lives of such loans regardless of the borrowers’ repayment status. Effective with the adoption of the new accounting standard, the Company’s nonaccrual loan policy now applies to loans acquired at a discount. That change added $171 million to nonaccrual loans as of the January 1, 2020 adoption date.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Past due and nonaccrual loans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current, past due and nonaccrual loans as of September 30, 2020 and December 31, 2019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Loans Past</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Due 90</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0" w:type="dxa"/>
            <w:vAlign w:val="bottom"/>
            <w:gridSpan w:val="2"/>
            <w:vMerge w:val="continue"/>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Days or</w:t>
            </w: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6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More</w:t>
            </w: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27,249,552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282,917</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350,628</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27,891,648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27,250,676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252,515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27,709,261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1,353,863</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8,405,525</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66,599</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13,934,309</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185,420</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503,450</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297,636</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14,920,815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1,606,130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20,980</w:t>
            </w:r>
          </w:p>
        </w:tc>
        <w:tc>
          <w:tcPr>
            <w:tcW w:w="3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4,000,829</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22,209</w:t>
            </w:r>
          </w:p>
        </w:tc>
        <w:tc>
          <w:tcPr>
            <w:tcW w:w="3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6,838,126</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36,003</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3,829,968</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3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1,337,042</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11,601</w:t>
            </w:r>
          </w:p>
        </w:tc>
        <w:tc>
          <w:tcPr>
            <w:tcW w:w="3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3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38,565</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1,394,182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95,806,020</w:t>
            </w:r>
          </w:p>
        </w:tc>
        <w:tc>
          <w:tcPr>
            <w:tcW w:w="3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873,798</w:t>
            </w:r>
          </w:p>
        </w:tc>
        <w:tc>
          <w:tcPr>
            <w:tcW w:w="3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527,258</w:t>
            </w:r>
          </w:p>
        </w:tc>
        <w:tc>
          <w:tcPr>
            <w:tcW w:w="3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1,239,972</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98,447,048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tbl>
      <w:tblPr>
        <w:tblLayout w:type="fixed"/>
        <w:tblInd w:w="0" w:type="dxa"/>
        <w:tblCellMar>
          <w:top w:w="0" w:type="dxa"/>
          <w:left w:w="0" w:type="dxa"/>
          <w:bottom w:w="0" w:type="dxa"/>
          <w:right w:w="0" w:type="dxa"/>
        </w:tblCellMar>
      </w:tblPr>
      <w:tr>
        <w:trPr>
          <w:trHeight w:val="160"/>
        </w:trPr>
        <w:tc>
          <w:tcPr>
            <w:tcW w:w="3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Acquired at</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Loans Past</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 Discount</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Due 90</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12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 or</w:t>
            </w:r>
          </w:p>
        </w:tc>
        <w:tc>
          <w:tcPr>
            <w:tcW w:w="2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90 days</w:t>
            </w:r>
          </w:p>
        </w:tc>
        <w:tc>
          <w:tcPr>
            <w:tcW w:w="1080" w:type="dxa"/>
            <w:vAlign w:val="bottom"/>
            <w:gridSpan w:val="2"/>
            <w:vMerge w:val="continue"/>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80" w:type="dxa"/>
            <w:vAlign w:val="bottom"/>
          </w:tcPr>
          <w:p>
            <w:pPr>
              <w:spacing w:after="0"/>
              <w:rPr>
                <w:sz w:val="12"/>
                <w:szCs w:val="12"/>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More (a)</w:t>
            </w:r>
          </w:p>
        </w:tc>
        <w:tc>
          <w:tcPr>
            <w:tcW w:w="2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or More (b)</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Impaired (c)</w:t>
            </w: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4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$23,290,797</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184,011</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346,557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$23,838,168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26,311,414</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165,579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158,474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26,657,808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1,521,315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1,547,245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7,204,148</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95,346</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7,336,861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12,760,040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451,274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235,663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14,082,425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 limited</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documentation</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1,858,037</w:t>
            </w: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65,215</w:t>
            </w: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66,809</w:t>
            </w: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83,427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2,073,669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4,386,511</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63,215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5,484,997</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5,536,142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3,787,221</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78,478</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1,395,240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32,056</w:t>
            </w:r>
          </w:p>
        </w:tc>
        <w:tc>
          <w:tcPr>
            <w:tcW w:w="3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1,481,942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87,999,720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1,174,132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518,728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963,112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90,922,869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60" w:hanging="552"/>
        <w:spacing w:after="0"/>
        <w:tabs>
          <w:tab w:leader="none" w:pos="5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loans acquired at a discount.</w:t>
      </w:r>
    </w:p>
    <w:p>
      <w:pPr>
        <w:spacing w:after="0" w:line="9" w:lineRule="exact"/>
        <w:rPr>
          <w:rFonts w:ascii="Times New Roman" w:cs="Times New Roman" w:eastAsia="Times New Roman" w:hAnsi="Times New Roman"/>
          <w:sz w:val="18"/>
          <w:szCs w:val="18"/>
          <w:i w:val="1"/>
          <w:iCs w:val="1"/>
          <w:color w:val="auto"/>
        </w:rPr>
      </w:pPr>
    </w:p>
    <w:p>
      <w:pPr>
        <w:ind w:left="560" w:right="20" w:hanging="552"/>
        <w:spacing w:after="0" w:line="250" w:lineRule="auto"/>
        <w:tabs>
          <w:tab w:leader="none" w:pos="5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Loans acquired at a discount that were recorded at fair value at acquisition date. This category does not include purchased impaired loans that are presented separately.</w:t>
      </w:r>
    </w:p>
    <w:p>
      <w:pPr>
        <w:ind w:left="560" w:hanging="552"/>
        <w:spacing w:after="0"/>
        <w:tabs>
          <w:tab w:leader="none" w:pos="5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Accruing loans acquired at a discount that were impaired at acquisition date and recorded at fair value.</w:t>
      </w:r>
    </w:p>
    <w:p>
      <w:pPr>
        <w:spacing w:after="0" w:line="98"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A summary of outstanding loan balances for which COVID-19 related modifications were granted as of September 30, 2020 and June 30, 2020 is presented below. These loans meet the criteria described in note 1 and, as such, are not considered past due or otherwise in default of loan terms as of the dates presented.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60" w:type="dxa"/>
            <w:vAlign w:val="bottom"/>
          </w:tcPr>
          <w:p>
            <w:pPr>
              <w:spacing w:after="0"/>
              <w:rPr>
                <w:sz w:val="15"/>
                <w:szCs w:val="15"/>
                <w:color w:val="auto"/>
              </w:rPr>
            </w:pPr>
          </w:p>
        </w:tc>
      </w:tr>
      <w:tr>
        <w:trPr>
          <w:trHeight w:val="240"/>
        </w:trPr>
        <w:tc>
          <w:tcPr>
            <w:tcW w:w="4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2"/>
        </w:trPr>
        <w:tc>
          <w:tcPr>
            <w:tcW w:w="4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34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815,186</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5,302,196</w:t>
            </w:r>
          </w:p>
        </w:tc>
        <w:tc>
          <w:tcPr>
            <w:tcW w:w="6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4,452,846</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7,802,006</w:t>
            </w:r>
          </w:p>
        </w:tc>
        <w:tc>
          <w:tcPr>
            <w:tcW w:w="60" w:type="dxa"/>
            <w:vAlign w:val="bottom"/>
            <w:shd w:val="clear" w:color="auto" w:fill="CFF0FC"/>
          </w:tcPr>
          <w:p>
            <w:pPr>
              <w:spacing w:after="0"/>
              <w:rPr>
                <w:sz w:val="19"/>
                <w:szCs w:val="19"/>
                <w:color w:val="auto"/>
              </w:rPr>
            </w:pPr>
          </w:p>
        </w:tc>
      </w:tr>
      <w:tr>
        <w:trPr>
          <w:trHeight w:val="229"/>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6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671,378</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861,536</w:t>
            </w:r>
          </w:p>
        </w:tc>
        <w:tc>
          <w:tcPr>
            <w:tcW w:w="60" w:type="dxa"/>
            <w:vAlign w:val="bottom"/>
            <w:shd w:val="clear" w:color="auto" w:fill="CFF0FC"/>
          </w:tcPr>
          <w:p>
            <w:pPr>
              <w:spacing w:after="0"/>
              <w:rPr>
                <w:sz w:val="19"/>
                <w:szCs w:val="19"/>
                <w:color w:val="auto"/>
              </w:rPr>
            </w:pPr>
          </w:p>
        </w:tc>
      </w:tr>
      <w:tr>
        <w:trPr>
          <w:trHeight w:val="230"/>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2,852,740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1,737,483</w:t>
            </w:r>
          </w:p>
        </w:tc>
        <w:tc>
          <w:tcPr>
            <w:tcW w:w="6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454,378</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538,671</w:t>
            </w:r>
          </w:p>
        </w:tc>
        <w:tc>
          <w:tcPr>
            <w:tcW w:w="6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25,658</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88,162</w:t>
            </w:r>
          </w:p>
        </w:tc>
        <w:tc>
          <w:tcPr>
            <w:tcW w:w="60" w:type="dxa"/>
            <w:vAlign w:val="bottom"/>
            <w:shd w:val="clear" w:color="auto" w:fill="CFF0FC"/>
          </w:tcPr>
          <w:p>
            <w:pPr>
              <w:spacing w:after="0"/>
              <w:rPr>
                <w:sz w:val="19"/>
                <w:szCs w:val="19"/>
                <w:color w:val="auto"/>
              </w:rPr>
            </w:pPr>
          </w:p>
        </w:tc>
      </w:tr>
      <w:tr>
        <w:trPr>
          <w:trHeight w:val="230"/>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254,205</w:t>
            </w:r>
          </w:p>
        </w:tc>
        <w:tc>
          <w:tcPr>
            <w:tcW w:w="6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62,871</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326,113</w:t>
            </w:r>
          </w:p>
        </w:tc>
        <w:tc>
          <w:tcPr>
            <w:tcW w:w="60" w:type="dxa"/>
            <w:vAlign w:val="bottom"/>
            <w:shd w:val="clear" w:color="auto" w:fill="CFF0FC"/>
          </w:tcPr>
          <w:p>
            <w:pPr>
              <w:spacing w:after="0"/>
              <w:rPr>
                <w:sz w:val="19"/>
                <w:szCs w:val="19"/>
                <w:color w:val="auto"/>
              </w:rPr>
            </w:pPr>
          </w:p>
        </w:tc>
      </w:tr>
      <w:tr>
        <w:trPr>
          <w:trHeight w:val="229"/>
        </w:trPr>
        <w:tc>
          <w:tcPr>
            <w:tcW w:w="47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60" w:type="dxa"/>
            <w:vAlign w:val="bottom"/>
            <w:tcBorders>
              <w:bottom w:val="single" w:sz="8" w:color="CFF0FC"/>
            </w:tcBorders>
          </w:tcPr>
          <w:p>
            <w:pPr>
              <w:spacing w:after="0"/>
              <w:rPr>
                <w:sz w:val="19"/>
                <w:szCs w:val="19"/>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9,378,620</w:t>
            </w: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16,945,236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Substantially all of the loan modifications outstanding at September 30, 2020 are scheduled to expire in the fourth quarter of 2020. Should borrowers request further forbearance, the credit quality of the loans and the ability and willingness of borrowers to repay such loans will be re-assessed to determine whether the Company expects to receive all principal and interest payments due.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2"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One-to-four family residential mortgage loans held for sale were $571 million and $414 million at September 30, 2020 and December 31, 2019, respectively. Commercial real estate loans held for sale were $336 million at September 30, 2020 and $28 million at December 31, 2019.</w:t>
      </w:r>
    </w:p>
    <w:p>
      <w:pPr>
        <w:spacing w:after="0" w:line="202"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21"/>
          <w:szCs w:val="21"/>
          <w:color w:val="auto"/>
        </w:rPr>
        <w:t>The outstanding principal balance and the carrying amount of loans acquired at a discount that were recorded at fair value at the acquisition date for which interest income was recognized based on expected future cash flows that were included in the consolidated balance sheet at December 31, 2019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3"/>
        </w:trPr>
        <w:tc>
          <w:tcPr>
            <w:tcW w:w="4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769,414</w:t>
            </w:r>
          </w:p>
        </w:tc>
        <w:tc>
          <w:tcPr>
            <w:tcW w:w="60" w:type="dxa"/>
            <w:vAlign w:val="bottom"/>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21,114</w:t>
            </w:r>
          </w:p>
        </w:tc>
        <w:tc>
          <w:tcPr>
            <w:tcW w:w="60" w:type="dxa"/>
            <w:vAlign w:val="bottom"/>
            <w:shd w:val="clear" w:color="auto" w:fill="CFF0FC"/>
          </w:tcPr>
          <w:p>
            <w:pPr>
              <w:spacing w:after="0"/>
              <w:rPr>
                <w:sz w:val="19"/>
                <w:szCs w:val="19"/>
                <w:color w:val="auto"/>
              </w:rPr>
            </w:pPr>
          </w:p>
        </w:tc>
      </w:tr>
      <w:tr>
        <w:trPr>
          <w:trHeight w:val="230"/>
        </w:trPr>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94,890</w:t>
            </w:r>
          </w:p>
        </w:tc>
        <w:tc>
          <w:tcPr>
            <w:tcW w:w="60" w:type="dxa"/>
            <w:vAlign w:val="bottom"/>
          </w:tcPr>
          <w:p>
            <w:pPr>
              <w:spacing w:after="0"/>
              <w:rPr>
                <w:sz w:val="19"/>
                <w:szCs w:val="19"/>
                <w:color w:val="auto"/>
              </w:rPr>
            </w:pPr>
          </w:p>
        </w:tc>
      </w:tr>
      <w:tr>
        <w:trPr>
          <w:trHeight w:val="229"/>
        </w:trPr>
        <w:tc>
          <w:tcPr>
            <w:tcW w:w="4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341,807</w:t>
            </w:r>
          </w:p>
        </w:tc>
        <w:tc>
          <w:tcPr>
            <w:tcW w:w="60" w:type="dxa"/>
            <w:vAlign w:val="bottom"/>
            <w:shd w:val="clear" w:color="auto" w:fill="CFF0FC"/>
          </w:tcPr>
          <w:p>
            <w:pPr>
              <w:spacing w:after="0"/>
              <w:rPr>
                <w:sz w:val="19"/>
                <w:szCs w:val="19"/>
                <w:color w:val="auto"/>
              </w:rPr>
            </w:pPr>
          </w:p>
        </w:tc>
      </w:tr>
      <w:tr>
        <w:trPr>
          <w:trHeight w:val="229"/>
        </w:trPr>
        <w:tc>
          <w:tcPr>
            <w:tcW w:w="41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77,785</w:t>
            </w:r>
          </w:p>
        </w:tc>
        <w:tc>
          <w:tcPr>
            <w:tcW w:w="60" w:type="dxa"/>
            <w:vAlign w:val="bottom"/>
            <w:tcBorders>
              <w:bottom w:val="single" w:sz="8" w:color="CFF0FC"/>
            </w:tcBorders>
          </w:tcPr>
          <w:p>
            <w:pPr>
              <w:spacing w:after="0"/>
              <w:rPr>
                <w:sz w:val="19"/>
                <w:szCs w:val="19"/>
                <w:color w:val="auto"/>
              </w:rPr>
            </w:pPr>
          </w:p>
        </w:tc>
      </w:tr>
      <w:tr>
        <w:trPr>
          <w:trHeight w:val="223"/>
        </w:trPr>
        <w:tc>
          <w:tcPr>
            <w:tcW w:w="41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535,596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Purchased impaired loans included in the table above totaled $228 million at December 31, 2019, representing less than 1% of the Company’s assets at that date. A summary of changes in the accretable yield for loans acquired at a discount for the three months and nine months ended September 30, 2019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0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020" w:type="dxa"/>
            <w:vAlign w:val="bottom"/>
          </w:tcPr>
          <w:p>
            <w:pPr>
              <w:spacing w:after="0"/>
              <w:rPr>
                <w:sz w:val="15"/>
                <w:szCs w:val="15"/>
                <w:color w:val="auto"/>
              </w:rPr>
            </w:pPr>
          </w:p>
        </w:tc>
        <w:tc>
          <w:tcPr>
            <w:tcW w:w="20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9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144"/>
        </w:trPr>
        <w:tc>
          <w:tcPr>
            <w:tcW w:w="502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7"/>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5"/>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r>
      <w:tr>
        <w:trPr>
          <w:trHeight w:val="173"/>
        </w:trPr>
        <w:tc>
          <w:tcPr>
            <w:tcW w:w="502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Impaired</w:t>
            </w:r>
          </w:p>
        </w:tc>
        <w:tc>
          <w:tcPr>
            <w:tcW w:w="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Impaired</w:t>
            </w: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Acquired</w:t>
            </w:r>
          </w:p>
        </w:tc>
      </w:tr>
      <w:tr>
        <w:trPr>
          <w:trHeight w:val="186"/>
        </w:trPr>
        <w:tc>
          <w:tcPr>
            <w:tcW w:w="50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46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$ 147,104</w:t>
            </w:r>
          </w:p>
        </w:tc>
        <w:tc>
          <w:tcPr>
            <w:tcW w:w="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90,911</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$ 147,210</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96,907</w:t>
            </w:r>
          </w:p>
        </w:tc>
        <w:tc>
          <w:tcPr>
            <w:tcW w:w="80" w:type="dxa"/>
            <w:vAlign w:val="bottom"/>
          </w:tcPr>
          <w:p>
            <w:pPr>
              <w:spacing w:after="0"/>
              <w:rPr>
                <w:sz w:val="24"/>
                <w:szCs w:val="24"/>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(9,564)</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(9,238)</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(37,278)</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(28,621)</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from nonaccretable balance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$ 146,619</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85,704</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$ 146,619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85,704</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Other changes in expected cash flows included changes in interest rates and prepayment assumptions.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Credit quality indicators</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w:t>
      </w:r>
    </w:p>
    <w:p>
      <w:pPr>
        <w:spacing w:after="0" w:line="7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Loan officers in different geographic locations with the support of the Company’s credit department personnel continuously review and reassign loan grades based on their detailed knowledge of individual borrowers and their judgment of the impact on such borrowers resulting from changing conditions in their respective regions. Factors considered in assigning loan grades include borrower-specific information related to expected future cash flows and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operating results, collateral values, geographic location, financial condition and performance, payment status, and other information.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w:t>
      </w:r>
    </w:p>
    <w:p>
      <w:pPr>
        <w:spacing w:after="0" w:line="75"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loan grades applied at September 30, 2020 to the various classes of the Company’s commercial loans and commercial real estate loans by origination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Revolving</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Converted</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9"/>
          </w:tcPr>
          <w:p>
            <w:pPr>
              <w:ind w:left="600"/>
              <w:spacing w:after="0"/>
              <w:rPr>
                <w:sz w:val="20"/>
                <w:szCs w:val="20"/>
                <w:color w:val="auto"/>
              </w:rPr>
            </w:pPr>
            <w:r>
              <w:rPr>
                <w:rFonts w:ascii="Times New Roman" w:cs="Times New Roman" w:eastAsia="Times New Roman" w:hAnsi="Times New Roman"/>
                <w:sz w:val="16"/>
                <w:szCs w:val="16"/>
                <w:b w:val="1"/>
                <w:bCs w:val="1"/>
                <w:color w:val="auto"/>
              </w:rPr>
              <w:t>Term Loans by Origination Year</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Revolving</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to Term</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8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Commercial, financial, leasing, etc.: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Pass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8,209,336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2,387,719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1,638,389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1,001,452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816,518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1,488,463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10,444,292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27,536</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26,013,705</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Criticized accrual</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389,682</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75,106</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141,774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50,144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45,345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57,137</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758,594</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1,527,315</w:t>
            </w: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49,840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18,790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165,625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350,628</w:t>
            </w:r>
          </w:p>
        </w:tc>
        <w:tc>
          <w:tcPr>
            <w:tcW w:w="100" w:type="dxa"/>
            <w:vAlign w:val="bottom"/>
          </w:tcPr>
          <w:p>
            <w:pPr>
              <w:spacing w:after="0"/>
              <w:rPr>
                <w:sz w:val="18"/>
                <w:szCs w:val="18"/>
                <w:color w:val="auto"/>
              </w:rPr>
            </w:pPr>
          </w:p>
        </w:tc>
      </w:tr>
      <w:tr>
        <w:trPr>
          <w:trHeight w:val="198"/>
        </w:trPr>
        <w:tc>
          <w:tcPr>
            <w:tcW w:w="2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commercial, financial,</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leasing, etc.</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8,601,811</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2,486,371</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1,830,003</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1,068,052</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880,653</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1,612,010</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11,368,511</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44,237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27,891,648</w:t>
            </w:r>
          </w:p>
        </w:tc>
        <w:tc>
          <w:tcPr>
            <w:tcW w:w="100" w:type="dxa"/>
            <w:vAlign w:val="bottom"/>
            <w:shd w:val="clear" w:color="auto" w:fill="CFF0FC"/>
          </w:tcPr>
          <w:p>
            <w:pPr>
              <w:spacing w:after="0"/>
              <w:rPr>
                <w:sz w:val="18"/>
                <w:szCs w:val="18"/>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9"/>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Commercial: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Pass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2,773,454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4,911,992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3,458,071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2,851,599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2,823,120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6,188,879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810,180</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23,817,295</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Criticized accrual</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343,722</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436,191</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531,848</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294,994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728,208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1,252,953</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51,535</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3,639,451</w:t>
            </w: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21,507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149,629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252,515</w:t>
            </w:r>
          </w:p>
        </w:tc>
        <w:tc>
          <w:tcPr>
            <w:tcW w:w="100" w:type="dxa"/>
            <w:vAlign w:val="bottom"/>
          </w:tcPr>
          <w:p>
            <w:pPr>
              <w:spacing w:after="0"/>
              <w:rPr>
                <w:sz w:val="18"/>
                <w:szCs w:val="18"/>
                <w:color w:val="auto"/>
              </w:rPr>
            </w:pPr>
          </w:p>
        </w:tc>
      </w:tr>
      <w:tr>
        <w:trPr>
          <w:trHeight w:val="210"/>
        </w:trPr>
        <w:tc>
          <w:tcPr>
            <w:tcW w:w="2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3,117,418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5,391,525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3,995,087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3,178,099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3,572,835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7,591,461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862,836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27,709,261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Residential builder and developer:</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2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Loan grades: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Pass</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399,778</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399,923</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207,188</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26,378</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14,190</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233,182</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1,292,307</w:t>
            </w: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Criticized 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1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68,838</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Criticized nonaccrual</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shd w:val="clear" w:color="auto" w:fill="CFF0FC"/>
          </w:tcPr>
          <w:p>
            <w:pPr>
              <w:spacing w:after="0"/>
              <w:rPr>
                <w:sz w:val="19"/>
                <w:szCs w:val="19"/>
                <w:color w:val="auto"/>
              </w:rPr>
            </w:pPr>
          </w:p>
        </w:tc>
      </w:tr>
      <w:tr>
        <w:trPr>
          <w:trHeight w:val="196"/>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Total residential builder and</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3"/>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developer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432,219</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413,185</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222,443</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11,668</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16,915</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236,749</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1,362,978</w:t>
            </w:r>
          </w:p>
        </w:tc>
        <w:tc>
          <w:tcPr>
            <w:tcW w:w="100" w:type="dxa"/>
            <w:vAlign w:val="bottom"/>
          </w:tcPr>
          <w:p>
            <w:pPr>
              <w:spacing w:after="0"/>
              <w:rPr>
                <w:sz w:val="22"/>
                <w:szCs w:val="22"/>
                <w:color w:val="auto"/>
              </w:rPr>
            </w:pPr>
          </w:p>
        </w:tc>
      </w:tr>
      <w:tr>
        <w:trPr>
          <w:trHeight w:val="200"/>
        </w:trPr>
        <w:tc>
          <w:tcPr>
            <w:tcW w:w="25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Other commercial construction: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Pass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721,942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2,613,554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2,229,748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1,137,823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352,930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299,184</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77,873</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7,433,054</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Criticized accrual</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26,338</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223,956</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365,284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243,108</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166,048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14,430</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1,039,164</w:t>
            </w: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37,627</w:t>
            </w:r>
          </w:p>
        </w:tc>
        <w:tc>
          <w:tcPr>
            <w:tcW w:w="100" w:type="dxa"/>
            <w:vAlign w:val="bottom"/>
          </w:tcPr>
          <w:p>
            <w:pPr>
              <w:spacing w:after="0"/>
              <w:rPr>
                <w:sz w:val="18"/>
                <w:szCs w:val="18"/>
                <w:color w:val="auto"/>
              </w:rPr>
            </w:pPr>
          </w:p>
        </w:tc>
      </w:tr>
      <w:tr>
        <w:trPr>
          <w:trHeight w:val="198"/>
        </w:trPr>
        <w:tc>
          <w:tcPr>
            <w:tcW w:w="2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commercial</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construction</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748,280</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2,837,510</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2,595,032</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1,385,271</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522,232</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338,527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82,993</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8,509,845</w:t>
            </w:r>
          </w:p>
        </w:tc>
        <w:tc>
          <w:tcPr>
            <w:tcW w:w="100" w:type="dxa"/>
            <w:vAlign w:val="bottom"/>
            <w:shd w:val="clear" w:color="auto" w:fill="CFF0FC"/>
          </w:tcPr>
          <w:p>
            <w:pPr>
              <w:spacing w:after="0"/>
              <w:rPr>
                <w:sz w:val="18"/>
                <w:szCs w:val="18"/>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2"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Increases to criticized loans during 2020 were predominantly attributable to effects of the COVID-19 pandemic and the related re-grading of loans.</w:t>
      </w:r>
    </w:p>
    <w:p>
      <w:pPr>
        <w:spacing w:after="0" w:line="5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The Company considers repayment performance a significant indicator of credit quality for its residential real estate loan and consumer loan portfolios. A summary of loans in accrual and nonaccrual status at September 30, 2020 for the various classes of the Company’s residential real estate loans and consumer loans by origination year is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Revolving</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Converted</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8"/>
          </w:tcPr>
          <w:p>
            <w:pPr>
              <w:ind w:left="540"/>
              <w:spacing w:after="0"/>
              <w:rPr>
                <w:sz w:val="20"/>
                <w:szCs w:val="20"/>
                <w:color w:val="auto"/>
              </w:rPr>
            </w:pPr>
            <w:r>
              <w:rPr>
                <w:rFonts w:ascii="Times New Roman" w:cs="Times New Roman" w:eastAsia="Times New Roman" w:hAnsi="Times New Roman"/>
                <w:sz w:val="16"/>
                <w:szCs w:val="16"/>
                <w:b w:val="1"/>
                <w:bCs w:val="1"/>
                <w:color w:val="auto"/>
              </w:rPr>
              <w:t>Term Loans by Origination Year</w:t>
            </w: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Revolving</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to Term</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9"/>
                <w:szCs w:val="19"/>
                <w:color w:val="auto"/>
              </w:rPr>
            </w:pPr>
          </w:p>
        </w:tc>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Pr>
          <w:p>
            <w:pPr>
              <w:spacing w:after="0"/>
              <w:rPr>
                <w:sz w:val="19"/>
                <w:szCs w:val="19"/>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00" w:type="dxa"/>
            <w:vAlign w:val="bottom"/>
          </w:tcPr>
          <w:p>
            <w:pPr>
              <w:spacing w:after="0"/>
              <w:rPr>
                <w:sz w:val="19"/>
                <w:szCs w:val="19"/>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8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2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27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2,089,095</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1,489,244</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664,588</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1,282,631</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756,137</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7,583,780</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68,834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13,934,309</w:t>
            </w:r>
          </w:p>
        </w:tc>
        <w:tc>
          <w:tcPr>
            <w:tcW w:w="100" w:type="dxa"/>
            <w:vAlign w:val="bottom"/>
            <w:shd w:val="clear" w:color="auto" w:fill="CFF0FC"/>
          </w:tcPr>
          <w:p>
            <w:pPr>
              <w:spacing w:after="0"/>
              <w:rPr>
                <w:sz w:val="19"/>
                <w:szCs w:val="19"/>
                <w:color w:val="auto"/>
              </w:rPr>
            </w:pPr>
          </w:p>
        </w:tc>
      </w:tr>
      <w:tr>
        <w:trPr>
          <w:trHeight w:val="229"/>
        </w:trPr>
        <w:tc>
          <w:tcPr>
            <w:tcW w:w="2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30-89 days past due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8,534</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143,058</w:t>
            </w: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185,420</w:t>
            </w:r>
          </w:p>
        </w:tc>
        <w:tc>
          <w:tcPr>
            <w:tcW w:w="100" w:type="dxa"/>
            <w:vAlign w:val="bottom"/>
          </w:tcPr>
          <w:p>
            <w:pPr>
              <w:spacing w:after="0"/>
              <w:rPr>
                <w:sz w:val="19"/>
                <w:szCs w:val="19"/>
                <w:color w:val="auto"/>
              </w:rPr>
            </w:pPr>
          </w:p>
        </w:tc>
      </w:tr>
      <w:tr>
        <w:trPr>
          <w:trHeight w:val="211"/>
        </w:trPr>
        <w:tc>
          <w:tcPr>
            <w:tcW w:w="2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Accruing loans past due 90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2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days or more</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9,213</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26,596</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124,510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30,048</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312,696</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503,450</w:t>
            </w:r>
          </w:p>
        </w:tc>
        <w:tc>
          <w:tcPr>
            <w:tcW w:w="100" w:type="dxa"/>
            <w:vAlign w:val="bottom"/>
            <w:shd w:val="clear" w:color="auto" w:fill="CFF0FC"/>
          </w:tcPr>
          <w:p>
            <w:pPr>
              <w:spacing w:after="0"/>
              <w:rPr>
                <w:sz w:val="20"/>
                <w:szCs w:val="20"/>
                <w:color w:val="auto"/>
              </w:rPr>
            </w:pPr>
          </w:p>
        </w:tc>
      </w:tr>
      <w:tr>
        <w:trPr>
          <w:trHeight w:val="229"/>
        </w:trPr>
        <w:tc>
          <w:tcPr>
            <w:tcW w:w="272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2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2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284,167</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297,636</w:t>
            </w:r>
          </w:p>
        </w:tc>
        <w:tc>
          <w:tcPr>
            <w:tcW w:w="100" w:type="dxa"/>
            <w:vAlign w:val="bottom"/>
            <w:tcBorders>
              <w:bottom w:val="single" w:sz="8" w:color="CFF0FC"/>
            </w:tcBorders>
          </w:tcPr>
          <w:p>
            <w:pPr>
              <w:spacing w:after="0"/>
              <w:rPr>
                <w:sz w:val="19"/>
                <w:szCs w:val="19"/>
                <w:color w:val="auto"/>
              </w:rPr>
            </w:pPr>
          </w:p>
        </w:tc>
      </w:tr>
      <w:tr>
        <w:trPr>
          <w:trHeight w:val="223"/>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residential</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2,094,562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1,511,581</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698,071</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1,429,915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793,945</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8,323,701</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69,040</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14,920,815</w:t>
            </w:r>
          </w:p>
        </w:tc>
        <w:tc>
          <w:tcPr>
            <w:tcW w:w="100" w:type="dxa"/>
            <w:vAlign w:val="bottom"/>
            <w:shd w:val="clear" w:color="auto" w:fill="CFF0FC"/>
          </w:tcPr>
          <w:p>
            <w:pPr>
              <w:spacing w:after="0"/>
              <w:rPr>
                <w:sz w:val="19"/>
                <w:szCs w:val="19"/>
                <w:color w:val="auto"/>
              </w:rPr>
            </w:pPr>
          </w:p>
        </w:tc>
      </w:tr>
      <w:tr>
        <w:trPr>
          <w:trHeight w:val="20"/>
        </w:trPr>
        <w:tc>
          <w:tcPr>
            <w:tcW w:w="27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1,606,130</w:t>
            </w: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1,606,130</w:t>
            </w:r>
          </w:p>
        </w:tc>
        <w:tc>
          <w:tcPr>
            <w:tcW w:w="100" w:type="dxa"/>
            <w:vAlign w:val="bottom"/>
          </w:tcPr>
          <w:p>
            <w:pPr>
              <w:spacing w:after="0"/>
              <w:rPr>
                <w:sz w:val="19"/>
                <w:szCs w:val="19"/>
                <w:color w:val="auto"/>
              </w:rPr>
            </w:pPr>
          </w:p>
        </w:tc>
      </w:tr>
      <w:tr>
        <w:trPr>
          <w:trHeight w:val="229"/>
        </w:trPr>
        <w:tc>
          <w:tcPr>
            <w:tcW w:w="27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30-89 days past due</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20,980</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20,980</w:t>
            </w:r>
          </w:p>
        </w:tc>
        <w:tc>
          <w:tcPr>
            <w:tcW w:w="100" w:type="dxa"/>
            <w:vAlign w:val="bottom"/>
            <w:shd w:val="clear" w:color="auto" w:fill="CFF0FC"/>
          </w:tcPr>
          <w:p>
            <w:pPr>
              <w:spacing w:after="0"/>
              <w:rPr>
                <w:sz w:val="19"/>
                <w:szCs w:val="19"/>
                <w:color w:val="auto"/>
              </w:rPr>
            </w:pPr>
          </w:p>
        </w:tc>
      </w:tr>
      <w:tr>
        <w:trPr>
          <w:trHeight w:val="211"/>
        </w:trPr>
        <w:tc>
          <w:tcPr>
            <w:tcW w:w="2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Accruing loans past due 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days or more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27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115,783</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115,783</w:t>
            </w:r>
          </w:p>
        </w:tc>
        <w:tc>
          <w:tcPr>
            <w:tcW w:w="100" w:type="dxa"/>
            <w:vAlign w:val="bottom"/>
            <w:shd w:val="clear" w:color="auto" w:fill="CFF0FC"/>
          </w:tcPr>
          <w:p>
            <w:pPr>
              <w:spacing w:after="0"/>
              <w:rPr>
                <w:sz w:val="19"/>
                <w:szCs w:val="19"/>
                <w:color w:val="auto"/>
              </w:rPr>
            </w:pPr>
          </w:p>
        </w:tc>
      </w:tr>
      <w:tr>
        <w:trPr>
          <w:trHeight w:val="205"/>
        </w:trPr>
        <w:tc>
          <w:tcPr>
            <w:tcW w:w="2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residential - limited</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74"/>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documentation</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1,742,893</w:t>
            </w:r>
          </w:p>
        </w:tc>
        <w:tc>
          <w:tcPr>
            <w:tcW w:w="2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1,742,893</w:t>
            </w:r>
          </w:p>
        </w:tc>
        <w:tc>
          <w:tcPr>
            <w:tcW w:w="100" w:type="dxa"/>
            <w:vAlign w:val="bottom"/>
          </w:tcPr>
          <w:p>
            <w:pPr>
              <w:spacing w:after="0"/>
              <w:rPr>
                <w:sz w:val="23"/>
                <w:szCs w:val="23"/>
                <w:color w:val="auto"/>
              </w:rPr>
            </w:pPr>
          </w:p>
        </w:tc>
      </w:tr>
      <w:tr>
        <w:trPr>
          <w:trHeight w:val="210"/>
        </w:trPr>
        <w:tc>
          <w:tcPr>
            <w:tcW w:w="27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57,998</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2,622,825</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1,310,702</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4,000,829</w:t>
            </w:r>
          </w:p>
        </w:tc>
        <w:tc>
          <w:tcPr>
            <w:tcW w:w="100" w:type="dxa"/>
            <w:vAlign w:val="bottom"/>
          </w:tcPr>
          <w:p>
            <w:pPr>
              <w:spacing w:after="0"/>
              <w:rPr>
                <w:sz w:val="19"/>
                <w:szCs w:val="19"/>
                <w:color w:val="auto"/>
              </w:rPr>
            </w:pPr>
          </w:p>
        </w:tc>
      </w:tr>
      <w:tr>
        <w:trPr>
          <w:trHeight w:val="230"/>
        </w:trPr>
        <w:tc>
          <w:tcPr>
            <w:tcW w:w="27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30-89 days past due</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18,954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22,209</w:t>
            </w:r>
          </w:p>
        </w:tc>
        <w:tc>
          <w:tcPr>
            <w:tcW w:w="100" w:type="dxa"/>
            <w:vAlign w:val="bottom"/>
            <w:shd w:val="clear" w:color="auto" w:fill="CFF0FC"/>
          </w:tcPr>
          <w:p>
            <w:pPr>
              <w:spacing w:after="0"/>
              <w:rPr>
                <w:sz w:val="19"/>
                <w:szCs w:val="19"/>
                <w:color w:val="auto"/>
              </w:rPr>
            </w:pPr>
          </w:p>
        </w:tc>
      </w:tr>
      <w:tr>
        <w:trPr>
          <w:trHeight w:val="211"/>
        </w:trPr>
        <w:tc>
          <w:tcPr>
            <w:tcW w:w="2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Accruing loans past due 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days or more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27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5,018</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6,988</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66,742</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78,820</w:t>
            </w:r>
          </w:p>
        </w:tc>
        <w:tc>
          <w:tcPr>
            <w:tcW w:w="100" w:type="dxa"/>
            <w:vAlign w:val="bottom"/>
            <w:shd w:val="clear" w:color="auto" w:fill="CFF0FC"/>
          </w:tcPr>
          <w:p>
            <w:pPr>
              <w:spacing w:after="0"/>
              <w:rPr>
                <w:sz w:val="19"/>
                <w:szCs w:val="19"/>
                <w:color w:val="auto"/>
              </w:rPr>
            </w:pPr>
          </w:p>
        </w:tc>
      </w:tr>
      <w:tr>
        <w:trPr>
          <w:trHeight w:val="26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 home equity lines and loans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64,825</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2,631,187</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1,396,398</w:t>
            </w:r>
          </w:p>
        </w:tc>
        <w:tc>
          <w:tcPr>
            <w:tcW w:w="2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4,101,858</w:t>
            </w:r>
          </w:p>
        </w:tc>
        <w:tc>
          <w:tcPr>
            <w:tcW w:w="100" w:type="dxa"/>
            <w:vAlign w:val="bottom"/>
          </w:tcPr>
          <w:p>
            <w:pPr>
              <w:spacing w:after="0"/>
              <w:rPr>
                <w:sz w:val="22"/>
                <w:szCs w:val="22"/>
                <w:color w:val="auto"/>
              </w:rPr>
            </w:pPr>
          </w:p>
        </w:tc>
      </w:tr>
      <w:tr>
        <w:trPr>
          <w:trHeight w:val="210"/>
        </w:trPr>
        <w:tc>
          <w:tcPr>
            <w:tcW w:w="27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Revolving</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Converted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6"/>
                <w:szCs w:val="16"/>
                <w:b w:val="1"/>
                <w:bCs w:val="1"/>
                <w:color w:val="auto"/>
              </w:rPr>
              <w:t>Term Loans by Origination Year</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Revolving</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to Term</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9"/>
                <w:szCs w:val="19"/>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9"/>
                <w:szCs w:val="19"/>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19"/>
                <w:szCs w:val="19"/>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8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00" w:type="dxa"/>
            <w:vAlign w:val="bottom"/>
          </w:tcPr>
          <w:p>
            <w:pPr>
              <w:spacing w:after="0"/>
              <w:rPr>
                <w:sz w:val="19"/>
                <w:szCs w:val="19"/>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Recreational finance: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2,323,314</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1,881,732</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969,243</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674,896</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379,441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609,500</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6,838,126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30-89 days past due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6,755</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6,786</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Accruing loans past due</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90 days or more</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Nonaccrual</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3,790</w:t>
            </w: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8,572</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recreational finance</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2,329,758</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1,894,766</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979,788</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684,162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384,988</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624,858</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6,898,320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Automobile:</w:t>
            </w: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1,084,223</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1,223,790</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711,515</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513,607</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208,741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88,092</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3,829,968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30-89 days past due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10,573</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Accruing loans past due</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90 days or more</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Nonaccrual</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11,224</w:t>
            </w: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11,010</w:t>
            </w:r>
          </w:p>
        </w:tc>
        <w:tc>
          <w:tcPr>
            <w:tcW w:w="1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6,461</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4,681</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42,374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automobile</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1,088,351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1,242,117</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733,932</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534,743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220,372</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95,733</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3,915,248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132,769</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154,094</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62,966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6,252</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31,356</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908,567</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1,337,042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30-89 days past due</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6,954</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Accruing loans past due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90 days or more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Nonaccrual</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2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35,186</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 other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136,183</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155,430</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63,945</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6,324</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32,596</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957,394</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1,394,182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 loans and leases at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18,549,250</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15,936,862</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11,120,334</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8,351,948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6,393,180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20,443,519</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16,208,710</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1,443,245</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98,447,048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loan grades applied at December 31, 2019 to the various classes of the Company’s commercial loans and commercial real estate loans.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144"/>
        </w:trPr>
        <w:tc>
          <w:tcPr>
            <w:tcW w:w="4600" w:type="dxa"/>
            <w:vAlign w:val="bottom"/>
          </w:tcPr>
          <w:p>
            <w:pPr>
              <w:spacing w:after="0"/>
              <w:rPr>
                <w:sz w:val="12"/>
                <w:szCs w:val="12"/>
                <w:color w:val="auto"/>
              </w:rPr>
            </w:pPr>
          </w:p>
        </w:tc>
        <w:tc>
          <w:tcPr>
            <w:tcW w:w="11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62"/>
        </w:trPr>
        <w:tc>
          <w:tcPr>
            <w:tcW w:w="460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Builder and</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60" w:type="dxa"/>
            <w:vAlign w:val="bottom"/>
          </w:tcPr>
          <w:p>
            <w:pPr>
              <w:spacing w:after="0"/>
              <w:rPr>
                <w:sz w:val="14"/>
                <w:szCs w:val="14"/>
                <w:color w:val="auto"/>
              </w:rPr>
            </w:pPr>
          </w:p>
        </w:tc>
      </w:tr>
      <w:tr>
        <w:trPr>
          <w:trHeight w:val="173"/>
        </w:trPr>
        <w:tc>
          <w:tcPr>
            <w:tcW w:w="4600" w:type="dxa"/>
            <w:vAlign w:val="bottom"/>
          </w:tcPr>
          <w:p>
            <w:pPr>
              <w:spacing w:after="0"/>
              <w:rPr>
                <w:sz w:val="15"/>
                <w:szCs w:val="15"/>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Leasing, etc.</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Developer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2260" w:type="dxa"/>
            <w:vAlign w:val="bottom"/>
          </w:tcPr>
          <w:p>
            <w:pPr>
              <w:spacing w:after="0"/>
              <w:rPr>
                <w:sz w:val="15"/>
                <w:szCs w:val="15"/>
                <w:color w:val="auto"/>
              </w:rPr>
            </w:pPr>
          </w:p>
        </w:tc>
      </w:tr>
      <w:tr>
        <w:trPr>
          <w:trHeight w:val="210"/>
        </w:trPr>
        <w:tc>
          <w:tcPr>
            <w:tcW w:w="46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$22,595,821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25,728,725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1,419,162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7,092,799</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Criticized accrual</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895,790</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770,609</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124,101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211,292</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Criticized nonaccrual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346,557</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158,474</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32,770</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23,838,168</w:t>
            </w:r>
          </w:p>
        </w:tc>
        <w:tc>
          <w:tcPr>
            <w:tcW w:w="2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26,657,808</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1,547,245</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7,336,861</w:t>
            </w:r>
          </w:p>
        </w:tc>
        <w:tc>
          <w:tcPr>
            <w:tcW w:w="80" w:type="dxa"/>
            <w:vAlign w:val="bottom"/>
            <w:tcBorders>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656"/>
        </w:trPr>
        <w:tc>
          <w:tcPr>
            <w:tcW w:w="46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right="5500" w:firstLine="8"/>
        <w:spacing w:after="0" w:line="349" w:lineRule="auto"/>
        <w:tabs>
          <w:tab w:leader="none" w:pos="207"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Loans and leases and the allowance for credit losses, continued </w:t>
      </w:r>
      <w:r>
        <w:rPr>
          <w:rFonts w:ascii="Times New Roman" w:cs="Times New Roman" w:eastAsia="Times New Roman" w:hAnsi="Times New Roman"/>
          <w:sz w:val="21"/>
          <w:szCs w:val="21"/>
          <w:b w:val="1"/>
          <w:bCs w:val="1"/>
          <w:i w:val="1"/>
          <w:iCs w:val="1"/>
          <w:color w:val="auto"/>
        </w:rPr>
        <w:t>Allowance for credit losses</w:t>
      </w:r>
    </w:p>
    <w:p>
      <w:pPr>
        <w:spacing w:after="0" w:line="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For purposes of determining the level of the allowance for credit losses, the Company evaluates its loan and lease portfolio by loan type. Changes in the allowance for credit losses for the three months ended September 30, 2020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32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7"/>
              </w:rPr>
              <w:t>Financial,</w:t>
            </w:r>
          </w:p>
        </w:tc>
        <w:tc>
          <w:tcPr>
            <w:tcW w:w="2320" w:type="dxa"/>
            <w:vAlign w:val="bottom"/>
            <w:gridSpan w:val="5"/>
            <w:vMerge w:val="continue"/>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020" w:type="dxa"/>
            <w:vAlign w:val="bottom"/>
            <w:tcBorders>
              <w:top w:val="single" w:sz="8" w:color="auto"/>
            </w:tcBorders>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40" w:type="dxa"/>
            <w:vAlign w:val="bottom"/>
          </w:tcPr>
          <w:p>
            <w:pPr>
              <w:spacing w:after="0"/>
              <w:rPr>
                <w:sz w:val="13"/>
                <w:szCs w:val="13"/>
                <w:color w:val="auto"/>
              </w:rPr>
            </w:pPr>
          </w:p>
        </w:tc>
        <w:tc>
          <w:tcPr>
            <w:tcW w:w="116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20" w:type="dxa"/>
            <w:vAlign w:val="bottom"/>
          </w:tcPr>
          <w:p>
            <w:pPr>
              <w:spacing w:after="0"/>
              <w:rPr>
                <w:sz w:val="13"/>
                <w:szCs w:val="13"/>
                <w:color w:val="auto"/>
              </w:rPr>
            </w:pPr>
          </w:p>
        </w:tc>
        <w:tc>
          <w:tcPr>
            <w:tcW w:w="96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9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398,257</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576,321</w:t>
            </w:r>
          </w:p>
        </w:tc>
        <w:tc>
          <w:tcPr>
            <w:tcW w:w="2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118,921</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544,737</w:t>
            </w:r>
          </w:p>
        </w:tc>
        <w:tc>
          <w:tcPr>
            <w:tcW w:w="3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$ 1,638,236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87,403</w:t>
            </w:r>
          </w:p>
        </w:tc>
        <w:tc>
          <w:tcPr>
            <w:tcW w:w="20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(683)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37,830</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(14,434)</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(4,522)</w:t>
            </w:r>
          </w:p>
        </w:tc>
        <w:tc>
          <w:tcPr>
            <w:tcW w:w="13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(1,516)</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(31,754)</w:t>
            </w: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(52,226)</w:t>
            </w: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413,748</w:t>
            </w:r>
          </w:p>
        </w:tc>
        <w:tc>
          <w:tcPr>
            <w:tcW w:w="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117,682</w:t>
            </w:r>
          </w:p>
        </w:tc>
        <w:tc>
          <w:tcPr>
            <w:tcW w:w="3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565,295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$ 1,758,505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three months ended September 30, 2019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3"/>
                <w:szCs w:val="13"/>
                <w:color w:val="auto"/>
              </w:rPr>
            </w:pPr>
          </w:p>
        </w:tc>
        <w:tc>
          <w:tcPr>
            <w:tcW w:w="2100" w:type="dxa"/>
            <w:vAlign w:val="bottom"/>
            <w:gridSpan w:val="4"/>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5"/>
                <w:szCs w:val="15"/>
                <w:color w:val="auto"/>
              </w:rPr>
            </w:pPr>
          </w:p>
        </w:tc>
        <w:tc>
          <w:tcPr>
            <w:tcW w:w="2100" w:type="dxa"/>
            <w:vAlign w:val="bottom"/>
            <w:gridSpan w:val="4"/>
            <w:vMerge w:val="continue"/>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98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2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00" w:type="dxa"/>
            <w:vAlign w:val="bottom"/>
          </w:tcPr>
          <w:p>
            <w:pPr>
              <w:spacing w:after="0"/>
              <w:rPr>
                <w:sz w:val="13"/>
                <w:szCs w:val="13"/>
                <w:color w:val="auto"/>
              </w:rPr>
            </w:pPr>
          </w:p>
        </w:tc>
        <w:tc>
          <w:tcPr>
            <w:tcW w:w="104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9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335,855</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343,296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211,220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78,485</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$ 1,029,867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24,538</w:t>
            </w:r>
          </w:p>
        </w:tc>
        <w:tc>
          <w:tcPr>
            <w:tcW w:w="180" w:type="dxa"/>
            <w:vAlign w:val="bottom"/>
          </w:tcPr>
          <w:p>
            <w:pPr>
              <w:spacing w:after="0"/>
              <w:rPr>
                <w:sz w:val="19"/>
                <w:szCs w:val="19"/>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(16,713)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37,735</w:t>
            </w:r>
          </w:p>
        </w:tc>
        <w:tc>
          <w:tcPr>
            <w:tcW w:w="3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(15,678)</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(1,107)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(40,735)</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(60,241)</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13,914</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(charge-offs) recoveries</w:t>
            </w: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(26,821)</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351,445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327,132</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59,492</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222,134</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$ 1,038,437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nine months ended September 30, 2020 were as follows:</w:t>
      </w:r>
    </w:p>
    <w:tbl>
      <w:tblPr>
        <w:tblLayout w:type="fixed"/>
        <w:tblInd w:w="0" w:type="dxa"/>
        <w:tblCellMar>
          <w:top w:w="0" w:type="dxa"/>
          <w:left w:w="0" w:type="dxa"/>
          <w:bottom w:w="0" w:type="dxa"/>
          <w:right w:w="0" w:type="dxa"/>
        </w:tblCellMar>
      </w:tblPr>
      <w:tr>
        <w:trPr>
          <w:trHeight w:val="158"/>
        </w:trPr>
        <w:tc>
          <w:tcPr>
            <w:tcW w:w="4980" w:type="dxa"/>
            <w:vAlign w:val="bottom"/>
          </w:tcPr>
          <w:p>
            <w:pPr>
              <w:spacing w:after="0"/>
              <w:rPr>
                <w:sz w:val="13"/>
                <w:szCs w:val="13"/>
                <w:color w:val="auto"/>
              </w:rPr>
            </w:pPr>
          </w:p>
        </w:tc>
        <w:tc>
          <w:tcPr>
            <w:tcW w:w="98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2120" w:type="dxa"/>
            <w:vAlign w:val="bottom"/>
            <w:gridSpan w:val="4"/>
            <w:vMerge w:val="restart"/>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00" w:type="dxa"/>
            <w:vAlign w:val="bottom"/>
          </w:tcPr>
          <w:p>
            <w:pPr>
              <w:spacing w:after="0"/>
              <w:rPr>
                <w:sz w:val="15"/>
                <w:szCs w:val="15"/>
                <w:color w:val="auto"/>
              </w:rPr>
            </w:pPr>
          </w:p>
        </w:tc>
        <w:tc>
          <w:tcPr>
            <w:tcW w:w="2120" w:type="dxa"/>
            <w:vAlign w:val="bottom"/>
            <w:gridSpan w:val="4"/>
            <w:vMerge w:val="continue"/>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9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0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241"/>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00" w:type="dxa"/>
            <w:vAlign w:val="bottom"/>
          </w:tcPr>
          <w:p>
            <w:pPr>
              <w:spacing w:after="0"/>
              <w:rPr>
                <w:sz w:val="13"/>
                <w:szCs w:val="13"/>
                <w:color w:val="auto"/>
              </w:rPr>
            </w:pPr>
          </w:p>
        </w:tc>
        <w:tc>
          <w:tcPr>
            <w:tcW w:w="1060" w:type="dxa"/>
            <w:vAlign w:val="bottom"/>
            <w:gridSpan w:val="2"/>
          </w:tcPr>
          <w:p>
            <w:pPr>
              <w:jc w:val="right"/>
              <w:ind w:right="281"/>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9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120" w:type="dxa"/>
            <w:vAlign w:val="bottom"/>
          </w:tcPr>
          <w:p>
            <w:pPr>
              <w:spacing w:after="0"/>
              <w:rPr>
                <w:sz w:val="13"/>
                <w:szCs w:val="13"/>
                <w:color w:val="auto"/>
              </w:rPr>
            </w:pPr>
          </w:p>
        </w:tc>
        <w:tc>
          <w:tcPr>
            <w:tcW w:w="960" w:type="dxa"/>
            <w:vAlign w:val="bottom"/>
            <w:gridSpan w:val="2"/>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366,094</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322,201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56,033</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77,625</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$ 1,051,071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(61,474)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23,656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194,004</w:t>
            </w:r>
          </w:p>
        </w:tc>
        <w:tc>
          <w:tcPr>
            <w:tcW w:w="3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(77,625)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161,444</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335,159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216,939</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(63,425)</w:t>
            </w:r>
          </w:p>
        </w:tc>
        <w:tc>
          <w:tcPr>
            <w:tcW w:w="1180" w:type="dxa"/>
            <w:vAlign w:val="bottom"/>
            <w:gridSpan w:val="3"/>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(23,266)</w:t>
            </w:r>
          </w:p>
        </w:tc>
        <w:tc>
          <w:tcPr>
            <w:tcW w:w="10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(8,227)</w:t>
            </w:r>
          </w:p>
        </w:tc>
        <w:tc>
          <w:tcPr>
            <w:tcW w:w="10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(116,409)</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(211,327)</w:t>
            </w:r>
          </w:p>
        </w:tc>
        <w:tc>
          <w:tcPr>
            <w:tcW w:w="0" w:type="dxa"/>
            <w:vAlign w:val="bottom"/>
          </w:tcPr>
          <w:p>
            <w:pPr>
              <w:spacing w:after="0"/>
              <w:rPr>
                <w:sz w:val="1"/>
                <w:szCs w:val="1"/>
                <w:color w:val="auto"/>
              </w:rPr>
            </w:pPr>
          </w:p>
        </w:tc>
      </w:tr>
      <w:tr>
        <w:trPr>
          <w:trHeight w:val="229"/>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41,643</w:t>
            </w:r>
          </w:p>
        </w:tc>
        <w:tc>
          <w:tcPr>
            <w:tcW w:w="3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300" w:type="dxa"/>
            <w:vAlign w:val="bottom"/>
            <w:tcBorders>
              <w:top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300" w:type="dxa"/>
            <w:vAlign w:val="bottom"/>
            <w:tcBorders>
              <w:top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(74,766</w:t>
            </w:r>
          </w:p>
        </w:tc>
        <w:tc>
          <w:tcPr>
            <w:tcW w:w="300" w:type="dxa"/>
            <w:vAlign w:val="bottom"/>
            <w:tcBorders>
              <w:top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(150,023</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661,780</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117,682</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565,295</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$ 1,758,505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nine months ended September 30, 2019 were as follows:</w:t>
      </w:r>
    </w:p>
    <w:tbl>
      <w:tblPr>
        <w:tblLayout w:type="fixed"/>
        <w:tblInd w:w="0" w:type="dxa"/>
        <w:tblCellMar>
          <w:top w:w="0" w:type="dxa"/>
          <w:left w:w="0" w:type="dxa"/>
          <w:bottom w:w="0" w:type="dxa"/>
          <w:right w:w="0" w:type="dxa"/>
        </w:tblCellMar>
      </w:tblPr>
      <w:tr>
        <w:trPr>
          <w:trHeight w:val="158"/>
        </w:trPr>
        <w:tc>
          <w:tcPr>
            <w:tcW w:w="4980" w:type="dxa"/>
            <w:vAlign w:val="bottom"/>
          </w:tcPr>
          <w:p>
            <w:pPr>
              <w:spacing w:after="0"/>
              <w:rPr>
                <w:sz w:val="13"/>
                <w:szCs w:val="13"/>
                <w:color w:val="auto"/>
              </w:rPr>
            </w:pPr>
          </w:p>
        </w:tc>
        <w:tc>
          <w:tcPr>
            <w:tcW w:w="98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2120" w:type="dxa"/>
            <w:vAlign w:val="bottom"/>
            <w:gridSpan w:val="4"/>
            <w:vMerge w:val="restart"/>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00" w:type="dxa"/>
            <w:vAlign w:val="bottom"/>
          </w:tcPr>
          <w:p>
            <w:pPr>
              <w:spacing w:after="0"/>
              <w:rPr>
                <w:sz w:val="15"/>
                <w:szCs w:val="15"/>
                <w:color w:val="auto"/>
              </w:rPr>
            </w:pPr>
          </w:p>
        </w:tc>
        <w:tc>
          <w:tcPr>
            <w:tcW w:w="2120" w:type="dxa"/>
            <w:vAlign w:val="bottom"/>
            <w:gridSpan w:val="4"/>
            <w:vMerge w:val="continue"/>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9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0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241"/>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00" w:type="dxa"/>
            <w:vAlign w:val="bottom"/>
          </w:tcPr>
          <w:p>
            <w:pPr>
              <w:spacing w:after="0"/>
              <w:rPr>
                <w:sz w:val="13"/>
                <w:szCs w:val="13"/>
                <w:color w:val="auto"/>
              </w:rPr>
            </w:pPr>
          </w:p>
        </w:tc>
        <w:tc>
          <w:tcPr>
            <w:tcW w:w="1060" w:type="dxa"/>
            <w:vAlign w:val="bottom"/>
            <w:gridSpan w:val="2"/>
          </w:tcPr>
          <w:p>
            <w:pPr>
              <w:jc w:val="right"/>
              <w:ind w:right="281"/>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300" w:type="dxa"/>
            <w:vAlign w:val="bottom"/>
          </w:tcPr>
          <w:p>
            <w:pPr>
              <w:spacing w:after="0"/>
              <w:rPr>
                <w:sz w:val="13"/>
                <w:szCs w:val="13"/>
                <w:color w:val="auto"/>
              </w:rPr>
            </w:pPr>
          </w:p>
        </w:tc>
        <w:tc>
          <w:tcPr>
            <w:tcW w:w="960" w:type="dxa"/>
            <w:vAlign w:val="bottom"/>
            <w:gridSpan w:val="2"/>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330,055</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341,655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69,125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200,564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78,045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$ 1,019,444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41,146</w:t>
            </w:r>
          </w:p>
        </w:tc>
        <w:tc>
          <w:tcPr>
            <w:tcW w:w="180" w:type="dxa"/>
            <w:vAlign w:val="bottom"/>
          </w:tcPr>
          <w:p>
            <w:pPr>
              <w:spacing w:after="0"/>
              <w:rPr>
                <w:sz w:val="19"/>
                <w:szCs w:val="19"/>
                <w:color w:val="auto"/>
              </w:rPr>
            </w:pPr>
          </w:p>
        </w:tc>
        <w:tc>
          <w:tcPr>
            <w:tcW w:w="11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(6,415)</w:t>
            </w: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(5,132)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19"/>
                <w:szCs w:val="19"/>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(40,786)</w:t>
            </w:r>
          </w:p>
        </w:tc>
        <w:tc>
          <w:tcPr>
            <w:tcW w:w="11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(11,555)</w:t>
            </w: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(9,356)</w:t>
            </w: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(113,050)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(174,747)</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(19,756</w:t>
            </w:r>
          </w:p>
        </w:tc>
        <w:tc>
          <w:tcPr>
            <w:tcW w:w="180" w:type="dxa"/>
            <w:vAlign w:val="bottom"/>
            <w:tcBorders>
              <w:bottom w:val="single" w:sz="8" w:color="CFF0FC"/>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300" w:type="dxa"/>
            <w:vAlign w:val="bottom"/>
            <w:tcBorders>
              <w:bottom w:val="single" w:sz="8" w:color="CFF0FC"/>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300" w:type="dxa"/>
            <w:vAlign w:val="bottom"/>
            <w:tcBorders>
              <w:bottom w:val="single" w:sz="8" w:color="CFF0FC"/>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(70,642</w:t>
            </w:r>
          </w:p>
        </w:tc>
        <w:tc>
          <w:tcPr>
            <w:tcW w:w="300" w:type="dxa"/>
            <w:vAlign w:val="bottom"/>
            <w:tcBorders>
              <w:bottom w:val="single" w:sz="8" w:color="CFF0FC"/>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(103,007</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351,445</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327,132</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59,492</w:t>
            </w:r>
          </w:p>
        </w:tc>
        <w:tc>
          <w:tcPr>
            <w:tcW w:w="3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222,134</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78,234</w:t>
            </w:r>
          </w:p>
        </w:tc>
        <w:tc>
          <w:tcPr>
            <w:tcW w:w="3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$ 1,038,437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Despite the allocation in the preceding tables, the allowance for credit losses is general in nature and is available to absorb losses from any loan or lease type. A description of the methodologies used by the Company to estimate its allowance for credit losses prior to January 1, 2020 is included in note 4 of Notes to Financial Statements in the Company’s Annual Report on Form 10-K for the year ended December 31, 2019.</w:t>
      </w:r>
    </w:p>
    <w:p>
      <w:pPr>
        <w:spacing w:after="0" w:line="70"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In establishing the allowance for credit losses subsequent to December 31, 2019, the Company estimates losses attributable to specific troubled credits identified through both normal and targeted credit review processes and also estimates losses for loans and leases with similar risk characteristics on a collective basis. The amounts of specific loss components in the Company’s loan and lease portfolios are determined through a loan-by-loan analysis of larger balance commercial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department. Accordingly, for real estate collateral securing larger nonaccrual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84"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 off and for purposes of estimating losses in determining the allowance for credit losses, the Company gives consideration to the required repayment of any first lien positions related to collateral property.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2"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20"/>
          <w:szCs w:val="20"/>
          <w:color w:val="auto"/>
        </w:rPr>
        <w:t>Information with respect to loans and leases that were considered nonaccrual at the beginning and end of the reporting period and the interest income recognized on such loans for the three-month and nine-month periods ended September 30, 2020 and 2019 follows.</w:t>
      </w:r>
    </w:p>
    <w:tbl>
      <w:tblPr>
        <w:tblLayout w:type="fixed"/>
        <w:tblInd w:w="0" w:type="dxa"/>
        <w:tblCellMar>
          <w:top w:w="0" w:type="dxa"/>
          <w:left w:w="0" w:type="dxa"/>
          <w:bottom w:w="0" w:type="dxa"/>
          <w:right w:w="0" w:type="dxa"/>
        </w:tblCellMar>
      </w:tblPr>
      <w:tr>
        <w:trPr>
          <w:trHeight w:val="131"/>
        </w:trPr>
        <w:tc>
          <w:tcPr>
            <w:tcW w:w="3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28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0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with</w:t>
            </w:r>
          </w:p>
        </w:tc>
        <w:tc>
          <w:tcPr>
            <w:tcW w:w="2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Cost without</w:t>
            </w: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120" w:type="dxa"/>
            <w:vAlign w:val="bottom"/>
            <w:gridSpan w:val="2"/>
            <w:vMerge w:val="continue"/>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$ 264,515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86,113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350,628</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284,654</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346,743</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86,199</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166,316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252,515</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172,488</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173,796</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15,441</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37,627</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85,426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35,881</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66,302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231,334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297,636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306,907</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322,504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29,824</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85,959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115,783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118,695</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114,667</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36,134</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78,820</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77,094</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65,039</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Recreational finance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Automobile</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42,374</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21,293</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34,998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$ 558,807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681,165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1,239,972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1,156,650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1,134,333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with</w:t>
            </w:r>
          </w:p>
        </w:tc>
        <w:tc>
          <w:tcPr>
            <w:tcW w:w="2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Cost without</w:t>
            </w:r>
          </w:p>
        </w:tc>
        <w:tc>
          <w:tcPr>
            <w:tcW w:w="8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240"/>
        </w:trPr>
        <w:tc>
          <w:tcPr>
            <w:tcW w:w="398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$ 223,183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159,626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382,809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223,733</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234,423</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144,429</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184,632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203,116</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203,672</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166,496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210,922</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233,352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87,551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84,685</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71,292</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Recreational finance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Automobile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23,359</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$ 413,503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591,746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1,005,249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893,608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inform the models, which have been statistically developed based on historical correlations of credit losses with prevailing economic metrics, including unemployment, gross domestic product and real estate prices. Model forecasts may be adjusted for inherent limitations or biases that have been identified through independent validation and back-testing of model performance to actual realized results. At both January 1 and September 30, 2020,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The Company also considered the impact of portfolio concentrations, changes in underwriting practices, product expansions into new markets, imprecision in its economic forecasts, geopolitical conditions and other risk factors that might influence its loss estimation process.</w:t>
      </w:r>
    </w:p>
    <w:p>
      <w:pPr>
        <w:spacing w:after="0" w:line="78" w:lineRule="exact"/>
        <w:rPr>
          <w:sz w:val="20"/>
          <w:szCs w:val="20"/>
          <w:color w:val="auto"/>
        </w:rPr>
      </w:pPr>
    </w:p>
    <w:p>
      <w:pPr>
        <w:ind w:right="180" w:firstLine="510"/>
        <w:spacing w:after="0" w:line="348" w:lineRule="auto"/>
        <w:rPr>
          <w:sz w:val="20"/>
          <w:szCs w:val="20"/>
          <w:color w:val="auto"/>
        </w:rPr>
      </w:pPr>
      <w:r>
        <w:rPr>
          <w:rFonts w:ascii="Times New Roman" w:cs="Times New Roman" w:eastAsia="Times New Roman" w:hAnsi="Times New Roman"/>
          <w:sz w:val="21"/>
          <w:szCs w:val="21"/>
          <w:color w:val="auto"/>
        </w:rPr>
        <w:t xml:space="preserve">The Company’s reserve for off-balance sheet credit exposures was not material at September 30, 2020 and December 31, 2019. </w:t>
      </w:r>
      <w:r>
        <w:rPr>
          <w:rFonts w:ascii="Times New Roman" w:cs="Times New Roman" w:eastAsia="Times New Roman" w:hAnsi="Times New Roman"/>
          <w:sz w:val="21"/>
          <w:szCs w:val="21"/>
          <w:b w:val="1"/>
          <w:bCs w:val="1"/>
          <w:i w:val="1"/>
          <w:iCs w:val="1"/>
          <w:color w:val="auto"/>
        </w:rPr>
        <w:t>Loan modifications</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2" w:lineRule="exact"/>
        <w:rPr>
          <w:sz w:val="20"/>
          <w:szCs w:val="20"/>
          <w:color w:val="auto"/>
        </w:rPr>
      </w:pPr>
    </w:p>
    <w:p>
      <w:pPr>
        <w:ind w:firstLine="510"/>
        <w:spacing w:after="0" w:line="270" w:lineRule="auto"/>
        <w:rPr>
          <w:sz w:val="20"/>
          <w:szCs w:val="20"/>
          <w:color w:val="auto"/>
        </w:rPr>
      </w:pPr>
      <w:r>
        <w:rPr>
          <w:rFonts w:ascii="Times New Roman" w:cs="Times New Roman" w:eastAsia="Times New Roman" w:hAnsi="Times New Roman"/>
          <w:sz w:val="21"/>
          <w:szCs w:val="21"/>
          <w:color w:val="auto"/>
        </w:rPr>
        <w:t>The table that follows summarizes the Company’s loan modification activities that were considered troubled debt restructurings for the three-month and nine-month periods ended September 30, 2020 and 2019:</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Post-modification (a)</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6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Concession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16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Deferral</w:t>
            </w:r>
          </w:p>
        </w:tc>
        <w:tc>
          <w:tcPr>
            <w:tcW w:w="30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4"/>
              </w:rPr>
              <w:t>Types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560" w:type="dxa"/>
            <w:vAlign w:val="bottom"/>
            <w:tcBorders>
              <w:bottom w:val="single" w:sz="8" w:color="auto"/>
            </w:tcBorders>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35,037</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73,071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30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37,920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560" w:type="dxa"/>
            <w:vAlign w:val="bottom"/>
            <w:tcBorders>
              <w:top w:val="single" w:sz="8" w:color="auto"/>
            </w:tcBorders>
            <w:shd w:val="clear" w:color="auto" w:fill="CFF0FC"/>
          </w:tcPr>
          <w:p>
            <w:pPr>
              <w:spacing w:after="0"/>
              <w:rPr>
                <w:sz w:val="5"/>
                <w:szCs w:val="5"/>
                <w:color w:val="auto"/>
              </w:rPr>
            </w:pPr>
          </w:p>
        </w:tc>
        <w:tc>
          <w:tcPr>
            <w:tcW w:w="162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5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Pre-</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Post-modification (a)</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3"/>
          </w:tcPr>
          <w:p>
            <w:pPr>
              <w:jc w:val="center"/>
              <w:ind w:left="196"/>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30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3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Concession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740" w:type="dxa"/>
            <w:vAlign w:val="bottom"/>
            <w:vMerge w:val="restart"/>
          </w:tcPr>
          <w:p>
            <w:pPr>
              <w:spacing w:after="0"/>
              <w:rPr>
                <w:sz w:val="15"/>
                <w:szCs w:val="15"/>
                <w:color w:val="auto"/>
              </w:rPr>
            </w:pPr>
          </w:p>
        </w:tc>
        <w:tc>
          <w:tcPr>
            <w:tcW w:w="5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00" w:type="dxa"/>
            <w:vAlign w:val="bottom"/>
          </w:tcPr>
          <w:p>
            <w:pPr>
              <w:spacing w:after="0"/>
              <w:rPr>
                <w:sz w:val="15"/>
                <w:szCs w:val="15"/>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Deferral</w:t>
            </w:r>
          </w:p>
        </w:tc>
        <w:tc>
          <w:tcPr>
            <w:tcW w:w="2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Types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480" w:type="dxa"/>
            <w:vAlign w:val="bottom"/>
            <w:tcBorders>
              <w:bottom w:val="single" w:sz="8" w:color="auto"/>
            </w:tcBorders>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31,605</w:t>
            </w:r>
          </w:p>
        </w:tc>
        <w:tc>
          <w:tcPr>
            <w:tcW w:w="2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101,678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292,445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117,336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128,841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283,415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480" w:type="dxa"/>
            <w:vAlign w:val="bottom"/>
            <w:tcBorders>
              <w:top w:val="single" w:sz="8" w:color="auto"/>
            </w:tcBorders>
            <w:shd w:val="clear" w:color="auto" w:fill="CFF0FC"/>
          </w:tcPr>
          <w:p>
            <w:pPr>
              <w:spacing w:after="0"/>
              <w:rPr>
                <w:sz w:val="5"/>
                <w:szCs w:val="5"/>
                <w:color w:val="auto"/>
              </w:rPr>
            </w:pPr>
          </w:p>
        </w:tc>
        <w:tc>
          <w:tcPr>
            <w:tcW w:w="1740" w:type="dxa"/>
            <w:vAlign w:val="bottom"/>
            <w:tcBorders>
              <w:top w:val="single" w:sz="8" w:color="CFF0FC"/>
            </w:tcBorders>
            <w:shd w:val="clear" w:color="auto" w:fill="CFF0FC"/>
          </w:tcPr>
          <w:p>
            <w:pPr>
              <w:spacing w:after="0"/>
              <w:rPr>
                <w:sz w:val="5"/>
                <w:szCs w:val="5"/>
                <w:color w:val="auto"/>
              </w:rPr>
            </w:pPr>
          </w:p>
        </w:tc>
        <w:tc>
          <w:tcPr>
            <w:tcW w:w="5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0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322</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86,580</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23,981</w:t>
            </w:r>
          </w:p>
        </w:tc>
        <w:tc>
          <w:tcPr>
            <w:tcW w:w="2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63,113</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87,094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-2540</wp:posOffset>
            </wp:positionV>
            <wp:extent cx="11830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380" w:right="20" w:hanging="372"/>
        <w:spacing w:after="0" w:line="284" w:lineRule="auto"/>
        <w:tabs>
          <w:tab w:leader="none" w:pos="3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-306070</wp:posOffset>
            </wp:positionV>
            <wp:extent cx="43891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31"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Troubled debt restructurings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September 30, 2020 and 2019 and for which there was a subsequent payment default during the nine-month periods ended September 30, 2020 and 2019, respectively, were not material.</w:t>
      </w:r>
    </w:p>
    <w:p>
      <w:pPr>
        <w:spacing w:after="0" w:line="7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 amount of foreclosed residential real estate property held by the Company was $43 million and $76 million at September 30, 2020 and December 31, 2019, respectively. There were $231 million and $402 million at September 30, 2020 and December 31, 2019, respectively, of loans secured by residential real estate that were in the process of foreclosure. Of all loans in the process of foreclosure at September 30, 2020, approximately 42% were government guaranteed.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Borrowings</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M&amp;T had $527 million of fixed and variable rate junior subordinated deferrable interest debentures ("Junior Subordinated Debentures") outstanding at September 30, 2020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65"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76"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76"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On January 7, 2020, M&amp;T Bank, the principal bank subsidiary of M&amp;T, redeemed $750 million of fixed rate senior notes that were due to mature on February 6, 2020. In addition, M&amp;T Bank redeemed $750 million of fixed rate senior notes on July 17, 2020 that were due to mature on August 17, 2020.</w:t>
      </w:r>
    </w:p>
    <w:p>
      <w:pPr>
        <w:spacing w:after="0" w:line="67"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Also included in long-term borrowings was an agreement to repurchase securities that totaled $102 million at December 31, 2019. The outstanding agreement matured in July 2020. The agreement was subject to legally enforceable master netting arrangements, however, the Company did not offset any amounts related to the agreement in its consolidated financial statements. The Company posted collateral consisting primarily of government guaranteed mortgage-backed securities of $108 million at December 31, 2019</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Revenue from contracts with customers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 significant amount of the Company’s revenues are derived from net interest income on financial assets and liabilities, mortgage banking revenues, trading account and foreign exchange gains, investment securities gains, loan and letter of credit fees, income from bank-owned life insurance, and certain other revenues that are generally excluded from the scope of accounting guidance for revenue from contracts with customers.</w:t>
      </w:r>
    </w:p>
    <w:p>
      <w:pPr>
        <w:spacing w:after="0" w:line="70"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For noninterest income revenue streams,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Revenue from contracts with customers, continued</w:t>
      </w:r>
    </w:p>
    <w:p>
      <w:pPr>
        <w:spacing w:after="0" w:line="112"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September 30, 2020 and December 31, 2019, the Company had $61 million and $62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September 30, 2020 and December 31, 2019, the Company had deferred revenue of $41 million and $43 million, respectively, related to the sources in the accompanying tables recorded in accrued interest and other liabilities in the consolidated balance sheet.</w:t>
      </w:r>
    </w:p>
    <w:p>
      <w:pPr>
        <w:spacing w:after="0" w:line="80"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The following tables summarize sources of the Company’s noninterest income during the three-month and nine-month periods ended September 30, 2020 and 2019 that are subject to the noted accounting guidance.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3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Discretionary</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8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gridSpan w:val="2"/>
            <w:vMerge w:val="continue"/>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560" w:type="dxa"/>
            <w:vAlign w:val="bottom"/>
            <w:tcBorders>
              <w:top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statement of income</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$ 11,527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53,379</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149,936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149,937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10,533</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2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$ 22,060</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36,542</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26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63,532</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172,721</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299,955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8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560" w:type="dxa"/>
            <w:vAlign w:val="bottom"/>
            <w:tcBorders>
              <w:top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statement of income</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$ 15,131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68,455</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111,092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143,664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143,915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9,347</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$ 24,832</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38,317</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6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81,952</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164,750</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315,627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Revenue from contracts with customers, 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3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Discretionary</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92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4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60" w:type="dxa"/>
            <w:vAlign w:val="bottom"/>
          </w:tcPr>
          <w:p>
            <w:pPr>
              <w:spacing w:after="0"/>
              <w:rPr>
                <w:sz w:val="15"/>
                <w:szCs w:val="15"/>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9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48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w:t>
            </w: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statement of income</w:t>
            </w: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$ 38,048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69,487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7,724</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155,073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$ 274,971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450,110</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32,992</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5,913</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15,142</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32,149</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$ 67,089</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108,834</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12,404</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2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2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180,095</w:t>
            </w:r>
          </w:p>
        </w:tc>
        <w:tc>
          <w:tcPr>
            <w:tcW w:w="2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522,353</w:t>
            </w:r>
          </w:p>
        </w:tc>
        <w:tc>
          <w:tcPr>
            <w:tcW w:w="2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$ 895,088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48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w:t>
            </w: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statement of income</w:t>
            </w: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$ 45,415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69,731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195,267</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$ 321,991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420,382</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421,083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38,630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27,170</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26,159</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$ 73,905</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114,427</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14,915</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2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2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234,291</w:t>
            </w:r>
          </w:p>
        </w:tc>
        <w:tc>
          <w:tcPr>
            <w:tcW w:w="2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489,134</w:t>
            </w:r>
          </w:p>
        </w:tc>
        <w:tc>
          <w:tcPr>
            <w:tcW w:w="2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$ 931,134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Pension plans and other postretirement benefits</w:t>
      </w:r>
    </w:p>
    <w:p>
      <w:pPr>
        <w:spacing w:after="0" w:line="11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left="197"/>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0" w:type="dxa"/>
            <w:vAlign w:val="bottom"/>
            <w:gridSpan w:val="8"/>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(31,378)</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(30,534)</w:t>
            </w:r>
          </w:p>
        </w:tc>
        <w:tc>
          <w:tcPr>
            <w:tcW w:w="2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(1,175)</w:t>
            </w:r>
          </w:p>
        </w:tc>
        <w:tc>
          <w:tcPr>
            <w:tcW w:w="2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cost (benefit)</w:t>
            </w:r>
          </w:p>
        </w:tc>
        <w:tc>
          <w:tcPr>
            <w:tcW w:w="1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4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left="197"/>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0" w:type="dxa"/>
            <w:vAlign w:val="bottom"/>
            <w:gridSpan w:val="8"/>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53,565</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61,184</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(94,134)</w:t>
            </w: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(91,604)</w:t>
            </w:r>
          </w:p>
        </w:tc>
        <w:tc>
          <w:tcPr>
            <w:tcW w:w="280" w:type="dxa"/>
            <w:vAlign w:val="bottom"/>
          </w:tcPr>
          <w:p>
            <w:pPr>
              <w:spacing w:after="0"/>
              <w:rPr>
                <w:sz w:val="19"/>
                <w:szCs w:val="19"/>
                <w:color w:val="auto"/>
              </w:rPr>
            </w:pPr>
          </w:p>
        </w:tc>
        <w:tc>
          <w:tcPr>
            <w:tcW w:w="12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(3,544)</w:t>
            </w: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cost (benefit)</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$23 million and $21 million for the three months ended September 30, 2020 and 2019, respectively, and $73 million and $61 million for the nine months ended September 30, 2020 and 2019, respectively, and are included in salaries and employee benefits expense.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7. Earnings per common share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computations of basic earnings per common share follow: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84"/>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6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372,136</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480,081</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882,012</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1,436,083</w:t>
            </w:r>
          </w:p>
        </w:tc>
        <w:tc>
          <w:tcPr>
            <w:tcW w:w="80" w:type="dxa"/>
            <w:vAlign w:val="bottom"/>
            <w:shd w:val="clear" w:color="auto" w:fill="CFF0FC"/>
          </w:tcPr>
          <w:p>
            <w:pPr>
              <w:spacing w:after="0"/>
              <w:rPr>
                <w:sz w:val="19"/>
                <w:szCs w:val="19"/>
                <w:color w:val="auto"/>
              </w:rPr>
            </w:pPr>
          </w:p>
        </w:tc>
      </w:tr>
      <w:tr>
        <w:trPr>
          <w:trHeight w:val="229"/>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(17,050)</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(16,103)</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(51,178)</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(52,364)</w:t>
            </w:r>
          </w:p>
        </w:tc>
      </w:tr>
      <w:tr>
        <w:trPr>
          <w:trHeight w:val="223"/>
        </w:trPr>
        <w:tc>
          <w:tcPr>
            <w:tcW w:w="60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355,086</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463,978</w:t>
            </w: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830,834</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1,383,719</w:t>
            </w:r>
          </w:p>
        </w:tc>
        <w:tc>
          <w:tcPr>
            <w:tcW w:w="80" w:type="dxa"/>
            <w:vAlign w:val="bottom"/>
            <w:tcBorders>
              <w:top w:val="single" w:sz="8" w:color="CFF0FC"/>
            </w:tcBorders>
            <w:shd w:val="clear" w:color="auto" w:fill="CFF0FC"/>
          </w:tcPr>
          <w:p>
            <w:pPr>
              <w:spacing w:after="0"/>
              <w:rPr>
                <w:sz w:val="19"/>
                <w:szCs w:val="19"/>
                <w:color w:val="auto"/>
              </w:rPr>
            </w:pPr>
          </w:p>
        </w:tc>
      </w:tr>
      <w:tr>
        <w:trPr>
          <w:trHeight w:val="211"/>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awards</w:t>
            </w:r>
          </w:p>
        </w:tc>
        <w:tc>
          <w:tcPr>
            <w:tcW w:w="1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(1,687)</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(2,568)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(7,591)</w:t>
            </w: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353,399</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461,410</w:t>
            </w: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827,203</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1,376,128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shares outstanding (including common stock</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issuable) and unvested stock-based compensation</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awards</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129,061</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133,703</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129,518</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136,156</w:t>
            </w:r>
          </w:p>
        </w:tc>
        <w:tc>
          <w:tcPr>
            <w:tcW w:w="80" w:type="dxa"/>
            <w:vAlign w:val="bottom"/>
            <w:shd w:val="clear" w:color="auto" w:fill="CFF0FC"/>
          </w:tcPr>
          <w:p>
            <w:pPr>
              <w:spacing w:after="0"/>
              <w:rPr>
                <w:sz w:val="20"/>
                <w:szCs w:val="20"/>
                <w:color w:val="auto"/>
              </w:rPr>
            </w:pPr>
          </w:p>
        </w:tc>
      </w:tr>
      <w:tr>
        <w:trPr>
          <w:trHeight w:val="229"/>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(776)</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128,285</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132,965</w:t>
            </w: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128,750</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135,411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FF0FC"/>
          </w:tcPr>
          <w:p>
            <w:pPr>
              <w:spacing w:after="0"/>
              <w:rPr>
                <w:sz w:val="19"/>
                <w:szCs w:val="19"/>
                <w:color w:val="auto"/>
              </w:rPr>
            </w:pPr>
          </w:p>
        </w:tc>
      </w:tr>
    </w:tbl>
    <w:p>
      <w:pPr>
        <w:spacing w:after="0" w:line="3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computations of diluted earnings per common share follow:</w:t>
      </w:r>
    </w:p>
    <w:tbl>
      <w:tblPr>
        <w:tblLayout w:type="fixed"/>
        <w:tblInd w:w="0" w:type="dxa"/>
        <w:tblCellMar>
          <w:top w:w="0" w:type="dxa"/>
          <w:left w:w="0" w:type="dxa"/>
          <w:bottom w:w="0" w:type="dxa"/>
          <w:right w:w="0" w:type="dxa"/>
        </w:tblCellMar>
      </w:tblPr>
      <w:tr>
        <w:trPr>
          <w:trHeight w:val="158"/>
        </w:trPr>
        <w:tc>
          <w:tcPr>
            <w:tcW w:w="5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5"/>
          </w:tcPr>
          <w:p>
            <w:pPr>
              <w:jc w:val="right"/>
              <w:ind w:right="540"/>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0" w:type="dxa"/>
            <w:vAlign w:val="bottom"/>
            <w:gridSpan w:val="4"/>
          </w:tcPr>
          <w:p>
            <w:pPr>
              <w:jc w:val="right"/>
              <w:ind w:right="440"/>
              <w:spacing w:after="0" w:line="158"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5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84"/>
        </w:trPr>
        <w:tc>
          <w:tcPr>
            <w:tcW w:w="5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355,086</w:t>
            </w:r>
          </w:p>
        </w:tc>
        <w:tc>
          <w:tcPr>
            <w:tcW w:w="1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463,978</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830,834</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1,383,719</w:t>
            </w:r>
          </w:p>
        </w:tc>
        <w:tc>
          <w:tcPr>
            <w:tcW w:w="100" w:type="dxa"/>
            <w:vAlign w:val="bottom"/>
          </w:tcPr>
          <w:p>
            <w:pPr>
              <w:spacing w:after="0"/>
              <w:rPr>
                <w:sz w:val="24"/>
                <w:szCs w:val="24"/>
                <w:color w:val="auto"/>
              </w:rPr>
            </w:pPr>
          </w:p>
        </w:tc>
      </w:tr>
      <w:tr>
        <w:trPr>
          <w:trHeight w:val="211"/>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compensation awards</w:t>
            </w: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(1,686)</w:t>
            </w:r>
          </w:p>
        </w:tc>
        <w:tc>
          <w:tcPr>
            <w:tcW w:w="11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(2,568)</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(3,630)</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(7,590)</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9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461,410</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827,204</w:t>
            </w: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1,376,129</w:t>
            </w:r>
          </w:p>
        </w:tc>
        <w:tc>
          <w:tcPr>
            <w:tcW w:w="10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and unvested stock-based compensation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awards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129,061</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133,703</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129,518</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136,156</w:t>
            </w:r>
          </w:p>
        </w:tc>
        <w:tc>
          <w:tcPr>
            <w:tcW w:w="100" w:type="dxa"/>
            <w:vAlign w:val="bottom"/>
          </w:tcPr>
          <w:p>
            <w:pPr>
              <w:spacing w:after="0"/>
              <w:rPr>
                <w:sz w:val="20"/>
                <w:szCs w:val="20"/>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11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(768)</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r>
      <w:tr>
        <w:trPr>
          <w:trHeight w:val="211"/>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Plus: Incremental shares from assumed conversion of</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awards and warrants to</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common stock</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128,355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132,999</w:t>
            </w: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128,813</w:t>
            </w:r>
          </w:p>
        </w:tc>
        <w:tc>
          <w:tcPr>
            <w:tcW w:w="2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70"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Stock-based compensation awards and warrants to purchase common stock of M&amp;T representing 483,182 and 277,840 common shares during the three-month periods ended September 30, 2020 and 2019, respectively, and 477,144 and 224,639 common shares during the nine-month periods ended September 30, 2020 and 2019, respectively, were not included in the computations of diluted earnings per common share because the effect on those periods would have been antidilutive.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8. Comprehensive income</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37"/>
        </w:trPr>
        <w:tc>
          <w:tcPr>
            <w:tcW w:w="4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79"/>
              <w:spacing w:after="0" w:line="138" w:lineRule="exact"/>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Investment</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Plans</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60" w:type="dxa"/>
            <w:vAlign w:val="bottom"/>
            <w:gridSpan w:val="3"/>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Before Tax</w:t>
            </w:r>
          </w:p>
        </w:tc>
        <w:tc>
          <w:tcPr>
            <w:tcW w:w="36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Tax</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Balance — January 1, 2020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50,701</w:t>
            </w:r>
          </w:p>
        </w:tc>
        <w:tc>
          <w:tcPr>
            <w:tcW w:w="10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(464,548)</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133,888</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(279,959)</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73,279</w:t>
            </w:r>
          </w:p>
        </w:tc>
        <w:tc>
          <w:tcPr>
            <w:tcW w:w="140" w:type="dxa"/>
            <w:vAlign w:val="bottom"/>
          </w:tcPr>
          <w:p>
            <w:pPr>
              <w:spacing w:after="0"/>
              <w:rPr>
                <w:sz w:val="24"/>
                <w:szCs w:val="24"/>
                <w:color w:val="auto"/>
              </w:rPr>
            </w:pPr>
          </w:p>
        </w:tc>
        <w:tc>
          <w:tcPr>
            <w:tcW w:w="2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(206,680)</w:t>
            </w: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holding gains, net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151,777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(39,277)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(222)</w:t>
            </w:r>
          </w:p>
        </w:tc>
        <w:tc>
          <w:tcPr>
            <w:tcW w:w="3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gains on cash flow hedges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508,226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508,226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(131,504)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376,722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Total other comprehensive income before</w:t>
            </w:r>
          </w:p>
        </w:tc>
        <w:tc>
          <w:tcPr>
            <w:tcW w:w="8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740" w:type="dxa"/>
            <w:vAlign w:val="bottom"/>
            <w:vMerge w:val="continue"/>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151,777</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508,004</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659,781</w:t>
            </w: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(170,820)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488,961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w:t>
            </w:r>
          </w:p>
        </w:tc>
        <w:tc>
          <w:tcPr>
            <w:tcW w:w="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comprehensive income that (increase) decrease net income: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74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unrealized holding losses on</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10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(a)</w:t>
            </w:r>
          </w:p>
        </w:tc>
        <w:tc>
          <w:tcPr>
            <w:tcW w:w="8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held-to-maturity (“HTM”) securities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Gains realized in net income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(b)</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Accretion of net gain on terminated cash flow hedges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(94)</w:t>
            </w:r>
          </w:p>
        </w:tc>
        <w:tc>
          <w:tcPr>
            <w:tcW w:w="3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(c)</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yield adjustment from cash flow hedges currently in effect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(183,598)</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(183,598)</w:t>
            </w: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(136,092)</w:t>
            </w: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(3,140)</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(3,140)</w:t>
            </w:r>
          </w:p>
        </w:tc>
        <w:tc>
          <w:tcPr>
            <w:tcW w:w="3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(2,213)</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42,080</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42,080</w:t>
            </w:r>
          </w:p>
        </w:tc>
        <w:tc>
          <w:tcPr>
            <w:tcW w:w="100" w:type="dxa"/>
            <w:vAlign w:val="bottom"/>
          </w:tcPr>
          <w:p>
            <w:pPr>
              <w:spacing w:after="0"/>
              <w:rPr>
                <w:sz w:val="14"/>
                <w:szCs w:val="14"/>
                <w:color w:val="auto"/>
              </w:rPr>
            </w:pP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(d)</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(12,436)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8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154,452</w:t>
            </w:r>
          </w:p>
        </w:tc>
        <w:tc>
          <w:tcPr>
            <w:tcW w:w="1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38,940</w:t>
            </w:r>
          </w:p>
        </w:tc>
        <w:tc>
          <w:tcPr>
            <w:tcW w:w="2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324,312</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517,704</w:t>
            </w:r>
          </w:p>
        </w:tc>
        <w:tc>
          <w:tcPr>
            <w:tcW w:w="1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(135,521)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382,183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Balance — September 30, 2020</w:t>
            </w:r>
          </w:p>
        </w:tc>
        <w:tc>
          <w:tcPr>
            <w:tcW w:w="8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205,153</w:t>
            </w: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(425,608)</w:t>
            </w:r>
          </w:p>
        </w:tc>
        <w:tc>
          <w:tcPr>
            <w:tcW w:w="24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458,200</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237,745</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(62,242)</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175,503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7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January 1, 2019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(200,107)</w:t>
            </w:r>
          </w:p>
        </w:tc>
        <w:tc>
          <w:tcPr>
            <w:tcW w:w="10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(354,502)</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(14,719)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(569,328)</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149,247</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(420,081)</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Unrealized holding gains, net</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237,615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237,615</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(62,432)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175,183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(2,663)</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(2,663)</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(2,104)</w:t>
            </w: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Unrealized gains on cash flow hedges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204,587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204,587</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(53,786)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150,801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line="139" w:lineRule="exact"/>
              <w:rPr>
                <w:sz w:val="20"/>
                <w:szCs w:val="20"/>
                <w:color w:val="auto"/>
              </w:rPr>
            </w:pPr>
            <w:r>
              <w:rPr>
                <w:rFonts w:ascii="Times New Roman" w:cs="Times New Roman" w:eastAsia="Times New Roman" w:hAnsi="Times New Roman"/>
                <w:sz w:val="14"/>
                <w:szCs w:val="14"/>
                <w:color w:val="auto"/>
              </w:rPr>
              <w:t>Total other comprehensive income before</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237,615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201,924</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439,539</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(115,659)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323,880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tcBorders>
              <w:top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w:t>
            </w:r>
          </w:p>
        </w:tc>
        <w:tc>
          <w:tcPr>
            <w:tcW w:w="8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comprehensive income that (increase) decrease net income:</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74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unrealized holding losses 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100" w:type="dxa"/>
            <w:vAlign w:val="bottom"/>
          </w:tcPr>
          <w:p>
            <w:pPr>
              <w:spacing w:after="0"/>
              <w:rPr>
                <w:sz w:val="12"/>
                <w:szCs w:val="12"/>
                <w:color w:val="auto"/>
              </w:rPr>
            </w:pPr>
          </w:p>
        </w:tc>
        <w:tc>
          <w:tcPr>
            <w:tcW w:w="3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(a)</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HTM securities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Losses realized in net income</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(b)</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Accretion of net gain on terminated cash flow hedges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(93)</w:t>
            </w: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(c)</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yield adjustment from cash flow hedges currently in effect</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(a)</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(3,129)</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(3,129)</w:t>
            </w: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(2,306)</w:t>
            </w: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15,559</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15,559</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(d)</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(4,091)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11,468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4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8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240,146</w:t>
            </w:r>
          </w:p>
        </w:tc>
        <w:tc>
          <w:tcPr>
            <w:tcW w:w="10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12,430</w:t>
            </w:r>
          </w:p>
        </w:tc>
        <w:tc>
          <w:tcPr>
            <w:tcW w:w="24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208,524</w:t>
            </w:r>
          </w:p>
        </w:tc>
        <w:tc>
          <w:tcPr>
            <w:tcW w:w="2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461,100</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(121,327)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339,773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 September 30, 2019</w:t>
            </w:r>
          </w:p>
        </w:tc>
        <w:tc>
          <w:tcPr>
            <w:tcW w:w="8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40,039</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(342,072)</w:t>
            </w:r>
          </w:p>
        </w:tc>
        <w:tc>
          <w:tcPr>
            <w:tcW w:w="24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193,805</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(108,228</w:t>
            </w:r>
          </w:p>
        </w:tc>
        <w:tc>
          <w:tcPr>
            <w:tcW w:w="1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27,920</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(80,308</w:t>
            </w:r>
          </w:p>
        </w:tc>
        <w:tc>
          <w:tcPr>
            <w:tcW w:w="1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income.</w:t>
      </w:r>
    </w:p>
    <w:p>
      <w:pPr>
        <w:spacing w:after="0" w:line="5" w:lineRule="exact"/>
        <w:rPr>
          <w:rFonts w:ascii="Times New Roman" w:cs="Times New Roman" w:eastAsia="Times New Roman" w:hAnsi="Times New Roman"/>
          <w:sz w:val="14"/>
          <w:szCs w:val="14"/>
          <w:i w:val="1"/>
          <w:iCs w:val="1"/>
          <w:color w:val="auto"/>
        </w:rPr>
      </w:pPr>
    </w:p>
    <w:p>
      <w:pPr>
        <w:ind w:left="500" w:hanging="492"/>
        <w:spacing w:after="0" w:line="221" w:lineRule="auto"/>
        <w:tabs>
          <w:tab w:leader="none" w:pos="50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gain (loss) on bank investment securities.</w:t>
      </w:r>
    </w:p>
    <w:p>
      <w:pPr>
        <w:ind w:left="500" w:hanging="492"/>
        <w:spacing w:after="0" w:line="221" w:lineRule="auto"/>
        <w:tabs>
          <w:tab w:leader="none" w:pos="50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expense.</w:t>
      </w:r>
    </w:p>
    <w:p>
      <w:pPr>
        <w:ind w:left="500" w:hanging="492"/>
        <w:spacing w:after="0"/>
        <w:tabs>
          <w:tab w:leader="none" w:pos="50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other costs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-388620</wp:posOffset>
            </wp:positionV>
            <wp:extent cx="3497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8. Comprehensive income, continued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Accumulated other comprehensive income (loss), net consisted of the following: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3"/>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Defined</w:t>
            </w:r>
          </w:p>
        </w:tc>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3"/>
                <w:szCs w:val="13"/>
                <w:b w:val="1"/>
                <w:bCs w:val="1"/>
                <w:color w:val="auto"/>
              </w:rPr>
              <w:t>Cash Flow</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960" w:type="dxa"/>
            <w:vAlign w:val="bottom"/>
            <w:gridSpan w:val="3"/>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3"/>
                <w:szCs w:val="13"/>
                <w:b w:val="1"/>
                <w:bCs w:val="1"/>
                <w:color w:val="auto"/>
              </w:rPr>
              <w:t>Hedges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960" w:type="dxa"/>
            <w:vAlign w:val="bottom"/>
            <w:gridSpan w:val="3"/>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3"/>
          </w:tcPr>
          <w:p>
            <w:pPr>
              <w:ind w:left="10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December 31, 2019</w:t>
            </w:r>
          </w:p>
        </w:tc>
        <w:tc>
          <w:tcPr>
            <w:tcW w:w="170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37,380</w:t>
            </w:r>
          </w:p>
        </w:tc>
        <w:tc>
          <w:tcPr>
            <w:tcW w:w="3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(342,419)</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98,359</w:t>
            </w:r>
          </w:p>
        </w:tc>
        <w:tc>
          <w:tcPr>
            <w:tcW w:w="6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(206,680)</w:t>
            </w:r>
          </w:p>
        </w:tc>
      </w:tr>
      <w:tr>
        <w:trPr>
          <w:trHeight w:val="162"/>
        </w:trPr>
        <w:tc>
          <w:tcPr>
            <w:tcW w:w="3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Net gain during period</w:t>
            </w:r>
          </w:p>
        </w:tc>
        <w:tc>
          <w:tcPr>
            <w:tcW w:w="15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114,451</w:t>
            </w:r>
          </w:p>
        </w:tc>
        <w:tc>
          <w:tcPr>
            <w:tcW w:w="3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27,431</w:t>
            </w: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240,301</w:t>
            </w:r>
          </w:p>
        </w:tc>
        <w:tc>
          <w:tcPr>
            <w:tcW w:w="3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382,183</w:t>
            </w:r>
          </w:p>
        </w:tc>
        <w:tc>
          <w:tcPr>
            <w:tcW w:w="100" w:type="dxa"/>
            <w:vAlign w:val="bottom"/>
            <w:tcBorders>
              <w:bottom w:val="single" w:sz="8" w:color="CFF0FC"/>
            </w:tcBorders>
          </w:tcPr>
          <w:p>
            <w:pPr>
              <w:spacing w:after="0"/>
              <w:rPr>
                <w:sz w:val="14"/>
                <w:szCs w:val="14"/>
                <w:color w:val="auto"/>
              </w:rPr>
            </w:pPr>
          </w:p>
        </w:tc>
      </w:tr>
      <w:tr>
        <w:trPr>
          <w:trHeight w:val="156"/>
        </w:trPr>
        <w:tc>
          <w:tcPr>
            <w:tcW w:w="334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 September 30, 2020</w:t>
            </w:r>
          </w:p>
        </w:tc>
        <w:tc>
          <w:tcPr>
            <w:tcW w:w="15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151,831</w:t>
            </w:r>
          </w:p>
        </w:tc>
        <w:tc>
          <w:tcPr>
            <w:tcW w:w="34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(314,988)</w:t>
            </w:r>
          </w:p>
        </w:tc>
        <w:tc>
          <w:tcPr>
            <w:tcW w:w="3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338,660</w:t>
            </w:r>
          </w:p>
        </w:tc>
        <w:tc>
          <w:tcPr>
            <w:tcW w:w="3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175,503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9. Derivative financial instruments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September 30, 2020.</w:t>
      </w:r>
    </w:p>
    <w:p>
      <w:pPr>
        <w:spacing w:after="0" w:line="7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 net effect of interest rate swap agreements was to increase net interest income by $95 million and $212 million during the three-month and nine-month periods ended September 30, 2020, respectively, and to increase net interest income by $1 million during the three-month period ended September 30, 2019 and decrease net interest income by $23 million during the nine-month period ended September 30, 2019.</w:t>
      </w:r>
    </w:p>
    <w:p>
      <w:pPr>
        <w:spacing w:after="0" w:line="70"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5"/>
                <w:szCs w:val="15"/>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6"/>
        </w:trPr>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Pr>
          <w:p>
            <w:pPr>
              <w:spacing w:after="0"/>
              <w:rPr>
                <w:sz w:val="20"/>
                <w:szCs w:val="20"/>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0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Gain (Loss) (a)</w:t>
            </w:r>
          </w:p>
        </w:tc>
      </w:tr>
      <w:tr>
        <w:trPr>
          <w:trHeight w:val="237"/>
        </w:trPr>
        <w:tc>
          <w:tcPr>
            <w:tcW w:w="47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0"/>
                <w:szCs w:val="20"/>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(b)</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payments on variable rate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commercial real estate loans (b)(c)</w:t>
            </w: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52,250,000</w:t>
            </w:r>
          </w:p>
        </w:tc>
        <w:tc>
          <w:tcPr>
            <w:tcW w:w="32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FF0FC"/>
          </w:tcPr>
          <w:p>
            <w:pPr>
              <w:spacing w:after="0"/>
              <w:rPr>
                <w:sz w:val="20"/>
                <w:szCs w:val="20"/>
                <w:color w:val="auto"/>
              </w:rPr>
            </w:pPr>
          </w:p>
        </w:tc>
      </w:tr>
      <w:tr>
        <w:trPr>
          <w:trHeight w:val="263"/>
        </w:trPr>
        <w:tc>
          <w:tcPr>
            <w:tcW w:w="47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54,550,000</w:t>
            </w:r>
          </w:p>
        </w:tc>
        <w:tc>
          <w:tcPr>
            <w:tcW w:w="3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76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FF0FC"/>
            </w:tcBorders>
          </w:tcPr>
          <w:p>
            <w:pPr>
              <w:spacing w:after="0"/>
              <w:rPr>
                <w:sz w:val="22"/>
                <w:szCs w:val="22"/>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(b)</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3,800,000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payments on variable rate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commercial real estate loans (b)(d)</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53,750,000</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(1,195)</w:t>
            </w:r>
          </w:p>
        </w:tc>
      </w:tr>
      <w:tr>
        <w:trPr>
          <w:trHeight w:val="223"/>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57,550,000</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6" w:lineRule="exact"/>
        <w:rPr>
          <w:sz w:val="20"/>
          <w:szCs w:val="20"/>
          <w:color w:val="auto"/>
        </w:rPr>
      </w:pPr>
    </w:p>
    <w:p>
      <w:pPr>
        <w:jc w:val="both"/>
        <w:ind w:left="520" w:right="120" w:hanging="512"/>
        <w:spacing w:after="0" w:line="230" w:lineRule="auto"/>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clearinghouse exchanges consider payments by counterparties for variation margin on derivative instruments to be settlements of those positions. The impact of such treatment at September 30, 2020 and December 31, 2019 was a reduction of the estimated fair value gains on interest rate swap agreements designated as fair value hedges of $120.8 million and $45.1 million, respectively, and on interest rate swap agreements designated as cash flow hedges of $463.3 million and $140.7 million, respectively.</w:t>
      </w:r>
    </w:p>
    <w:p>
      <w:pPr>
        <w:ind w:left="520" w:hanging="512"/>
        <w:spacing w:after="0" w:line="221" w:lineRule="auto"/>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Under the terms of these agreements, the Company receives settlement amounts at a fixed rate and pays at a variable rate.</w:t>
      </w:r>
    </w:p>
    <w:p>
      <w:pPr>
        <w:ind w:left="520" w:hanging="512"/>
        <w:spacing w:after="0"/>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$38.9 billion of forward-starting interest rate swap agreements that become effective in 2020 - 2022.</w:t>
      </w:r>
    </w:p>
    <w:p>
      <w:pPr>
        <w:spacing w:after="0" w:line="11" w:lineRule="exact"/>
        <w:rPr>
          <w:rFonts w:ascii="Times New Roman" w:cs="Times New Roman" w:eastAsia="Times New Roman" w:hAnsi="Times New Roman"/>
          <w:sz w:val="14"/>
          <w:szCs w:val="14"/>
          <w:i w:val="1"/>
          <w:iCs w:val="1"/>
          <w:color w:val="auto"/>
        </w:rPr>
      </w:pPr>
    </w:p>
    <w:p>
      <w:pPr>
        <w:ind w:left="520" w:hanging="512"/>
        <w:spacing w:after="0" w:line="187" w:lineRule="auto"/>
        <w:tabs>
          <w:tab w:leader="none" w:pos="520" w:val="left"/>
        </w:tabs>
        <w:numPr>
          <w:ilvl w:val="0"/>
          <w:numId w:val="8"/>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2"/>
          <w:szCs w:val="12"/>
          <w:i w:val="1"/>
          <w:iCs w:val="1"/>
          <w:color w:val="auto"/>
        </w:rPr>
        <w:t>Includes notional amount and terms of $40.4 billion of forward-starting interest rate swap agreements that become effective in 2020 - 2022</w:t>
      </w:r>
      <w:r>
        <w:rPr>
          <w:rFonts w:ascii="Times New Roman" w:cs="Times New Roman" w:eastAsia="Times New Roman" w:hAnsi="Times New Roman"/>
          <w:sz w:val="13"/>
          <w:szCs w:val="13"/>
          <w:i w:val="1"/>
          <w:iCs w:val="1"/>
          <w:color w:val="auto"/>
        </w:rPr>
        <w:t>.</w:t>
      </w:r>
    </w:p>
    <w:p>
      <w:pPr>
        <w:spacing w:after="0" w:line="203" w:lineRule="exact"/>
        <w:rPr>
          <w:rFonts w:ascii="Times New Roman" w:cs="Times New Roman" w:eastAsia="Times New Roman" w:hAnsi="Times New Roman"/>
          <w:sz w:val="20"/>
          <w:szCs w:val="20"/>
          <w:i w:val="1"/>
          <w:iCs w:val="1"/>
          <w:color w:val="auto"/>
          <w:vertAlign w:val="superscript"/>
        </w:rPr>
      </w:pPr>
    </w:p>
    <w:p>
      <w:pPr>
        <w:ind w:left="5540" w:hanging="111"/>
        <w:spacing w:after="0"/>
        <w:tabs>
          <w:tab w:leader="none" w:pos="5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9. Derivative financial instruments, continued</w:t>
      </w:r>
    </w:p>
    <w:p>
      <w:pPr>
        <w:spacing w:after="0" w:line="112"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70"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$36.6 billion and $48.6 billion at September 30, 2020 and December 31, 2019, respectively. The notional amounts of foreign currency and other option and futures contracts entered into for trading account purposes aggregated $877 million and $1.2 billion at September 30, 2020 and December 31, 2019, respectively.</w:t>
      </w:r>
    </w:p>
    <w:p>
      <w:pPr>
        <w:spacing w:after="0" w:line="75" w:lineRule="exact"/>
        <w:rPr>
          <w:sz w:val="20"/>
          <w:szCs w:val="20"/>
          <w:color w:val="auto"/>
        </w:rPr>
      </w:pPr>
    </w:p>
    <w:p>
      <w:pPr>
        <w:jc w:val="both"/>
        <w:ind w:right="20" w:firstLine="510"/>
        <w:spacing w:after="0" w:line="270" w:lineRule="auto"/>
        <w:rPr>
          <w:sz w:val="20"/>
          <w:szCs w:val="20"/>
          <w:color w:val="auto"/>
        </w:rPr>
      </w:pPr>
      <w:r>
        <w:rPr>
          <w:rFonts w:ascii="Times New Roman" w:cs="Times New Roman" w:eastAsia="Times New Roman" w:hAnsi="Times New Roman"/>
          <w:sz w:val="21"/>
          <w:szCs w:val="21"/>
          <w:color w:val="auto"/>
        </w:rPr>
        <w:t>Information about the fair values of derivative instruments in the Company’s consolidated balance sheet and consolidated statement of income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80" w:type="dxa"/>
            <w:vAlign w:val="bottom"/>
          </w:tcPr>
          <w:p>
            <w:pPr>
              <w:spacing w:after="0"/>
              <w:rPr>
                <w:sz w:val="15"/>
                <w:szCs w:val="15"/>
                <w:color w:val="auto"/>
              </w:rPr>
            </w:pPr>
          </w:p>
        </w:tc>
        <w:tc>
          <w:tcPr>
            <w:tcW w:w="18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left="415"/>
              <w:spacing w:after="0" w:line="14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left="315"/>
              <w:spacing w:after="0" w:line="145"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and qualifying as hedging instruments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 (a)</w:t>
            </w:r>
          </w:p>
        </w:tc>
        <w:tc>
          <w:tcPr>
            <w:tcW w:w="80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Commitments to sell real estate loans (a)</w:t>
            </w:r>
          </w:p>
        </w:tc>
        <w:tc>
          <w:tcPr>
            <w:tcW w:w="6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and qualifying as hedging instruments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Mortgage-related commitments to originate real estate loans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for sale (a)</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to sell real estate loans (a)</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Trading:</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rate contracts (b)</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1,157,856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Foreign exchange and other option and futures contracts (b)</w:t>
            </w:r>
          </w:p>
        </w:tc>
        <w:tc>
          <w:tcPr>
            <w:tcW w:w="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1,219,131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425,840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134,334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84,676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derivatives</w:t>
            </w:r>
          </w:p>
        </w:tc>
        <w:tc>
          <w:tcPr>
            <w:tcW w:w="6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1,222,366</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427,267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137,931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87,091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Asset derivatives are reported in other assets and liability derivatives are reported in other liabilities.</w:t>
      </w:r>
    </w:p>
    <w:p>
      <w:pPr>
        <w:spacing w:after="0" w:line="9" w:lineRule="exact"/>
        <w:rPr>
          <w:rFonts w:ascii="Times New Roman" w:cs="Times New Roman" w:eastAsia="Times New Roman" w:hAnsi="Times New Roman"/>
          <w:sz w:val="15"/>
          <w:szCs w:val="15"/>
          <w:i w:val="1"/>
          <w:iCs w:val="1"/>
          <w:color w:val="auto"/>
        </w:rPr>
      </w:pPr>
    </w:p>
    <w:p>
      <w:pPr>
        <w:jc w:val="both"/>
        <w:ind w:left="500" w:hanging="492"/>
        <w:spacing w:after="0" w:line="234" w:lineRule="auto"/>
        <w:tabs>
          <w:tab w:leader="none" w:pos="500" w:val="left"/>
        </w:tabs>
        <w:numPr>
          <w:ilvl w:val="0"/>
          <w:numId w:val="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Asset derivatives are reported in trading account assets and liability derivatives are reported in other liabilities. The impact of variation margin payments at September 30, 2020 and December 31, 2019 was a reduction of the estimated fair value of interest rate contracts in the trading account in an asset position of $2.9 million and $43.3 million, respectively, and in a liability position of $944.9 million and $281.3 million,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3"/>
          </w:tcPr>
          <w:p>
            <w:pPr>
              <w:jc w:val="center"/>
              <w:ind w:right="104"/>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gridSpan w:val="3"/>
          </w:tcPr>
          <w:p>
            <w:pPr>
              <w:jc w:val="center"/>
              <w:ind w:right="219"/>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3"/>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60" w:type="dxa"/>
            <w:vAlign w:val="bottom"/>
            <w:tcBorders>
              <w:top w:val="single" w:sz="8" w:color="auto"/>
              <w:bottom w:val="single" w:sz="8" w:color="auto"/>
            </w:tcBorders>
            <w:gridSpan w:val="3"/>
          </w:tcPr>
          <w:p>
            <w:pPr>
              <w:jc w:val="right"/>
              <w:ind w:right="361"/>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360" w:type="dxa"/>
            <w:vAlign w:val="bottom"/>
            <w:tcBorders>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92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 fair value hedging relationships</w:t>
            </w: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(a)</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(13,067)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6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38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(22,412)</w:t>
            </w:r>
          </w:p>
        </w:tc>
        <w:tc>
          <w:tcPr>
            <w:tcW w:w="0" w:type="dxa"/>
            <w:vAlign w:val="bottom"/>
          </w:tcPr>
          <w:p>
            <w:pPr>
              <w:spacing w:after="0"/>
              <w:rPr>
                <w:sz w:val="1"/>
                <w:szCs w:val="1"/>
                <w:color w:val="auto"/>
              </w:rPr>
            </w:pPr>
          </w:p>
        </w:tc>
      </w:tr>
      <w:tr>
        <w:trPr>
          <w:trHeight w:val="210"/>
        </w:trPr>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6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Trading:</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contracts (b)</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(4,776)</w:t>
            </w:r>
          </w:p>
        </w:tc>
        <w:tc>
          <w:tcPr>
            <w:tcW w:w="9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 exchange and other option and futures contracts (b)</w:t>
            </w:r>
          </w:p>
        </w:tc>
        <w:tc>
          <w:tcPr>
            <w:tcW w:w="1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3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3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360" w:type="dxa"/>
            <w:vAlign w:val="bottom"/>
            <w:tcBorders>
              <w:bottom w:val="single" w:sz="8" w:color="CFF0FC"/>
            </w:tcBorders>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3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2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 Derivative financial instruments, continued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gridSpan w:val="4"/>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3"/>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56"/>
        </w:trPr>
        <w:tc>
          <w:tcPr>
            <w:tcW w:w="662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92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 fair value hedging relationships</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(a)</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75,760</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(75,607)</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113,441</w:t>
            </w:r>
          </w:p>
        </w:tc>
        <w:tc>
          <w:tcPr>
            <w:tcW w:w="38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(112,884)</w:t>
            </w:r>
          </w:p>
        </w:tc>
        <w:tc>
          <w:tcPr>
            <w:tcW w:w="0" w:type="dxa"/>
            <w:vAlign w:val="bottom"/>
          </w:tcPr>
          <w:p>
            <w:pPr>
              <w:spacing w:after="0"/>
              <w:rPr>
                <w:sz w:val="1"/>
                <w:szCs w:val="1"/>
                <w:color w:val="auto"/>
              </w:rPr>
            </w:pPr>
          </w:p>
        </w:tc>
      </w:tr>
      <w:tr>
        <w:trPr>
          <w:trHeight w:val="210"/>
        </w:trPr>
        <w:tc>
          <w:tcPr>
            <w:tcW w:w="6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Trading:</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contracts (b)</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 exchange and other option and futures contracts (b)</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3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3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15,543</w:t>
            </w:r>
          </w:p>
        </w:tc>
        <w:tc>
          <w:tcPr>
            <w:tcW w:w="3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24,329</w:t>
            </w:r>
          </w:p>
        </w:tc>
        <w:tc>
          <w:tcPr>
            <w:tcW w:w="3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500" w:hanging="452"/>
        <w:spacing w:after="0"/>
        <w:tabs>
          <w:tab w:leader="none" w:pos="50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Reported as an adjustment to interest expense.</w:t>
      </w:r>
    </w:p>
    <w:p>
      <w:pPr>
        <w:spacing w:after="0" w:line="28" w:lineRule="exact"/>
        <w:rPr>
          <w:rFonts w:ascii="Times New Roman" w:cs="Times New Roman" w:eastAsia="Times New Roman" w:hAnsi="Times New Roman"/>
          <w:sz w:val="16"/>
          <w:szCs w:val="16"/>
          <w:i w:val="1"/>
          <w:iCs w:val="1"/>
          <w:color w:val="auto"/>
        </w:rPr>
      </w:pPr>
    </w:p>
    <w:p>
      <w:pPr>
        <w:ind w:left="500" w:hanging="452"/>
        <w:spacing w:after="0"/>
        <w:tabs>
          <w:tab w:leader="none" w:pos="50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Reported as trading account and foreign exchange gains.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 Increasing</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(Decreasing) the Carrying 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 of the Hedged Item</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60" w:type="dxa"/>
            <w:vAlign w:val="bottom"/>
            <w:tcBorders>
              <w:bottom w:val="single" w:sz="8" w:color="auto"/>
            </w:tcBorders>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8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1"/>
                <w:szCs w:val="11"/>
                <w:color w:val="auto"/>
              </w:rPr>
            </w:pPr>
          </w:p>
        </w:tc>
        <w:tc>
          <w:tcPr>
            <w:tcW w:w="10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gridSpan w:val="2"/>
          </w:tcPr>
          <w:p>
            <w:pPr>
              <w:jc w:val="center"/>
              <w:ind w:left="28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248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spacing w:after="0"/>
              <w:rPr>
                <w:sz w:val="15"/>
                <w:szCs w:val="15"/>
                <w:color w:val="auto"/>
              </w:rPr>
            </w:pPr>
          </w:p>
        </w:tc>
        <w:tc>
          <w:tcPr>
            <w:tcW w:w="7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gridSpan w:val="4"/>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Location in the Consolidated Balance Sheet</w:t>
            </w:r>
          </w:p>
        </w:tc>
        <w:tc>
          <w:tcPr>
            <w:tcW w:w="1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of the Hedged Items in Fair Value Hedges</w:t>
            </w:r>
          </w:p>
        </w:tc>
        <w:tc>
          <w:tcPr>
            <w:tcW w:w="1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  2,417,559</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3,840,775</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119,247</w:t>
            </w:r>
          </w:p>
        </w:tc>
        <w:tc>
          <w:tcPr>
            <w:tcW w:w="64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The amount of gain (loss) recognized in the consolidated statement of income associated with derivatives designated as cash flow hedges was not material.</w:t>
      </w:r>
    </w:p>
    <w:p>
      <w:pPr>
        <w:spacing w:after="0" w:line="51"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20"/>
          <w:szCs w:val="20"/>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$66 million and $18 million at September 30, 2020 and December 31, 2019, respectively. Changes in unrealized gains and losses are included in mortgage banking revenues and, in general, are realized in subsequent periods as the related loans are sold and commitments satisfied.</w:t>
      </w:r>
    </w:p>
    <w:p>
      <w:pPr>
        <w:spacing w:after="0" w:line="6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9. Derivative financial instruments, continued</w:t>
      </w:r>
    </w:p>
    <w:p>
      <w:pPr>
        <w:spacing w:after="0" w:line="112"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 liability position and the net liability positions with counterparties, which are subject to master netting arrangements, was $127 million and $51 million at September 30, 2020 and December 31, 2019, respectively. The Company was required to post collateral relating to those positions of $123 million and $50 million at September 30, 2020 and December 31, 2019,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September 30, 2020 was not significant.</w:t>
      </w:r>
    </w:p>
    <w:p>
      <w:pPr>
        <w:spacing w:after="0" w:line="7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an asset position and the net asset positions with counterparties, which are subject to enforceable master netting arrangements, was nil at September 30, 2020 and $6 million at December 31, 2019. Counterparties posted collateral relating to those positions of $5 million at December 31, 2019. Trading account interest rate swap agreements entered into with customers are subject to the Company’s credit risk standards and often contain collateral provisions.</w:t>
      </w:r>
    </w:p>
    <w:p>
      <w:pPr>
        <w:spacing w:after="0" w:line="70"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$125 million and $84 million at September 30, 2020 and December 31, 2019,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 Variable interest entities and asset securitizations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Company’s securitization activity has consisted of securitizing loans originated for sale into government issued or guaranteed mortgage-backed securities that are then retained by the Company. The amounts of those securitizations during the nine-month periods ended September 30, 2020 and 2019 are presented in the Company’s consolidated statement of cash flows. The Company has not recognized any losses as a result of having securitized assets.</w:t>
      </w:r>
    </w:p>
    <w:p>
      <w:pPr>
        <w:spacing w:after="0" w:line="70"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As described in note 4,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September 30, 2020 and December 31, 2019,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 Variable interest entities and asset securitizations, continued</w:t>
      </w:r>
    </w:p>
    <w:p>
      <w:pPr>
        <w:spacing w:after="0" w:line="112" w:lineRule="exact"/>
        <w:rPr>
          <w:sz w:val="20"/>
          <w:szCs w:val="20"/>
          <w:color w:val="auto"/>
        </w:rPr>
      </w:pPr>
    </w:p>
    <w:p>
      <w:pPr>
        <w:jc w:val="both"/>
        <w:ind w:firstLine="510"/>
        <w:spacing w:after="0" w:line="242" w:lineRule="auto"/>
        <w:rPr>
          <w:sz w:val="20"/>
          <w:szCs w:val="20"/>
          <w:color w:val="auto"/>
        </w:rPr>
      </w:pPr>
      <w:r>
        <w:rPr>
          <w:rFonts w:ascii="Times New Roman" w:cs="Times New Roman" w:eastAsia="Times New Roman" w:hAnsi="Times New Roman"/>
          <w:sz w:val="21"/>
          <w:szCs w:val="21"/>
          <w:color w:val="auto"/>
        </w:rPr>
        <w:t>The Company has invested as a limited partner in various partnerships that collectively had total assets of approximately $2.1 billion at September 30, 2020 and $1.5 billion at December 31, 2019.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$791 million, including $380 million of unfunded commitments, at September 30, 2020 and $748 million, including $414 million of unfunded commitments, at December 31, 2019. Contingent commitments to provide additional capital contributions to these partnerships were not material at September 30, 2020. The Company has not provided financial or other support to the partnerships that was not contractually required. The Company’s maximum exposure to loss from its investments in such partnerships as of September 30, 2020 was $978 million,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$22 million and $65 million of its investments in qualified affordable housing projects to income tax expense during the three-month and nine-month periods ended September 30, 2020, respectively, and recognized $26 million and $78 million of tax credits and other tax benefits during those periods. Similarly, for the three-month and nine-month periods ended September 30, 2019, the Company amortized $17 million and $51 million, respectively, of its investments in qualified affordable housing projects to income tax expense and recognized $21 million and $62 million of tax credits and other tax benefits during those respective periods.</w:t>
      </w:r>
    </w:p>
    <w:p>
      <w:pPr>
        <w:spacing w:after="0" w:line="97"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Times New Roman" w:cs="Times New Roman" w:eastAsia="Times New Roman" w:hAnsi="Times New Roman"/>
          <w:sz w:val="17"/>
          <w:szCs w:val="17"/>
          <w:color w:val="auto"/>
        </w:rPr>
        <w:t>.</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11. Fair value measurements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GAAP permits an entity to choose to measure eligible financial instruments and other items at fair value. The Company has not made any fair value elections at September 30, 2020.</w:t>
      </w:r>
    </w:p>
    <w:p>
      <w:pPr>
        <w:spacing w:after="0" w:line="5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67" w:lineRule="exact"/>
        <w:rPr>
          <w:sz w:val="20"/>
          <w:szCs w:val="20"/>
          <w:color w:val="auto"/>
        </w:rPr>
      </w:pPr>
    </w:p>
    <w:p>
      <w:pPr>
        <w:ind w:left="1000" w:hanging="493"/>
        <w:spacing w:after="0"/>
        <w:tabs>
          <w:tab w:leader="none" w:pos="100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1 — Valuation is based on quoted prices in active markets for identical assets and liabilities.</w:t>
      </w:r>
    </w:p>
    <w:p>
      <w:pPr>
        <w:spacing w:after="0" w:line="109" w:lineRule="exact"/>
        <w:rPr>
          <w:rFonts w:ascii="Times New Roman" w:cs="Times New Roman" w:eastAsia="Times New Roman" w:hAnsi="Times New Roman"/>
          <w:sz w:val="21"/>
          <w:szCs w:val="21"/>
          <w:color w:val="auto"/>
        </w:rPr>
      </w:pPr>
    </w:p>
    <w:p>
      <w:pPr>
        <w:jc w:val="both"/>
        <w:ind w:left="1000" w:hanging="493"/>
        <w:spacing w:after="0" w:line="255" w:lineRule="auto"/>
        <w:tabs>
          <w:tab w:leader="none" w:pos="100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67" w:lineRule="exact"/>
        <w:rPr>
          <w:rFonts w:ascii="Times New Roman" w:cs="Times New Roman" w:eastAsia="Times New Roman" w:hAnsi="Times New Roman"/>
          <w:sz w:val="21"/>
          <w:szCs w:val="21"/>
          <w:color w:val="auto"/>
        </w:rPr>
      </w:pPr>
    </w:p>
    <w:p>
      <w:pPr>
        <w:jc w:val="both"/>
        <w:ind w:left="1000" w:hanging="493"/>
        <w:spacing w:after="0" w:line="255" w:lineRule="auto"/>
        <w:tabs>
          <w:tab w:leader="none" w:pos="100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75"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Fair value measurements, continued</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Trading account assets and liabilities</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Trading account assets and liabilities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Investment securities available for sale and equity securities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Real estate loans held for sale</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Commitments to originate real estate loans for sale and commitments to sell real estate loans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Interest rate swap agreements used for interest rate risk management</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Fair value measurements, continued</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67"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The following tables present assets and liabilities at September 30, 2020 and December 31, 2019 measured at estimated fair value on a recurring basis: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Trading account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1,215,573</w:t>
            </w:r>
          </w:p>
        </w:tc>
        <w:tc>
          <w:tcPr>
            <w:tcW w:w="5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50,023</w:t>
            </w: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1,165,550</w:t>
            </w:r>
          </w:p>
        </w:tc>
        <w:tc>
          <w:tcPr>
            <w:tcW w:w="380" w:type="dxa"/>
            <w:vAlign w:val="bottom"/>
          </w:tcPr>
          <w:p>
            <w:pPr>
              <w:spacing w:after="0"/>
              <w:rPr>
                <w:sz w:val="19"/>
                <w:szCs w:val="19"/>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5,165,701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5,165,701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Privately issued</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debt securities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5,302,338</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5,302,322</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909,335</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909,335</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 (a)</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56,816</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7,585,244</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122,879</w:t>
            </w:r>
          </w:p>
        </w:tc>
        <w:tc>
          <w:tcPr>
            <w:tcW w:w="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7,410,563</w:t>
            </w:r>
          </w:p>
        </w:tc>
        <w:tc>
          <w:tcPr>
            <w:tcW w:w="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122,985</w:t>
            </w:r>
          </w:p>
        </w:tc>
        <w:tc>
          <w:tcPr>
            <w:tcW w:w="36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137,931</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137,648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 account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470,129</w:t>
            </w:r>
          </w:p>
        </w:tc>
        <w:tc>
          <w:tcPr>
            <w:tcW w:w="5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49,040</w:t>
            </w:r>
          </w:p>
        </w:tc>
        <w:tc>
          <w:tcPr>
            <w:tcW w:w="6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421,089</w:t>
            </w:r>
          </w:p>
        </w:tc>
        <w:tc>
          <w:tcPr>
            <w:tcW w:w="3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6,180,940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6,180,940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Privately issued</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debt securities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6,318,776</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6,318,760</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442,079</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442,079</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 (a)</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7,387,491</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149,677</w:t>
            </w:r>
          </w:p>
        </w:tc>
        <w:tc>
          <w:tcPr>
            <w:tcW w:w="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7,225,833</w:t>
            </w:r>
          </w:p>
        </w:tc>
        <w:tc>
          <w:tcPr>
            <w:tcW w:w="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79,903</w:t>
            </w:r>
          </w:p>
        </w:tc>
        <w:tc>
          <w:tcPr>
            <w:tcW w:w="36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87,091</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85,866</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00" w:right="220" w:hanging="447"/>
        <w:spacing w:after="0" w:line="284" w:lineRule="auto"/>
        <w:tabs>
          <w:tab w:leader="none" w:pos="50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60" w:lineRule="exact"/>
        <w:rPr>
          <w:rFonts w:ascii="Times New Roman" w:cs="Times New Roman" w:eastAsia="Times New Roman" w:hAnsi="Times New Roman"/>
          <w:sz w:val="18"/>
          <w:szCs w:val="18"/>
          <w:i w:val="1"/>
          <w:iCs w:val="1"/>
          <w:color w:val="auto"/>
        </w:rPr>
      </w:pPr>
    </w:p>
    <w:p>
      <w:pPr>
        <w:ind w:left="5540" w:hanging="111"/>
        <w:spacing w:after="0"/>
        <w:tabs>
          <w:tab w:leader="none" w:pos="5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Fair value measurements, continued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changes in Level 3 assets and liabilities measured at estimated fair value on a recurring basis during the three months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September 30, 2020 and 2019 were as follows:</w:t>
      </w:r>
    </w:p>
    <w:p>
      <w:pPr>
        <w:spacing w:after="0" w:line="229"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Investment</w:t>
      </w:r>
    </w:p>
    <w:p>
      <w:pPr>
        <w:jc w:val="center"/>
        <w:ind w:left="680"/>
        <w:spacing w:after="0" w:line="229" w:lineRule="auto"/>
        <w:rPr>
          <w:sz w:val="20"/>
          <w:szCs w:val="20"/>
          <w:color w:val="auto"/>
        </w:rPr>
      </w:pPr>
      <w:r>
        <w:rPr>
          <w:rFonts w:ascii="Times New Roman" w:cs="Times New Roman" w:eastAsia="Times New Roman" w:hAnsi="Times New Roman"/>
          <w:sz w:val="14"/>
          <w:szCs w:val="14"/>
          <w:b w:val="1"/>
          <w:bCs w:val="1"/>
          <w:color w:val="auto"/>
        </w:rPr>
        <w:t>Securities</w:t>
      </w:r>
    </w:p>
    <w:p>
      <w:pPr>
        <w:jc w:val="center"/>
        <w:ind w:left="680"/>
        <w:spacing w:after="0" w:line="232" w:lineRule="auto"/>
        <w:rPr>
          <w:sz w:val="20"/>
          <w:szCs w:val="20"/>
          <w:color w:val="auto"/>
        </w:rPr>
      </w:pPr>
      <w:r>
        <w:rPr>
          <w:rFonts w:ascii="Times New Roman" w:cs="Times New Roman" w:eastAsia="Times New Roman" w:hAnsi="Times New Roman"/>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1"/>
        </w:trPr>
        <w:tc>
          <w:tcPr>
            <w:tcW w:w="3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tcBorders>
              <w:top w:val="single" w:sz="8" w:color="auto"/>
            </w:tcBorders>
          </w:tcPr>
          <w:p>
            <w:pPr>
              <w:jc w:val="center"/>
              <w:ind w:left="144"/>
              <w:spacing w:after="0" w:line="131" w:lineRule="exact"/>
              <w:rPr>
                <w:sz w:val="20"/>
                <w:szCs w:val="20"/>
                <w:color w:val="auto"/>
              </w:rPr>
            </w:pPr>
            <w:r>
              <w:rPr>
                <w:rFonts w:ascii="Times New Roman" w:cs="Times New Roman" w:eastAsia="Times New Roman" w:hAnsi="Times New Roman"/>
                <w:sz w:val="14"/>
                <w:szCs w:val="14"/>
                <w:b w:val="1"/>
                <w:bCs w:val="1"/>
                <w:color w:val="auto"/>
              </w:rPr>
              <w:t>Privately Issued</w:t>
            </w:r>
          </w:p>
        </w:tc>
        <w:tc>
          <w:tcPr>
            <w:tcW w:w="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Other Assets and</w:t>
            </w:r>
          </w:p>
        </w:tc>
        <w:tc>
          <w:tcPr>
            <w:tcW w:w="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Borders>
              <w:bottom w:val="single" w:sz="8" w:color="auto"/>
            </w:tcBorders>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Backed Securities</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tcBorders>
            <w:vMerge w:val="continue"/>
          </w:tcPr>
          <w:p>
            <w:pPr>
              <w:spacing w:after="0"/>
              <w:rPr>
                <w:sz w:val="15"/>
                <w:szCs w:val="15"/>
                <w:color w:val="auto"/>
              </w:rPr>
            </w:pPr>
          </w:p>
        </w:tc>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2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June 30, 2020</w:t>
            </w:r>
          </w:p>
        </w:tc>
        <w:tc>
          <w:tcPr>
            <w:tcW w:w="2140" w:type="dxa"/>
            <w:vAlign w:val="bottom"/>
            <w:gridSpan w:val="2"/>
          </w:tcPr>
          <w:p>
            <w:pPr>
              <w:jc w:val="right"/>
              <w:ind w:right="120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40,106</w:t>
            </w: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57,819</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(46,422) (b)</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September 30, 2020</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ind w:right="120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September 30, 2020</w:t>
            </w:r>
          </w:p>
        </w:tc>
        <w:tc>
          <w:tcPr>
            <w:tcW w:w="2140" w:type="dxa"/>
            <w:vAlign w:val="bottom"/>
            <w:gridSpan w:val="2"/>
          </w:tcPr>
          <w:p>
            <w:pPr>
              <w:jc w:val="right"/>
              <w:ind w:right="120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44,127</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60" w:type="dxa"/>
            <w:vAlign w:val="bottom"/>
            <w:tcBorders>
              <w:bottom w:val="single" w:sz="8" w:color="auto"/>
            </w:tcBorders>
            <w:vMerge w:val="continue"/>
          </w:tcPr>
          <w:p>
            <w:pPr>
              <w:spacing w:after="0"/>
              <w:rPr>
                <w:sz w:val="24"/>
                <w:szCs w:val="24"/>
                <w:color w:val="auto"/>
              </w:rPr>
            </w:pPr>
          </w:p>
        </w:tc>
        <w:tc>
          <w:tcPr>
            <w:tcW w:w="4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2019</w:t>
            </w:r>
          </w:p>
        </w:tc>
        <w:tc>
          <w:tcPr>
            <w:tcW w:w="2140" w:type="dxa"/>
            <w:vAlign w:val="bottom"/>
            <w:gridSpan w:val="2"/>
            <w:shd w:val="clear" w:color="auto" w:fill="CFF0FC"/>
          </w:tcPr>
          <w:p>
            <w:pPr>
              <w:jc w:val="right"/>
              <w:ind w:right="120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3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62,178</w:t>
            </w: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Settlements</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(55,104) (b)</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Balance — September 30, 2019</w:t>
            </w:r>
          </w:p>
        </w:tc>
        <w:tc>
          <w:tcPr>
            <w:tcW w:w="780" w:type="dxa"/>
            <w:vAlign w:val="bottom"/>
            <w:tcBorders>
              <w:bottom w:val="single" w:sz="8" w:color="CFF0FC"/>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20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FF0FC"/>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380" w:type="dxa"/>
            <w:vAlign w:val="bottom"/>
            <w:tcBorders>
              <w:bottom w:val="single" w:sz="8" w:color="CFF0FC"/>
            </w:tcBorders>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400" w:type="dxa"/>
            <w:vAlign w:val="bottom"/>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7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September 30, 2019</w:t>
            </w:r>
          </w:p>
        </w:tc>
        <w:tc>
          <w:tcPr>
            <w:tcW w:w="2140" w:type="dxa"/>
            <w:vAlign w:val="bottom"/>
            <w:gridSpan w:val="2"/>
            <w:shd w:val="clear" w:color="auto" w:fill="CFF0FC"/>
          </w:tcPr>
          <w:p>
            <w:pPr>
              <w:jc w:val="right"/>
              <w:ind w:right="120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19,350</w:t>
            </w: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FF0FC"/>
            </w:tcBorders>
          </w:tcPr>
          <w:p>
            <w:pPr>
              <w:spacing w:after="0" w:line="20" w:lineRule="exact"/>
              <w:rPr>
                <w:sz w:val="1"/>
                <w:szCs w:val="1"/>
                <w:color w:val="auto"/>
              </w:rPr>
            </w:pPr>
          </w:p>
        </w:tc>
        <w:tc>
          <w:tcPr>
            <w:tcW w:w="40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140" w:type="dxa"/>
            <w:vAlign w:val="bottom"/>
            <w:gridSpan w:val="2"/>
          </w:tcPr>
          <w:p>
            <w:pPr>
              <w:jc w:val="right"/>
              <w:ind w:right="644"/>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Fair value measurements, continued</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The changes in Level 3 assets and liabilities measured at estimated fair value on a recurring basis during the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September 30, 2020 and 2019 were as follows:</w:t>
      </w:r>
    </w:p>
    <w:p>
      <w:pPr>
        <w:jc w:val="center"/>
        <w:ind w:left="840"/>
        <w:spacing w:after="0" w:line="226" w:lineRule="auto"/>
        <w:rPr>
          <w:sz w:val="20"/>
          <w:szCs w:val="20"/>
          <w:color w:val="auto"/>
        </w:rPr>
      </w:pPr>
      <w:r>
        <w:rPr>
          <w:rFonts w:ascii="Times New Roman" w:cs="Times New Roman" w:eastAsia="Times New Roman" w:hAnsi="Times New Roman"/>
          <w:sz w:val="14"/>
          <w:szCs w:val="14"/>
          <w:b w:val="1"/>
          <w:bCs w:val="1"/>
          <w:color w:val="auto"/>
        </w:rPr>
        <w:t>Investment</w:t>
      </w:r>
    </w:p>
    <w:p>
      <w:pPr>
        <w:jc w:val="center"/>
        <w:ind w:left="840"/>
        <w:spacing w:after="0" w:line="222" w:lineRule="auto"/>
        <w:rPr>
          <w:sz w:val="20"/>
          <w:szCs w:val="20"/>
          <w:color w:val="auto"/>
        </w:rPr>
      </w:pPr>
      <w:r>
        <w:rPr>
          <w:rFonts w:ascii="Times New Roman" w:cs="Times New Roman" w:eastAsia="Times New Roman" w:hAnsi="Times New Roman"/>
          <w:sz w:val="14"/>
          <w:szCs w:val="14"/>
          <w:b w:val="1"/>
          <w:bCs w:val="1"/>
          <w:color w:val="auto"/>
        </w:rPr>
        <w:t>Securities</w:t>
      </w:r>
    </w:p>
    <w:p>
      <w:pPr>
        <w:jc w:val="center"/>
        <w:ind w:left="840"/>
        <w:spacing w:after="0" w:line="231" w:lineRule="auto"/>
        <w:rPr>
          <w:sz w:val="20"/>
          <w:szCs w:val="20"/>
          <w:color w:val="auto"/>
        </w:rPr>
      </w:pPr>
      <w:r>
        <w:rPr>
          <w:rFonts w:ascii="Times New Roman" w:cs="Times New Roman" w:eastAsia="Times New Roman" w:hAnsi="Times New Roman"/>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1"/>
        </w:trPr>
        <w:tc>
          <w:tcPr>
            <w:tcW w:w="3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Privately Issued</w:t>
            </w:r>
          </w:p>
        </w:tc>
        <w:tc>
          <w:tcPr>
            <w:tcW w:w="520" w:type="dxa"/>
            <w:vAlign w:val="bottom"/>
            <w:gridSpan w:val="2"/>
          </w:tcPr>
          <w:p>
            <w:pPr>
              <w:spacing w:after="0"/>
              <w:rPr>
                <w:sz w:val="11"/>
                <w:szCs w:val="11"/>
                <w:color w:val="auto"/>
              </w:rPr>
            </w:pPr>
          </w:p>
        </w:tc>
        <w:tc>
          <w:tcPr>
            <w:tcW w:w="12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Other Assets and</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4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Backed Securities</w:t>
            </w: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tcBorders>
            <w:vMerge w:val="continue"/>
          </w:tcPr>
          <w:p>
            <w:pPr>
              <w:spacing w:after="0"/>
              <w:rPr>
                <w:sz w:val="15"/>
                <w:szCs w:val="15"/>
                <w:color w:val="auto"/>
              </w:rPr>
            </w:pPr>
          </w:p>
        </w:tc>
        <w:tc>
          <w:tcPr>
            <w:tcW w:w="4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January 1, 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150,632</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shd w:val="clear" w:color="auto" w:fill="CFF0FC"/>
          </w:tcPr>
          <w:p>
            <w:pPr>
              <w:spacing w:after="0"/>
              <w:rPr>
                <w:sz w:val="19"/>
                <w:szCs w:val="19"/>
                <w:color w:val="auto"/>
              </w:rPr>
            </w:pPr>
          </w:p>
        </w:tc>
        <w:tc>
          <w:tcPr>
            <w:tcW w:w="196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(109,869) (b)</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September 30, 2020</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September 30, 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50,411</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360" w:type="dxa"/>
            <w:vAlign w:val="bottom"/>
            <w:tcBorders>
              <w:bottom w:val="single" w:sz="8" w:color="auto"/>
            </w:tcBorders>
            <w:vMerge w:val="continue"/>
          </w:tcPr>
          <w:p>
            <w:pPr>
              <w:spacing w:after="0"/>
              <w:rPr>
                <w:sz w:val="24"/>
                <w:szCs w:val="24"/>
                <w:color w:val="auto"/>
              </w:rPr>
            </w:pPr>
          </w:p>
        </w:tc>
        <w:tc>
          <w:tcPr>
            <w:tcW w:w="4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January 1, 2019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115,187</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(98,625) (b)</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September 30, 2019</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September 30, 2019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500" w:hanging="492"/>
        <w:spacing w:after="0" w:line="262" w:lineRule="auto"/>
        <w:tabs>
          <w:tab w:leader="none" w:pos="5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Reported as mortgage banking revenues in the consolidated statement of income and includes the fair value of commitment issuances and expirations.</w:t>
      </w:r>
    </w:p>
    <w:p>
      <w:pPr>
        <w:ind w:left="500" w:hanging="492"/>
        <w:spacing w:after="0"/>
        <w:tabs>
          <w:tab w:leader="none" w:pos="5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Transfers out of Level 3 consist of interest rate locks transferred to closed loans.</w:t>
      </w:r>
    </w:p>
    <w:p>
      <w:pPr>
        <w:spacing w:after="0" w:line="111" w:lineRule="exact"/>
        <w:rPr>
          <w:sz w:val="20"/>
          <w:szCs w:val="20"/>
          <w:color w:val="auto"/>
        </w:rPr>
      </w:pPr>
    </w:p>
    <w:p>
      <w:pPr>
        <w:ind w:right="420" w:firstLine="1206"/>
        <w:spacing w:after="0" w:line="270" w:lineRule="auto"/>
        <w:rPr>
          <w:sz w:val="20"/>
          <w:szCs w:val="20"/>
          <w:color w:val="auto"/>
        </w:rPr>
      </w:pPr>
      <w:r>
        <w:rPr>
          <w:rFonts w:ascii="Times New Roman" w:cs="Times New Roman" w:eastAsia="Times New Roman" w:hAnsi="Times New Roman"/>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Loans</w:t>
      </w:r>
    </w:p>
    <w:p>
      <w:pPr>
        <w:spacing w:after="0" w:line="1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Fair value measurements, continued</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specific borrower facts and circumstances and the experience of credit personnel in their dealings with similar borrower collateral liquidations. Such discounts were in the range of 15% to 90% with a weighted-average of 59% at September 30, 2020.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which at September 30, 2020 was 50%. As these recovery rates are not readily observable by market participants, such valuation adjustments have been classified as Level 3. Loans subject to nonrecurring fair value measurement were $387 million at September 30, 2020 ($159 million and $228 million of which were classified as Level 2 and Level 3, respectively), $305 million at December 31, 2019 ($115 million and $190 million of which were classified as Level 2 and Level 3, respectively) and $302 million at September 30, 2019 ($122 million and $180 million of which were classified as Level 2 and Level 3, respectively). Changes in fair value recognized for partial charge-offs of loans and loan impairment reserves on loans held by the Company on September 30, 2020 were decreases of $82 million and $153 million for the three-month and nine-month periods ended September 30, 2020, respectively. Changes in fair value recognized for partial charge-offs of loans and loan impairment reserves on loans held by the Company on September 30, 2019 were decreases of $51 million and $85 million for the three-month and nine-month periods ended September 30, 2019,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Assets taken in foreclosure of defaulted loans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$27 million and $17 million at September 30, 2020 and 2019, respectively. Changes in fair value recognized for those foreclosed assets held by the Company were not material during the three-month and nine-month periods ended September 30, 2020 and 2019.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Capitalized servicing rights</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of $165 million and $188 million at September 30, 2020 and December 31, 2019, respectively, required a valuation allowance of $27 million and $7 million, respectively. Significant unobservable inputs used in this Level 3 valuation included weighted-average prepayment speeds of 17.19% and 18.50% at September 30, 2020 and December 31, 2019, respectively, and a weighted-average option-adjusted spread of 900 basis points at each date. There was no impairment charge for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Fair value measurements, continued</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capitalized servicing rights during the three months ended September 30, 2020, but a $20 million valuation charge was recognized during the nine months ended September 30, 2020. Changes recognized for impairment of capitalized servicing rights were $14 million and $23 million for the three months and nine months ended September 30, 2019,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Significant unobservable inputs to Level 3 measurements</w:t>
      </w:r>
    </w:p>
    <w:p>
      <w:pPr>
        <w:spacing w:after="0" w:line="208"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21"/>
          <w:szCs w:val="21"/>
          <w:color w:val="auto"/>
        </w:rPr>
        <w:t>The following tables present quantitative information about significant unobservable inputs used in the fair value measurements for certain Level 3 assets and liabilities at September 30, 2020 and December 31,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300" w:type="dxa"/>
            <w:vAlign w:val="bottom"/>
          </w:tcPr>
          <w:p>
            <w:pPr>
              <w:spacing w:after="0"/>
              <w:rPr>
                <w:sz w:val="13"/>
                <w:szCs w:val="13"/>
                <w:color w:val="auto"/>
              </w:rPr>
            </w:pPr>
          </w:p>
        </w:tc>
        <w:tc>
          <w:tcPr>
            <w:tcW w:w="18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vMerge w:val="restart"/>
          </w:tcPr>
          <w:p>
            <w:pPr>
              <w:spacing w:after="0"/>
              <w:rPr>
                <w:sz w:val="12"/>
                <w:szCs w:val="12"/>
                <w:color w:val="auto"/>
              </w:rPr>
            </w:pPr>
          </w:p>
        </w:tc>
        <w:tc>
          <w:tcPr>
            <w:tcW w:w="17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3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Inputs/Assumptions</w:t>
            </w:r>
          </w:p>
        </w:tc>
        <w:tc>
          <w:tcPr>
            <w:tcW w:w="40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Recurring fair value measurements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54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Privately issued mortgage-</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Two independent</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backed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pricing quotes</w:t>
            </w:r>
          </w:p>
        </w:tc>
        <w:tc>
          <w:tcPr>
            <w:tcW w:w="30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Commitment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assets (liabilities) (a)</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51,503</w:t>
            </w: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expirations</w:t>
            </w:r>
          </w:p>
        </w:tc>
        <w:tc>
          <w:tcPr>
            <w:tcW w:w="1900" w:type="dxa"/>
            <w:vAlign w:val="bottom"/>
          </w:tcPr>
          <w:p>
            <w:pPr>
              <w:jc w:val="right"/>
              <w:ind w:right="278"/>
              <w:spacing w:after="0"/>
              <w:rPr>
                <w:sz w:val="20"/>
                <w:szCs w:val="20"/>
                <w:color w:val="auto"/>
              </w:rPr>
            </w:pPr>
            <w:r>
              <w:rPr>
                <w:rFonts w:ascii="Times New Roman" w:cs="Times New Roman" w:eastAsia="Times New Roman" w:hAnsi="Times New Roman"/>
                <w:sz w:val="18"/>
                <w:szCs w:val="18"/>
                <w:color w:val="auto"/>
              </w:rPr>
              <w:t>0% - 90%(18%)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w w:val="99"/>
              </w:rPr>
              <w:t>Recurring fair value measurements</w:t>
            </w:r>
          </w:p>
        </w:tc>
        <w:tc>
          <w:tcPr>
            <w:tcW w:w="10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Privately issued mortgage-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Two independent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backed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pricing quotes</w:t>
            </w:r>
          </w:p>
        </w:tc>
        <w:tc>
          <w:tcPr>
            <w:tcW w:w="300" w:type="dxa"/>
            <w:vAlign w:val="bottom"/>
          </w:tcPr>
          <w:p>
            <w:pPr>
              <w:spacing w:after="0"/>
              <w:rPr>
                <w:sz w:val="20"/>
                <w:szCs w:val="20"/>
                <w:color w:val="auto"/>
              </w:rPr>
            </w:pPr>
          </w:p>
        </w:tc>
        <w:tc>
          <w:tcPr>
            <w:tcW w:w="1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Commitment</w:t>
            </w: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assets (liabilities) (a)</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40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12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expirations</w:t>
            </w:r>
          </w:p>
        </w:tc>
        <w:tc>
          <w:tcPr>
            <w:tcW w:w="190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18"/>
                <w:szCs w:val="18"/>
                <w:color w:val="auto"/>
              </w:rPr>
              <w:t>0% - 99% (13%)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560" w:hanging="552"/>
        <w:spacing w:after="0"/>
        <w:tabs>
          <w:tab w:leader="none" w:pos="5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Level 3 assets (liabilities) consist of commitments to originate real estate loans.</w:t>
      </w: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Sensitivity of fair value measurements to changes in unobservable inputs</w:t>
      </w:r>
    </w:p>
    <w:p>
      <w:pPr>
        <w:spacing w:after="0" w:line="195" w:lineRule="exact"/>
        <w:rPr>
          <w:sz w:val="20"/>
          <w:szCs w:val="20"/>
          <w:color w:val="auto"/>
        </w:rPr>
      </w:pPr>
    </w:p>
    <w:p>
      <w:pPr>
        <w:jc w:val="both"/>
        <w:ind w:left="40"/>
        <w:spacing w:after="0" w:line="237" w:lineRule="auto"/>
        <w:rPr>
          <w:sz w:val="20"/>
          <w:szCs w:val="20"/>
          <w:color w:val="auto"/>
        </w:rPr>
      </w:pPr>
      <w:r>
        <w:rPr>
          <w:rFonts w:ascii="Times New Roman" w:cs="Times New Roman" w:eastAsia="Times New Roman" w:hAnsi="Times New Roman"/>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right="7040" w:firstLine="8"/>
        <w:spacing w:after="0" w:line="367" w:lineRule="auto"/>
        <w:tabs>
          <w:tab w:leader="none" w:pos="299"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Fair value measurements, continued </w:t>
      </w:r>
      <w:r>
        <w:rPr>
          <w:rFonts w:ascii="Times New Roman" w:cs="Times New Roman" w:eastAsia="Times New Roman" w:hAnsi="Times New Roman"/>
          <w:sz w:val="20"/>
          <w:szCs w:val="20"/>
          <w:b w:val="1"/>
          <w:bCs w:val="1"/>
          <w:i w:val="1"/>
          <w:iCs w:val="1"/>
          <w:color w:val="auto"/>
        </w:rPr>
        <w:t>Disclosures of fair value of financial instruments</w:t>
      </w: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The carrying amounts and estimated fair value for financial instrument assets (liabilities) are presented in the following table: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1,489,232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1,489,232</w:t>
            </w: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1,437,569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51,663</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20,197,937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20,197,937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20,197,937</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 assets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1,215,573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1,215,573</w:t>
            </w: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50,023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1,165,550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7,723,004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7,816,236</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72,856</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7,670,141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and leases: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27,891,648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27,422,525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27,422,525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37,582,084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36,343,024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336,039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36,006,985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16,663,708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16,935,950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4,070,917</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12,865,033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Consumer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16,309,608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16,149,710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(1,758,505)</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96,688,543</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96,851,209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4,406,956</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92,444,253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429,751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429,751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429,751</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(44,201,670)</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(44,201,670)</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(44,201,670)</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(65,732,130)</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(65,732,130)</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(65,732,130)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(4,329,550)</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(4,357,963)</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(4,357,963)</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(899,989)</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(899,989)</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(899,989)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(46,123)</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(46,123)</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(46,123)</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borrowings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(5,458,885)</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(5,540,675)</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(5,540,675)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(66,158)</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(66,158)</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(66,158)</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(122,985)</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(122,985)</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(122,985)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to originate real estate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for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51,503</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(10,010)</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(10,010)</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(10,010)</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credit-related commitments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(135,416)</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(135,416)</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(135,416)</w:t>
            </w:r>
          </w:p>
        </w:tc>
        <w:tc>
          <w:tcPr>
            <w:tcW w:w="0" w:type="dxa"/>
            <w:vAlign w:val="bottom"/>
          </w:tcPr>
          <w:p>
            <w:pPr>
              <w:spacing w:after="0"/>
              <w:rPr>
                <w:sz w:val="1"/>
                <w:szCs w:val="1"/>
                <w:color w:val="auto"/>
              </w:rPr>
            </w:pPr>
          </w:p>
        </w:tc>
      </w:tr>
      <w:tr>
        <w:trPr>
          <w:trHeight w:val="211"/>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swap agreements used for</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rate risk management</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Fair value measurements,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00" w:type="dxa"/>
            <w:vAlign w:val="bottom"/>
            <w:gridSpan w:val="2"/>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1"/>
                <w:szCs w:val="11"/>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1,432,805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1,432,805</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1,394,984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37,821</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7,190,154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7,190,154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7,190,154</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funds sold</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Trading account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470,129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470,129</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421,089</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9,497,251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9,539,540</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100,637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9,351,793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and leases: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loans and leases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23,838,168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23,510,908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35,541,914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35,517,180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35,488,842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16,156,094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16,227,274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3,990,848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Consumer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15,386,693</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15,413,262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15,413,262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(1,051,071)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Loans and leases, net</w:t>
            </w: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89,871,798</w:t>
            </w:r>
          </w:p>
        </w:tc>
        <w:tc>
          <w:tcPr>
            <w:tcW w:w="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90,668,624</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4,019,186</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86,649,438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333,142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333,142</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(32,396,407)</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(32,396,407)</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(32,396,407)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(54,932,162)</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(54,932,162)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(54,932,162)</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(5,757,456)</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(5,829,347)</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(5,829,347)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(1,684,044)</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(1,684,044)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(1,684,044)</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(62,363)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(62,363)</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(62,363)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(6,986,186)</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(7,063,165)</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(7,063,165)</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(105,374)</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(105,374)</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(105,374)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(79,903)</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(79,903)</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(79,903)</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to originate real estate</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for sale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credit-related commitments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(136,470)</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(136,470)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(136,470)</w:t>
            </w:r>
          </w:p>
        </w:tc>
        <w:tc>
          <w:tcPr>
            <w:tcW w:w="0" w:type="dxa"/>
            <w:vAlign w:val="bottom"/>
          </w:tcPr>
          <w:p>
            <w:pPr>
              <w:spacing w:after="0"/>
              <w:rPr>
                <w:sz w:val="1"/>
                <w:szCs w:val="1"/>
                <w:color w:val="auto"/>
              </w:rPr>
            </w:pPr>
          </w:p>
        </w:tc>
      </w:tr>
      <w:tr>
        <w:trPr>
          <w:trHeight w:val="211"/>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 agreements used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risk management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(1,762)</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2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76"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12. Commitments and contingencies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60" w:type="dxa"/>
            <w:vAlign w:val="bottom"/>
          </w:tcPr>
          <w:p>
            <w:pPr>
              <w:spacing w:after="0"/>
              <w:rPr>
                <w:sz w:val="15"/>
                <w:szCs w:val="15"/>
                <w:color w:val="auto"/>
              </w:rPr>
            </w:pPr>
          </w:p>
        </w:tc>
        <w:tc>
          <w:tcPr>
            <w:tcW w:w="260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55"/>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Borders>
              <w:top w:val="single" w:sz="8" w:color="auto"/>
            </w:tcBorders>
            <w:gridSpan w:val="2"/>
          </w:tcPr>
          <w:p>
            <w:pPr>
              <w:jc w:val="right"/>
              <w:ind w:right="61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6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  5,557,722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5,442,160</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 loans to be sold</w:t>
            </w:r>
          </w:p>
        </w:tc>
        <w:tc>
          <w:tcPr>
            <w:tcW w:w="26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216,353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164,076</w:t>
            </w:r>
          </w:p>
        </w:tc>
        <w:tc>
          <w:tcPr>
            <w:tcW w:w="8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real estate</w:t>
            </w:r>
          </w:p>
        </w:tc>
        <w:tc>
          <w:tcPr>
            <w:tcW w:w="26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8,031,403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9,029,608</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real estate loans to be sold</w:t>
            </w:r>
          </w:p>
        </w:tc>
        <w:tc>
          <w:tcPr>
            <w:tcW w:w="26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1,134,097</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423,056</w:t>
            </w:r>
          </w:p>
        </w:tc>
        <w:tc>
          <w:tcPr>
            <w:tcW w:w="8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residential real estate</w:t>
            </w:r>
          </w:p>
        </w:tc>
        <w:tc>
          <w:tcPr>
            <w:tcW w:w="26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712,964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448,375</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other</w:t>
            </w:r>
          </w:p>
        </w:tc>
        <w:tc>
          <w:tcPr>
            <w:tcW w:w="26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19,921,166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16,170,731</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6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2,354,799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2,441,432</w:t>
            </w:r>
          </w:p>
        </w:tc>
        <w:tc>
          <w:tcPr>
            <w:tcW w:w="8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26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32,422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41,059</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Financial guarantees and indemnification contracts</w:t>
            </w:r>
          </w:p>
        </w:tc>
        <w:tc>
          <w:tcPr>
            <w:tcW w:w="26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4,250,654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4,108,572</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26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1,895,436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906,037</w:t>
            </w:r>
          </w:p>
        </w:tc>
        <w:tc>
          <w:tcPr>
            <w:tcW w:w="80" w:type="dxa"/>
            <w:vAlign w:val="bottom"/>
            <w:shd w:val="clear" w:color="auto" w:fill="CFF0FC"/>
          </w:tcPr>
          <w:p>
            <w:pPr>
              <w:spacing w:after="0"/>
              <w:rPr>
                <w:sz w:val="19"/>
                <w:szCs w:val="19"/>
                <w:color w:val="auto"/>
              </w:rPr>
            </w:pPr>
          </w:p>
        </w:tc>
      </w:tr>
    </w:tbl>
    <w:p>
      <w:pPr>
        <w:spacing w:after="0" w:line="237"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20"/>
          <w:szCs w:val="20"/>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$10.1 billion and $9.1 billion at September 30, 2020 and December 31, 2019,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66"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$3.9 billion at each of September 30, 2020 and December 31, 2019.</w:t>
      </w:r>
    </w:p>
    <w:p>
      <w:pPr>
        <w:spacing w:after="0" w:line="75"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5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6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Commitments and contingencies, continued</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amount of those charges is based on the volume of loans sold, the level of reimbursement requests received from loan purchasers and estimates of losses that may be associated with previously sold loans. At September 30, 2020, the Company believes that its obligation to loan purchasers was not material to the Company’s consolidated financial position.</w:t>
      </w:r>
    </w:p>
    <w:p>
      <w:pPr>
        <w:spacing w:after="0" w:line="67"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the recorded liability, the amount of such excess is not currently estimable. Although not considered probable, the range of reasonably possible losses for such matters in the aggregate, beyond the existing recorded liability, was estimated to be between $0 and $25 million as of September 30, 2020.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13. Segment information</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5"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financial information of the Company's segments was compiled utilizing the accounting policies described in note 22 of Notes to Financial Statements in the 2019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13. Segment information, continued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Information about the Company's segments is presented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13"/>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140" w:type="dxa"/>
            <w:vAlign w:val="bottom"/>
          </w:tcPr>
          <w:p>
            <w:pPr>
              <w:spacing w:after="0"/>
              <w:rPr>
                <w:sz w:val="11"/>
                <w:szCs w:val="11"/>
                <w:color w:val="auto"/>
              </w:rPr>
            </w:pPr>
          </w:p>
        </w:tc>
        <w:tc>
          <w:tcPr>
            <w:tcW w:w="7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7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Inter-</w:t>
            </w:r>
          </w:p>
        </w:tc>
        <w:tc>
          <w:tcPr>
            <w:tcW w:w="14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8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120" w:type="dxa"/>
            <w:vAlign w:val="bottom"/>
          </w:tcPr>
          <w:p>
            <w:pPr>
              <w:spacing w:after="0"/>
              <w:rPr>
                <w:sz w:val="15"/>
                <w:szCs w:val="15"/>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131,566</w:t>
            </w: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35,614</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143,741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276,125</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131,414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282,757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202,987</w:t>
            </w: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87,095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238,364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140,135</w:t>
            </w:r>
          </w:p>
        </w:tc>
        <w:tc>
          <w:tcPr>
            <w:tcW w:w="9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(10,748)</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97,399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50,871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161,151</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22,190</w:t>
            </w:r>
          </w:p>
        </w:tc>
        <w:tc>
          <w:tcPr>
            <w:tcW w:w="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45,318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115,239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19,363</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351,312</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85,229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432,339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200,380</w:t>
            </w: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(11,809)</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(109,933)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294,358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(12,971)</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(6,983)</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$ 1,463,656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$ 1,557,669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5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16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140" w:type="dxa"/>
            <w:vAlign w:val="bottom"/>
          </w:tcPr>
          <w:p>
            <w:pPr>
              <w:spacing w:after="0"/>
              <w:rPr>
                <w:sz w:val="11"/>
                <w:szCs w:val="11"/>
                <w:color w:val="auto"/>
              </w:rPr>
            </w:pPr>
          </w:p>
        </w:tc>
        <w:tc>
          <w:tcPr>
            <w:tcW w:w="640" w:type="dxa"/>
            <w:vAlign w:val="bottom"/>
          </w:tcPr>
          <w:p>
            <w:pPr>
              <w:jc w:val="center"/>
              <w:ind w:right="66"/>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1"/>
                <w:szCs w:val="11"/>
                <w:color w:val="auto"/>
              </w:rPr>
            </w:pPr>
          </w:p>
        </w:tc>
        <w:tc>
          <w:tcPr>
            <w:tcW w:w="76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140" w:type="dxa"/>
            <w:vAlign w:val="bottom"/>
          </w:tcPr>
          <w:p>
            <w:pPr>
              <w:spacing w:after="0"/>
              <w:rPr>
                <w:sz w:val="11"/>
                <w:szCs w:val="11"/>
                <w:color w:val="auto"/>
              </w:rPr>
            </w:pPr>
          </w:p>
        </w:tc>
        <w:tc>
          <w:tcPr>
            <w:tcW w:w="720" w:type="dxa"/>
            <w:vAlign w:val="bottom"/>
          </w:tcPr>
          <w:p>
            <w:pPr>
              <w:jc w:val="center"/>
              <w:ind w:right="85"/>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8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8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80" w:type="dxa"/>
            <w:vAlign w:val="bottom"/>
          </w:tcPr>
          <w:p>
            <w:pPr>
              <w:spacing w:after="0"/>
              <w:rPr>
                <w:sz w:val="15"/>
                <w:szCs w:val="15"/>
                <w:color w:val="auto"/>
              </w:rPr>
            </w:pPr>
          </w:p>
        </w:tc>
        <w:tc>
          <w:tcPr>
            <w:tcW w:w="9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8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10"/>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407,485</w:t>
            </w:r>
          </w:p>
        </w:tc>
        <w:tc>
          <w:tcPr>
            <w:tcW w:w="1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106,103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423,830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131,668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855,426</w:t>
            </w: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828,357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653,405</w:t>
            </w:r>
          </w:p>
        </w:tc>
        <w:tc>
          <w:tcPr>
            <w:tcW w:w="1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311,586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682,979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328,181</w:t>
            </w:r>
          </w:p>
        </w:tc>
        <w:tc>
          <w:tcPr>
            <w:tcW w:w="140" w:type="dxa"/>
            <w:vAlign w:val="bottom"/>
            <w:shd w:val="clear" w:color="auto" w:fill="CFF0FC"/>
          </w:tcPr>
          <w:p>
            <w:pPr>
              <w:spacing w:after="0"/>
              <w:rPr>
                <w:sz w:val="19"/>
                <w:szCs w:val="19"/>
                <w:color w:val="auto"/>
              </w:rPr>
            </w:pPr>
          </w:p>
        </w:tc>
        <w:tc>
          <w:tcPr>
            <w:tcW w:w="900" w:type="dxa"/>
            <w:vAlign w:val="bottom"/>
            <w:gridSpan w:val="4"/>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(33,646)</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175,764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(29,140)</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428,757</w:t>
            </w:r>
          </w:p>
        </w:tc>
        <w:tc>
          <w:tcPr>
            <w:tcW w:w="1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64,623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107,334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295,449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1,107,516</w:t>
            </w: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1,299,823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633,461</w:t>
            </w:r>
          </w:p>
        </w:tc>
        <w:tc>
          <w:tcPr>
            <w:tcW w:w="140" w:type="dxa"/>
            <w:vAlign w:val="bottom"/>
          </w:tcPr>
          <w:p>
            <w:pPr>
              <w:spacing w:after="0"/>
              <w:rPr>
                <w:sz w:val="19"/>
                <w:szCs w:val="19"/>
                <w:color w:val="auto"/>
              </w:rPr>
            </w:pPr>
          </w:p>
        </w:tc>
        <w:tc>
          <w:tcPr>
            <w:tcW w:w="90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(34,678)</w:t>
            </w:r>
          </w:p>
        </w:tc>
        <w:tc>
          <w:tcPr>
            <w:tcW w:w="8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(529,918)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955,868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(35,690)</w:t>
            </w:r>
          </w:p>
        </w:tc>
        <w:tc>
          <w:tcPr>
            <w:tcW w:w="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(14,709)</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$ 4,414,231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882,012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$ 4,662,070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1,436,083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84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13. Segment information, continued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Average Total Assets</w:t>
            </w:r>
          </w:p>
        </w:tc>
      </w:tr>
      <w:tr>
        <w:trPr>
          <w:trHeight w:val="131"/>
        </w:trPr>
        <w:tc>
          <w:tcPr>
            <w:tcW w:w="60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4"/>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1"/>
                <w:szCs w:val="11"/>
                <w:color w:val="auto"/>
              </w:rPr>
            </w:pPr>
          </w:p>
        </w:tc>
      </w:tr>
      <w:tr>
        <w:trPr>
          <w:trHeight w:val="162"/>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Pr>
          <w:p>
            <w:pPr>
              <w:spacing w:after="0"/>
              <w:rPr>
                <w:sz w:val="15"/>
                <w:szCs w:val="15"/>
                <w:color w:val="auto"/>
              </w:rPr>
            </w:pPr>
          </w:p>
        </w:tc>
      </w:tr>
      <w:tr>
        <w:trPr>
          <w:trHeight w:val="184"/>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31"/>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80" w:type="dxa"/>
            <w:vAlign w:val="bottom"/>
          </w:tcPr>
          <w:p>
            <w:pPr>
              <w:spacing w:after="0"/>
              <w:rPr>
                <w:sz w:val="24"/>
                <w:szCs w:val="24"/>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28,089</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28,142</w:t>
            </w:r>
          </w:p>
        </w:tc>
        <w:tc>
          <w:tcPr>
            <w:tcW w:w="8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25,594</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23,893</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23,921</w:t>
            </w: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27,878</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29,355</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29,081</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8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15,083</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80" w:type="dxa"/>
            <w:vAlign w:val="bottom"/>
            <w:tcBorders>
              <w:bottom w:val="single" w:sz="8" w:color="CFF0FC"/>
            </w:tcBorders>
          </w:tcPr>
          <w:p>
            <w:pPr>
              <w:spacing w:after="0"/>
              <w:rPr>
                <w:sz w:val="19"/>
                <w:szCs w:val="19"/>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132,430</w:t>
            </w:r>
          </w:p>
        </w:tc>
        <w:tc>
          <w:tcPr>
            <w:tcW w:w="1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118,584</w:t>
            </w: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119,584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jc w:val="both"/>
        <w:ind w:left="500" w:hanging="492"/>
        <w:spacing w:after="0" w:line="267" w:lineRule="auto"/>
        <w:tabs>
          <w:tab w:leader="none" w:pos="50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$4,019,000 and $5,579,000 for the three-month periods ended September 30, 2020 and 2019, respectively, and $13,316,000 and $17,471,000 for the nine-month periods ended September 30, 2020 and 2019, respectively, and is eliminated in "All Other" total revenues. Intersegment revenues are included in total revenues of the reportable segments. The elimination of intersegment revenues is included in the determination of "All Other" total revenues</w:t>
      </w:r>
      <w:r>
        <w:rPr>
          <w:rFonts w:ascii="Times New Roman" w:cs="Times New Roman" w:eastAsia="Times New Roman" w:hAnsi="Times New Roman"/>
          <w:sz w:val="14"/>
          <w:szCs w:val="14"/>
          <w:i w:val="1"/>
          <w:iCs w:val="1"/>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 Relationship with Bayview Lending Group LLC and Bayview Financial Holdings, L.P.</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M&amp;T holds a minority interest in Bayview Lending Group LLC ("BLG"), a privately-held commercial mortgage company. That investment had no remaining carrying value at September 30, 2020 as a result of cumulative losses recognized and cash distributions received in prior years. Income recognized by M&amp;T is included in other revenues from operations and totaled $23 million and $37 million for the nine-month periods ended September 30, 2020 and 2019, respectively. There was no similar income recognized during the three-month periods ended September 30, 2020 and 2019.</w:t>
      </w:r>
    </w:p>
    <w:p>
      <w:pPr>
        <w:spacing w:after="0" w:line="75"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$2.0 billion and $2.2 billion at September 30, 2020 and December 31, 2019, respectively. Revenues from those servicing rights were $2 million and $3 million for the three-month periods ended September 30, 2020 and 2019, respectively, and $7 million and $9 million for the nine-month periods ended September 30, 2020 and 2019, respectively. The Company sub-services residential mortgage loans for Bayview Financial having outstanding principal balances of $67.0 billion and $62.8 billion at September 30, 2020 and December 31, 2019, respectively. Revenues earned for sub-servicing loans for Bayview Financial were $30 million and $33 million for the three-month periods ended September 30, 2020 and 2019, respectively and $101 million and $90 million for the nine-month periods ended September 30, 2020 and 2019, respectively. In addition, the Company held $80 million and $93 million of mortgage-backed securities in its held-to-maturity portfolio at September 30, 2020 and December 31, 2019, respectively, that were securitized by Bayview Financial. At September 30, 2020, the Company held $164 million of Bayview Financial’s $1.0 billion syndicated loan facility. Also, in the second quarter the Company extended two $100 million secured loan facilities to certain funds managed by Bayview Financial. One of the two loans was still outstanding as of September 30, 2020 with a remaining balance of $87 million.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Recent accounting developments</w:t>
      </w:r>
    </w:p>
    <w:p>
      <w:pPr>
        <w:spacing w:after="0" w:line="22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following table provides a description of accounting standards that were adopted by the Company in 2020 as well as standards that are not effective that could have an impact to M&amp;T’s consolidated financial statements upon adoption.</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1640" w:type="dxa"/>
            <w:vAlign w:val="bottom"/>
            <w:tcBorders>
              <w:top w:val="single" w:sz="8" w:color="auto"/>
              <w:left w:val="single" w:sz="8" w:color="auto"/>
              <w:right w:val="single" w:sz="8" w:color="auto"/>
            </w:tcBorders>
          </w:tcPr>
          <w:p>
            <w:pPr>
              <w:spacing w:after="0"/>
              <w:rPr>
                <w:sz w:val="11"/>
                <w:szCs w:val="11"/>
                <w:color w:val="auto"/>
              </w:rPr>
            </w:pPr>
          </w:p>
        </w:tc>
        <w:tc>
          <w:tcPr>
            <w:tcW w:w="3840" w:type="dxa"/>
            <w:vAlign w:val="bottom"/>
            <w:tcBorders>
              <w:top w:val="single" w:sz="8" w:color="auto"/>
              <w:right w:val="single" w:sz="8" w:color="auto"/>
            </w:tcBorders>
          </w:tcPr>
          <w:p>
            <w:pPr>
              <w:spacing w:after="0"/>
              <w:rPr>
                <w:sz w:val="11"/>
                <w:szCs w:val="11"/>
                <w:color w:val="auto"/>
              </w:rPr>
            </w:pPr>
          </w:p>
        </w:tc>
        <w:tc>
          <w:tcPr>
            <w:tcW w:w="1480" w:type="dxa"/>
            <w:vAlign w:val="bottom"/>
            <w:tcBorders>
              <w:top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Required date</w:t>
            </w:r>
          </w:p>
        </w:tc>
        <w:tc>
          <w:tcPr>
            <w:tcW w:w="4280" w:type="dxa"/>
            <w:vAlign w:val="bottom"/>
            <w:tcBorders>
              <w:top w:val="single" w:sz="8" w:color="auto"/>
              <w:right w:val="single" w:sz="8" w:color="auto"/>
            </w:tcBorders>
          </w:tcPr>
          <w:p>
            <w:pPr>
              <w:spacing w:after="0"/>
              <w:rPr>
                <w:sz w:val="11"/>
                <w:szCs w:val="11"/>
                <w:color w:val="auto"/>
              </w:rPr>
            </w:pPr>
          </w:p>
        </w:tc>
      </w:tr>
      <w:tr>
        <w:trPr>
          <w:trHeight w:val="155"/>
        </w:trPr>
        <w:tc>
          <w:tcPr>
            <w:tcW w:w="164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3"/>
                <w:szCs w:val="13"/>
                <w:b w:val="1"/>
                <w:bCs w:val="1"/>
                <w:color w:val="auto"/>
              </w:rPr>
              <w:t>Standard</w:t>
            </w:r>
          </w:p>
        </w:tc>
        <w:tc>
          <w:tcPr>
            <w:tcW w:w="3840" w:type="dxa"/>
            <w:vAlign w:val="bottom"/>
            <w:tcBorders>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of adoption</w:t>
            </w:r>
          </w:p>
        </w:tc>
        <w:tc>
          <w:tcPr>
            <w:tcW w:w="428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Effect on consolidated financial statements</w:t>
            </w:r>
          </w:p>
        </w:tc>
      </w:tr>
      <w:tr>
        <w:trPr>
          <w:trHeight w:val="263"/>
        </w:trPr>
        <w:tc>
          <w:tcPr>
            <w:tcW w:w="164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w w:val="96"/>
              </w:rPr>
              <w:t>Standards Adopted in 2020</w:t>
            </w:r>
          </w:p>
        </w:tc>
        <w:tc>
          <w:tcPr>
            <w:tcW w:w="38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4280" w:type="dxa"/>
            <w:vAlign w:val="bottom"/>
            <w:tcBorders>
              <w:bottom w:val="single" w:sz="8" w:color="auto"/>
              <w:right w:val="single" w:sz="8" w:color="auto"/>
            </w:tcBorders>
          </w:tcPr>
          <w:p>
            <w:pPr>
              <w:spacing w:after="0"/>
              <w:rPr>
                <w:sz w:val="22"/>
                <w:szCs w:val="22"/>
                <w:color w:val="auto"/>
              </w:rPr>
            </w:pPr>
          </w:p>
        </w:tc>
      </w:tr>
      <w:tr>
        <w:trPr>
          <w:trHeight w:val="245"/>
        </w:trPr>
        <w:tc>
          <w:tcPr>
            <w:tcW w:w="16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Measurement of Credit</w:t>
            </w:r>
          </w:p>
        </w:tc>
        <w:tc>
          <w:tcPr>
            <w:tcW w:w="384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The amended guidance replaces the incurred loss model for</w:t>
            </w:r>
          </w:p>
        </w:tc>
        <w:tc>
          <w:tcPr>
            <w:tcW w:w="148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6"/>
              </w:rPr>
              <w:t>January 1, 2020</w:t>
            </w:r>
          </w:p>
        </w:tc>
        <w:tc>
          <w:tcPr>
            <w:tcW w:w="428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The Company adopted the guidance on January 1, 2020. The Company’s</w:t>
            </w:r>
          </w:p>
        </w:tc>
      </w:tr>
      <w:tr>
        <w:trPr>
          <w:trHeight w:val="135"/>
        </w:trPr>
        <w:tc>
          <w:tcPr>
            <w:tcW w:w="1640" w:type="dxa"/>
            <w:vAlign w:val="bottom"/>
            <w:tcBorders>
              <w:left w:val="single" w:sz="8" w:color="auto"/>
              <w:right w:val="single" w:sz="8" w:color="auto"/>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Losses on Financial</w:t>
            </w: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determining the allowance for credit losses. The guidance requires</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approach for estimating current expected credit losses for loans includes</w:t>
            </w:r>
          </w:p>
        </w:tc>
      </w:tr>
      <w:tr>
        <w:trPr>
          <w:trHeight w:val="135"/>
        </w:trPr>
        <w:tc>
          <w:tcPr>
            <w:tcW w:w="1640" w:type="dxa"/>
            <w:vAlign w:val="bottom"/>
            <w:tcBorders>
              <w:left w:val="single" w:sz="8" w:color="auto"/>
              <w:right w:val="single" w:sz="8" w:color="auto"/>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Instruments</w:t>
            </w: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financial assets measured at amortized cost to be presented at the net</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utilizing macro-economic assumptions to project losses over a two-year</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amount expected to be collected. The allowance for credit losses will</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reasonable and supportable forecast period. Subsequent to the forecast</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represent a valuation account that is deducted from the amortized cost</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period, the Company reverts to longer term historical loss experience to</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basis of the financial assets to present their net carrying value at the</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estimate expected credit losses over the remaining contractual life.</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amount expected to be collected. The income statement will reflect the</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spacing w:after="0"/>
              <w:rPr>
                <w:sz w:val="11"/>
                <w:szCs w:val="11"/>
                <w:color w:val="auto"/>
              </w:rPr>
            </w:pP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measurement of credit losses for newly recognized financial assets as</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Based on portfolio composition, then current economic conditions, and</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well as expected increases or decreases of expected credit losses that</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reasonable and supportable forecasts of future conditions, the Company</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have taken place during the period. When determining the allowance,</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recognized an increase to the allowance for credit losses of $132 million</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expected credit losses over the contractual term of the financial</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upon adoption of the standard as of January 1, 2020 as compared with the</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asset(s) (taking into account prepayments) will be estimated</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allowance for credit losses recognized on its consolidated balance sheet at</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considering relevant information about past events, current conditions,</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December 31, 2019. The $132 million increase was recognized as a</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and reasonable and supportable forecasts that affect the collectibility</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cumulative-effect adjustment to retained earnings as of January 1, 2020.</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of the reported amount. The amended guidance also requires</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spacing w:after="0"/>
              <w:rPr>
                <w:sz w:val="11"/>
                <w:szCs w:val="11"/>
                <w:color w:val="auto"/>
              </w:rPr>
            </w:pP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recording an allowance for credit losses for purchased financial assets</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The effect on the allowance for credit losses was primarily attributable to</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with a more-than-insignificant amount of credit deterioration since</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increases in reserves for residential mortgage loans and consumer loans,</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origination. The initial allowance for these assets will be added to the</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which generally have longer estimated lives as compared with commercial</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purchase price at acquisition rather than being reported as an</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and commercial real estate loans. The adoption did not have a material effect</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expense. Subsequent changes in the allowance will be recorded in the</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on the allowance for credit losses for debt securities.</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income statement as an adjustment the to the provision for credit</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spacing w:after="0"/>
              <w:rPr>
                <w:sz w:val="11"/>
                <w:szCs w:val="11"/>
                <w:color w:val="auto"/>
              </w:rPr>
            </w:pP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losses. In addition, the amended guidance requires credit losses</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spacing w:after="0"/>
              <w:rPr>
                <w:sz w:val="11"/>
                <w:szCs w:val="11"/>
                <w:color w:val="auto"/>
              </w:rPr>
            </w:pP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relating to debt securities to be recorded through an allowance for</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spacing w:after="0"/>
              <w:rPr>
                <w:sz w:val="11"/>
                <w:szCs w:val="11"/>
                <w:color w:val="auto"/>
              </w:rPr>
            </w:pPr>
          </w:p>
        </w:tc>
      </w:tr>
      <w:tr>
        <w:trPr>
          <w:trHeight w:val="153"/>
        </w:trPr>
        <w:tc>
          <w:tcPr>
            <w:tcW w:w="1640" w:type="dxa"/>
            <w:vAlign w:val="bottom"/>
            <w:tcBorders>
              <w:left w:val="single" w:sz="8" w:color="auto"/>
              <w:bottom w:val="single" w:sz="8" w:color="auto"/>
              <w:right w:val="single" w:sz="8" w:color="auto"/>
            </w:tcBorders>
            <w:shd w:val="clear" w:color="auto" w:fill="CFF0FC"/>
          </w:tcPr>
          <w:p>
            <w:pPr>
              <w:spacing w:after="0"/>
              <w:rPr>
                <w:sz w:val="13"/>
                <w:szCs w:val="13"/>
                <w:color w:val="auto"/>
              </w:rPr>
            </w:pPr>
          </w:p>
        </w:tc>
        <w:tc>
          <w:tcPr>
            <w:tcW w:w="384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credit losses.</w:t>
            </w:r>
          </w:p>
        </w:tc>
        <w:tc>
          <w:tcPr>
            <w:tcW w:w="1480" w:type="dxa"/>
            <w:vAlign w:val="bottom"/>
            <w:tcBorders>
              <w:bottom w:val="single" w:sz="8" w:color="auto"/>
              <w:right w:val="single" w:sz="8" w:color="auto"/>
            </w:tcBorders>
            <w:shd w:val="clear" w:color="auto" w:fill="CFF0FC"/>
          </w:tcPr>
          <w:p>
            <w:pPr>
              <w:spacing w:after="0"/>
              <w:rPr>
                <w:sz w:val="13"/>
                <w:szCs w:val="13"/>
                <w:color w:val="auto"/>
              </w:rPr>
            </w:pPr>
          </w:p>
        </w:tc>
        <w:tc>
          <w:tcPr>
            <w:tcW w:w="4280" w:type="dxa"/>
            <w:vAlign w:val="bottom"/>
            <w:tcBorders>
              <w:bottom w:val="single" w:sz="8" w:color="auto"/>
              <w:right w:val="single" w:sz="8" w:color="auto"/>
            </w:tcBorders>
            <w:shd w:val="clear" w:color="auto" w:fill="CFF0FC"/>
          </w:tcPr>
          <w:p>
            <w:pPr>
              <w:spacing w:after="0"/>
              <w:rPr>
                <w:sz w:val="13"/>
                <w:szCs w:val="13"/>
                <w:color w:val="auto"/>
              </w:rPr>
            </w:pPr>
          </w:p>
        </w:tc>
      </w:tr>
      <w:tr>
        <w:trPr>
          <w:trHeight w:val="245"/>
        </w:trPr>
        <w:tc>
          <w:tcPr>
            <w:tcW w:w="16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Simplifying the Test for</w:t>
            </w:r>
          </w:p>
        </w:tc>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The amended guidance eliminates step 2 from the goodwill</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January 1, 2020</w:t>
            </w:r>
          </w:p>
        </w:tc>
        <w:tc>
          <w:tcPr>
            <w:tcW w:w="4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The Company adopted the amended guidance effective January 1, 2020 using</w:t>
            </w:r>
          </w:p>
        </w:tc>
      </w:tr>
      <w:tr>
        <w:trPr>
          <w:trHeight w:val="135"/>
        </w:trPr>
        <w:tc>
          <w:tcPr>
            <w:tcW w:w="1640" w:type="dxa"/>
            <w:vAlign w:val="bottom"/>
            <w:tcBorders>
              <w:left w:val="single" w:sz="8" w:color="auto"/>
              <w:right w:val="single" w:sz="8" w:color="auto"/>
            </w:tcBorders>
          </w:tcPr>
          <w:p>
            <w:pPr>
              <w:ind w:left="140"/>
              <w:spacing w:after="0" w:line="135" w:lineRule="exact"/>
              <w:rPr>
                <w:sz w:val="20"/>
                <w:szCs w:val="20"/>
                <w:color w:val="auto"/>
              </w:rPr>
            </w:pPr>
            <w:r>
              <w:rPr>
                <w:rFonts w:ascii="Times New Roman" w:cs="Times New Roman" w:eastAsia="Times New Roman" w:hAnsi="Times New Roman"/>
                <w:sz w:val="13"/>
                <w:szCs w:val="13"/>
                <w:color w:val="auto"/>
              </w:rPr>
              <w:t>Goodwill Impairment</w:t>
            </w:r>
          </w:p>
        </w:tc>
        <w:tc>
          <w:tcPr>
            <w:tcW w:w="3840" w:type="dxa"/>
            <w:vAlign w:val="bottom"/>
            <w:tcBorders>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impairment test.</w:t>
            </w:r>
          </w:p>
        </w:tc>
        <w:tc>
          <w:tcPr>
            <w:tcW w:w="1480" w:type="dxa"/>
            <w:vAlign w:val="bottom"/>
            <w:tcBorders>
              <w:right w:val="single" w:sz="8" w:color="auto"/>
            </w:tcBorders>
          </w:tcPr>
          <w:p>
            <w:pPr>
              <w:spacing w:after="0"/>
              <w:rPr>
                <w:sz w:val="11"/>
                <w:szCs w:val="11"/>
                <w:color w:val="auto"/>
              </w:rPr>
            </w:pPr>
          </w:p>
        </w:tc>
        <w:tc>
          <w:tcPr>
            <w:tcW w:w="4280" w:type="dxa"/>
            <w:vAlign w:val="bottom"/>
            <w:tcBorders>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a prospective transition method and will incorporate the guidance as</w:t>
            </w: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4280" w:type="dxa"/>
            <w:vAlign w:val="bottom"/>
            <w:tcBorders>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necessary when circumstances arise for the guidance to be utilized. The</w:t>
            </w: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4280" w:type="dxa"/>
            <w:vAlign w:val="bottom"/>
            <w:tcBorders>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Company does not expect the guidance will have a material impact on its</w:t>
            </w: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4280" w:type="dxa"/>
            <w:vAlign w:val="bottom"/>
            <w:tcBorders>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consolidated financial statements, unless at some point in the future one of its</w:t>
            </w:r>
          </w:p>
        </w:tc>
      </w:tr>
      <w:tr>
        <w:trPr>
          <w:trHeight w:val="153"/>
        </w:trPr>
        <w:tc>
          <w:tcPr>
            <w:tcW w:w="1640" w:type="dxa"/>
            <w:vAlign w:val="bottom"/>
            <w:tcBorders>
              <w:left w:val="single" w:sz="8" w:color="auto"/>
              <w:bottom w:val="single" w:sz="8" w:color="auto"/>
              <w:right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4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reporting units were to fail step 1 of the goodwill impairment test.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Recent accounting developments, continued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80" w:type="dxa"/>
            <w:vAlign w:val="bottom"/>
            <w:tcBorders>
              <w:top w:val="single" w:sz="8" w:color="auto"/>
              <w:right w:val="single" w:sz="8" w:color="auto"/>
            </w:tcBorders>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6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880" w:type="dxa"/>
            <w:vAlign w:val="bottom"/>
            <w:tcBorders>
              <w:bottom w:val="single" w:sz="8" w:color="auto"/>
              <w:right w:val="single" w:sz="8" w:color="auto"/>
            </w:tcBorders>
            <w:vMerge w:val="continue"/>
          </w:tcPr>
          <w:p>
            <w:pPr>
              <w:spacing w:after="0"/>
              <w:rPr>
                <w:sz w:val="15"/>
                <w:szCs w:val="15"/>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Standards Adopted in 2020</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1660" w:type="dxa"/>
            <w:vAlign w:val="bottom"/>
            <w:tcBorders>
              <w:left w:val="single" w:sz="8" w:color="auto"/>
              <w:right w:val="single" w:sz="8" w:color="auto"/>
            </w:tcBorders>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Changes to the</w:t>
            </w:r>
          </w:p>
        </w:tc>
        <w:tc>
          <w:tcPr>
            <w:tcW w:w="3880" w:type="dxa"/>
            <w:vAlign w:val="bottom"/>
            <w:tcBorders>
              <w:right w:val="single" w:sz="8" w:color="auto"/>
            </w:tcBorders>
            <w:shd w:val="clear" w:color="auto" w:fill="CFF0FC"/>
          </w:tcPr>
          <w:p>
            <w:pPr>
              <w:ind w:left="120"/>
              <w:spacing w:after="0" w:line="119" w:lineRule="exact"/>
              <w:rPr>
                <w:sz w:val="20"/>
                <w:szCs w:val="20"/>
                <w:color w:val="auto"/>
              </w:rPr>
            </w:pPr>
            <w:r>
              <w:rPr>
                <w:rFonts w:ascii="Times New Roman" w:cs="Times New Roman" w:eastAsia="Times New Roman" w:hAnsi="Times New Roman"/>
                <w:sz w:val="13"/>
                <w:szCs w:val="13"/>
                <w:color w:val="auto"/>
              </w:rPr>
              <w:t>The amended guidance modifies the disclosure</w:t>
            </w:r>
          </w:p>
        </w:tc>
        <w:tc>
          <w:tcPr>
            <w:tcW w:w="15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2020</w:t>
            </w:r>
          </w:p>
        </w:tc>
        <w:tc>
          <w:tcPr>
            <w:tcW w:w="4200" w:type="dxa"/>
            <w:vAlign w:val="bottom"/>
            <w:tcBorders>
              <w:right w:val="single" w:sz="8" w:color="auto"/>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Company adopted the amended guidance effective January 1,</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vMerge w:val="continue"/>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requirements on fair value measurements in Topic 820, Fair</w:t>
            </w:r>
          </w:p>
        </w:tc>
        <w:tc>
          <w:tcPr>
            <w:tcW w:w="1500" w:type="dxa"/>
            <w:vAlign w:val="bottom"/>
            <w:tcBorders>
              <w:right w:val="single" w:sz="8" w:color="auto"/>
            </w:tcBorders>
            <w:vMerge w:val="continue"/>
            <w:shd w:val="clear" w:color="auto" w:fill="CFF0FC"/>
          </w:tcPr>
          <w:p>
            <w:pPr>
              <w:spacing w:after="0"/>
              <w:rPr>
                <w:sz w:val="12"/>
                <w:szCs w:val="12"/>
                <w:color w:val="auto"/>
              </w:rPr>
            </w:pPr>
          </w:p>
        </w:tc>
        <w:tc>
          <w:tcPr>
            <w:tcW w:w="4200" w:type="dxa"/>
            <w:vAlign w:val="bottom"/>
            <w:tcBorders>
              <w:right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Disclosure</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Value Measurements. The amendments are a result of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2020. A prospective transition method is being used for the</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Requirements for Fair</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 framework project that focuses on improvements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amendments relating to disclosures being added under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Value Measurements</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 the effectiveness of disclosures in the notes to financial</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guidance. Such disclosures relate to changes in unrealized gains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statements. The amendments remove, modify, and add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and losses, the range and weighted average of significant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certain disclosure requirements. The disclosure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unobservable inputs used to develop Level 3 fair value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requirements removed relating to public companies are (1)</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measurements, and the narrative description of measurement</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amount and reason for transfers between Level 1 and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uncertainty. All other amendments relating to removing or</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Level 2 of the fair value hierarchy, (2) the policy for timing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modifying certain disclosures are applied retrospectively.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of transfers between levels, and (3) the valuation process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adoption of the guidance did not have a material impact on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 Level 3 fair value measurements. The disclosure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Company’s consolidated financial 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requirements modified relating to public companies are (1)</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 investments in certain entities that calculate net asset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value, an entity is required to disclose the timing of</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liquidation of an investee’s asset and the date when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restrictions from redemption might lapse only if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investee has communicated the timing to the entity or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announced the timing publicly, and (2) the measurement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uncertainty disclosure is to communicate information about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uncertainty in measurement as a result of the use of</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unobservable inputs. The disclosure requirements added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relating to public companies are (1) to disclose the changes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 unrealized gains and losses for the period for recurring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Level 3 fair value measurements, and (2) to disclose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range and weighted average of significant unobservable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inputs used to develop Level 3 fair value measurements.</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Customer’s</w:t>
            </w: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The amended guidance requires a hosting arrangement that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2020</w:t>
            </w: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Company adopted the amended guidance effective January 1,</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Accounting for</w:t>
            </w: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is a service contract to follow the guidance in Subtopic 350-</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2020 using a prospective transition method. The impact of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Implementation Costs</w:t>
            </w: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40 to determine which implementation costs to capitalize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guidance on the Company’s consolidated financial statements is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Incurred in a Cloud</w:t>
            </w: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which costs to expense.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dependent on the nature and amount of actual expenditures, but was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Computing</w:t>
            </w:r>
          </w:p>
        </w:tc>
        <w:tc>
          <w:tcPr>
            <w:tcW w:w="38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not material for the nine months ended September 30,2020.</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Arrangement That Is a</w:t>
            </w:r>
          </w:p>
        </w:tc>
        <w:tc>
          <w:tcPr>
            <w:tcW w:w="38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Service Contract</w:t>
            </w:r>
          </w:p>
        </w:tc>
        <w:tc>
          <w:tcPr>
            <w:tcW w:w="38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4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60" w:type="dxa"/>
            <w:vAlign w:val="bottom"/>
            <w:tcBorders>
              <w:left w:val="single" w:sz="8" w:color="auto"/>
              <w:bottom w:val="single" w:sz="8" w:color="auto"/>
              <w:right w:val="single" w:sz="8" w:color="auto"/>
            </w:tcBorders>
          </w:tcPr>
          <w:p>
            <w:pPr>
              <w:spacing w:after="0"/>
              <w:rPr>
                <w:sz w:val="11"/>
                <w:szCs w:val="11"/>
                <w:color w:val="auto"/>
              </w:rPr>
            </w:pPr>
          </w:p>
        </w:tc>
        <w:tc>
          <w:tcPr>
            <w:tcW w:w="388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4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660" w:type="dxa"/>
            <w:vAlign w:val="bottom"/>
            <w:tcBorders>
              <w:left w:val="single" w:sz="8" w:color="auto"/>
              <w:right w:val="single" w:sz="8" w:color="auto"/>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3"/>
                <w:szCs w:val="13"/>
                <w:color w:val="auto"/>
              </w:rPr>
              <w:t>Improvements to</w:t>
            </w:r>
          </w:p>
        </w:tc>
        <w:tc>
          <w:tcPr>
            <w:tcW w:w="3880" w:type="dxa"/>
            <w:vAlign w:val="bottom"/>
            <w:tcBorders>
              <w:right w:val="single" w:sz="8" w:color="auto"/>
            </w:tcBorders>
            <w:shd w:val="clear" w:color="auto" w:fill="CFF0FC"/>
          </w:tcPr>
          <w:p>
            <w:pPr>
              <w:ind w:left="120"/>
              <w:spacing w:after="0" w:line="119" w:lineRule="exact"/>
              <w:rPr>
                <w:sz w:val="20"/>
                <w:szCs w:val="20"/>
                <w:color w:val="auto"/>
              </w:rPr>
            </w:pPr>
            <w:r>
              <w:rPr>
                <w:rFonts w:ascii="Times New Roman" w:cs="Times New Roman" w:eastAsia="Times New Roman" w:hAnsi="Times New Roman"/>
                <w:sz w:val="13"/>
                <w:szCs w:val="13"/>
                <w:color w:val="auto"/>
              </w:rPr>
              <w:t>The amended guidance requires that indirect interests held</w:t>
            </w:r>
          </w:p>
        </w:tc>
        <w:tc>
          <w:tcPr>
            <w:tcW w:w="1500" w:type="dxa"/>
            <w:vAlign w:val="bottom"/>
            <w:tcBorders>
              <w:right w:val="single" w:sz="8" w:color="auto"/>
            </w:tcBorders>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January 1, 2020</w:t>
            </w:r>
          </w:p>
        </w:tc>
        <w:tc>
          <w:tcPr>
            <w:tcW w:w="4200" w:type="dxa"/>
            <w:vAlign w:val="bottom"/>
            <w:tcBorders>
              <w:right w:val="single" w:sz="8" w:color="auto"/>
            </w:tcBorders>
            <w:shd w:val="clear" w:color="auto" w:fill="CFF0FC"/>
          </w:tcPr>
          <w:p>
            <w:pPr>
              <w:ind w:left="100"/>
              <w:spacing w:after="0" w:line="119" w:lineRule="exact"/>
              <w:rPr>
                <w:sz w:val="20"/>
                <w:szCs w:val="20"/>
                <w:color w:val="auto"/>
              </w:rPr>
            </w:pPr>
            <w:r>
              <w:rPr>
                <w:rFonts w:ascii="Times New Roman" w:cs="Times New Roman" w:eastAsia="Times New Roman" w:hAnsi="Times New Roman"/>
                <w:sz w:val="13"/>
                <w:szCs w:val="13"/>
                <w:color w:val="auto"/>
              </w:rPr>
              <w:t>The guidance did not have a material impact on the Company’s</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Related Party</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through related parties in common control arrangements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financial 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Guidance for VIEs</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should be considered on a proportional basis for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determining whether fees paid to decision makers and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 providers are variable interests.</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Recent accounting developments, continued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6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880" w:type="dxa"/>
            <w:vAlign w:val="bottom"/>
            <w:tcBorders>
              <w:bottom w:val="single" w:sz="8" w:color="auto"/>
              <w:right w:val="single" w:sz="8" w:color="auto"/>
            </w:tcBorders>
            <w:vMerge w:val="continue"/>
          </w:tcPr>
          <w:p>
            <w:pPr>
              <w:spacing w:after="0"/>
              <w:rPr>
                <w:sz w:val="15"/>
                <w:szCs w:val="15"/>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Standards Not Yet Adopted as of September 30, 2020</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Changes to the</w:t>
            </w: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The amended guidance modifies the disclosure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2021</w:t>
            </w: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amendments should be applied retrospectively. The Company</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Disclosure</w:t>
            </w: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requirements for employers that sponsor defined benefit</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does not expect the guidance to have a material impact on its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Requirements for</w:t>
            </w: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pension or other postretirement plans. The disclosure</w:t>
            </w:r>
          </w:p>
        </w:tc>
        <w:tc>
          <w:tcPr>
            <w:tcW w:w="150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financial 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Defined Benefit Plans</w:t>
            </w: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requirements being removed relating to public companies</w:t>
            </w:r>
          </w:p>
        </w:tc>
        <w:tc>
          <w:tcPr>
            <w:tcW w:w="15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are (1) the amounts in accumulated other comprehensive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expected to be recognized as components of net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periodic benefit cost over the next fiscal year, (2)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 and timing of plan assets expected to be returned to</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employer, (3) the 2001 disclosure requirement relating</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to Japanese Welfare Pension Insurance Law, (4) related</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party disclosures about the amount of future annual benefits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covered by insurance, and (5) the effects of a one-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percentage-point change in assumed health care cost trends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on the benefit cost and obligation. The disclosure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requirements being added relating to public companies are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(1) the weighted-average interest crediting rates for cash</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balance plans , and (2) an explanation of the reasons for</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significant gains and losses related to changes in the benefit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obligation for the period.</w:t>
            </w:r>
          </w:p>
        </w:tc>
        <w:tc>
          <w:tcPr>
            <w:tcW w:w="150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66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Clarifying the</w:t>
            </w:r>
          </w:p>
        </w:tc>
        <w:tc>
          <w:tcPr>
            <w:tcW w:w="3880" w:type="dxa"/>
            <w:vAlign w:val="bottom"/>
            <w:tcBorders>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The amendments clarify the following guidance:</w:t>
            </w:r>
          </w:p>
        </w:tc>
        <w:tc>
          <w:tcPr>
            <w:tcW w:w="1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2021</w:t>
            </w:r>
          </w:p>
        </w:tc>
        <w:tc>
          <w:tcPr>
            <w:tcW w:w="420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amendments should be applied on a prospective basis.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Interactions Between</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1. That an entity should consider observable transactions</w:t>
            </w:r>
          </w:p>
        </w:tc>
        <w:tc>
          <w:tcPr>
            <w:tcW w:w="15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 does not expect the guidance will have a material impact</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Securities,</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that require it to either apply or discontinue the equity</w:t>
            </w:r>
          </w:p>
        </w:tc>
        <w:tc>
          <w:tcPr>
            <w:tcW w:w="1500" w:type="dxa"/>
            <w:vAlign w:val="bottom"/>
            <w:tcBorders>
              <w:right w:val="single" w:sz="8" w:color="auto"/>
            </w:tcBorders>
            <w:vMerge w:val="continue"/>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on its consolidated financial 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Method and</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method of accounting for the purposes of applying the</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Joint Ventures, and</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measurement alternative in the equity securities investments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Derivatives and</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guidance immediately before applying or upon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Hedging</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discontinuing the equity method of accounting.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2. For the purpose of applying the derivatives and hedging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guidance an entity should not consider whether, upon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settlement of a forward contract or exercise of a purchased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option, individually or with existing investments,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underlying securities would be accounted for under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 method of accounting or the fair value option in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accordance with the financial instruments guidance. An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entity also would evaluate the remaining characteristics in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derivatives and hedging guidance to determine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accounting for those forward contracts and purchased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Recent accounting developments, continued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640" w:type="dxa"/>
            <w:vAlign w:val="bottom"/>
            <w:tcBorders>
              <w:top w:val="single" w:sz="8" w:color="auto"/>
              <w:left w:val="single" w:sz="8" w:color="auto"/>
              <w:right w:val="single" w:sz="8" w:color="auto"/>
            </w:tcBorders>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60" w:type="dxa"/>
            <w:vAlign w:val="bottom"/>
            <w:tcBorders>
              <w:top w:val="single" w:sz="8" w:color="auto"/>
              <w:right w:val="single" w:sz="8" w:color="auto"/>
            </w:tcBorders>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360" w:type="dxa"/>
            <w:vAlign w:val="bottom"/>
            <w:tcBorders>
              <w:top w:val="single" w:sz="8" w:color="auto"/>
              <w:right w:val="single" w:sz="8" w:color="auto"/>
            </w:tcBorders>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64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860" w:type="dxa"/>
            <w:vAlign w:val="bottom"/>
            <w:tcBorders>
              <w:bottom w:val="single" w:sz="8" w:color="auto"/>
              <w:right w:val="single" w:sz="8" w:color="auto"/>
            </w:tcBorders>
            <w:vMerge w:val="continue"/>
          </w:tcPr>
          <w:p>
            <w:pPr>
              <w:spacing w:after="0"/>
              <w:rPr>
                <w:sz w:val="15"/>
                <w:szCs w:val="15"/>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3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0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Standards Not Yet Adopted as of September 30, 2020</w:t>
            </w:r>
          </w:p>
        </w:tc>
        <w:tc>
          <w:tcPr>
            <w:tcW w:w="1500" w:type="dxa"/>
            <w:vAlign w:val="bottom"/>
            <w:tcBorders>
              <w:bottom w:val="single" w:sz="8" w:color="auto"/>
            </w:tcBorders>
          </w:tcPr>
          <w:p>
            <w:pPr>
              <w:spacing w:after="0"/>
              <w:rPr>
                <w:sz w:val="19"/>
                <w:szCs w:val="19"/>
                <w:color w:val="auto"/>
              </w:rPr>
            </w:pPr>
          </w:p>
        </w:tc>
        <w:tc>
          <w:tcPr>
            <w:tcW w:w="4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164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Simplifying the</w:t>
            </w:r>
          </w:p>
        </w:tc>
        <w:tc>
          <w:tcPr>
            <w:tcW w:w="38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The amendments remove the following exceptions for</w:t>
            </w:r>
          </w:p>
        </w:tc>
        <w:tc>
          <w:tcPr>
            <w:tcW w:w="15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January 1, 2021</w:t>
            </w:r>
          </w:p>
        </w:tc>
        <w:tc>
          <w:tcPr>
            <w:tcW w:w="436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The amendments related to separate financial statements of legal</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Accounting for</w:t>
            </w:r>
          </w:p>
        </w:tc>
        <w:tc>
          <w:tcPr>
            <w:tcW w:w="386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entities that are not subject to tax should be applied on a</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accounting for income taxes:</w:t>
            </w:r>
          </w:p>
        </w:tc>
        <w:tc>
          <w:tcPr>
            <w:tcW w:w="1500" w:type="dxa"/>
            <w:vAlign w:val="bottom"/>
            <w:tcBorders>
              <w:right w:val="single" w:sz="8" w:color="auto"/>
            </w:tcBorders>
            <w:vMerge w:val="continue"/>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retrospective basis for all periods presented. The amendments related</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1. Exception to the incremental approach for intraperiod tax</w:t>
            </w:r>
          </w:p>
        </w:tc>
        <w:tc>
          <w:tcPr>
            <w:tcW w:w="15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to changes in ownership of foreign equity method investments or</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allocation when there is a loss from continuing operations</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subsidiaries should be applied on a modified retrospective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and income or a gain from other items (for example,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basis through a cumulative-effect adjustment to retained earnings as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discontinued operations or other comprehensive income)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of the beginning of the fiscal year of adoption. The amendments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2. Exception to the requirement to recognize a deferred tax</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related to franchise taxes that are partially based on income should</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liability for equity method investments when a foreign</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be applied on either a retrospective basis for all periods presented or</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subsidiary becomes an equity method investment</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 modified retrospective basis through a cumulative-effect</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3. Exception to the ability not to recognize a deferred tax</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adjustment to retained earnings as of the beginning of the fiscal year</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liability for a foreign subsidiary when a foreign equity</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of adoption. All other amendments should be applied on a</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method investment becomes a subsidiary</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prospective basis.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4. Exception to the general methodology for calculating</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Early adoption of the amendments in an interim period would</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in an interim period when a year-to-date loss</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require recognition of any adjustments as of the beginning of the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exceeds the anticipated loss for the year.</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annual period that includes that interim period. Additionally, an early</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The amendments also simplify the accounting for income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adoption election would require adoption of all the amendments in</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same period. The Company does not expect the guidance to have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taxes by doing the following:</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 material impact on its consolidated financial statements.</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1. Requiring that an entity recognize a franchise tax (or</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similar tax) that is partially based on income as an income-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based tax and account for any incremental amount incurred</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as a non-income-based tax.</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2. Requiring that an entity evaluate when a step up in the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tax basis of goodwill should be considered part of the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business combination in which the book goodwill was</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originally recognized and when it should be considered a</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separate transaction.</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3. Specifying that an entity is not required to allocate the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amount of current and deferred tax expense to</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 legal entity that is not subject to tax in its separate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financial statements. However, an entity may elect to do so</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(on an entity-by-entity basis) for a legal entity that is both</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not subject to tax and disregarded by the taxing authority.</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4. Requiring that an entity reflect the effect of an enacted</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 in tax laws or rates in the annual effective tax rate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computation in the interim period that includes the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enactment date.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5. Making minor Codification improvements for income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taxes related to employee stock ownership plans and</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 in qualified affordable housing projects</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40" w:type="dxa"/>
            <w:vAlign w:val="bottom"/>
            <w:tcBorders>
              <w:left w:val="single" w:sz="8" w:color="auto"/>
              <w:bottom w:val="single" w:sz="8" w:color="auto"/>
              <w:right w:val="single" w:sz="8" w:color="auto"/>
            </w:tcBorders>
          </w:tcPr>
          <w:p>
            <w:pPr>
              <w:spacing w:after="0"/>
              <w:rPr>
                <w:sz w:val="14"/>
                <w:szCs w:val="1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accounted for using the equity method.</w:t>
            </w:r>
          </w:p>
        </w:tc>
        <w:tc>
          <w:tcPr>
            <w:tcW w:w="1500" w:type="dxa"/>
            <w:vAlign w:val="bottom"/>
            <w:tcBorders>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Recent accounting developments, continued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6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880" w:type="dxa"/>
            <w:vAlign w:val="bottom"/>
            <w:tcBorders>
              <w:bottom w:val="single" w:sz="8" w:color="auto"/>
              <w:right w:val="single" w:sz="8" w:color="auto"/>
            </w:tcBorders>
            <w:vMerge w:val="continue"/>
          </w:tcPr>
          <w:p>
            <w:pPr>
              <w:spacing w:after="0"/>
              <w:rPr>
                <w:sz w:val="15"/>
                <w:szCs w:val="15"/>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Standards Not Yet Adopted as of September 30, 2020</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1660" w:type="dxa"/>
            <w:vAlign w:val="bottom"/>
            <w:tcBorders>
              <w:left w:val="single" w:sz="8" w:color="auto"/>
              <w:right w:val="single" w:sz="8" w:color="auto"/>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3"/>
                <w:szCs w:val="13"/>
                <w:color w:val="auto"/>
              </w:rPr>
              <w:t>Reference Rate</w:t>
            </w:r>
          </w:p>
        </w:tc>
        <w:tc>
          <w:tcPr>
            <w:tcW w:w="3880" w:type="dxa"/>
            <w:vAlign w:val="bottom"/>
            <w:tcBorders>
              <w:right w:val="single" w:sz="8" w:color="auto"/>
            </w:tcBorders>
            <w:shd w:val="clear" w:color="auto" w:fill="CFF0FC"/>
          </w:tcPr>
          <w:p>
            <w:pPr>
              <w:ind w:left="120"/>
              <w:spacing w:after="0" w:line="119" w:lineRule="exact"/>
              <w:rPr>
                <w:sz w:val="20"/>
                <w:szCs w:val="20"/>
                <w:color w:val="auto"/>
              </w:rPr>
            </w:pPr>
            <w:r>
              <w:rPr>
                <w:rFonts w:ascii="Times New Roman" w:cs="Times New Roman" w:eastAsia="Times New Roman" w:hAnsi="Times New Roman"/>
                <w:sz w:val="13"/>
                <w:szCs w:val="13"/>
                <w:color w:val="auto"/>
              </w:rPr>
              <w:t>The amendments provide optional expedients and</w:t>
            </w:r>
          </w:p>
        </w:tc>
        <w:tc>
          <w:tcPr>
            <w:tcW w:w="1500" w:type="dxa"/>
            <w:vAlign w:val="bottom"/>
            <w:tcBorders>
              <w:right w:val="single" w:sz="8" w:color="auto"/>
            </w:tcBorders>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Beginning</w:t>
            </w:r>
          </w:p>
        </w:tc>
        <w:tc>
          <w:tcPr>
            <w:tcW w:w="4200" w:type="dxa"/>
            <w:vAlign w:val="bottom"/>
            <w:tcBorders>
              <w:right w:val="single" w:sz="8" w:color="auto"/>
            </w:tcBorders>
            <w:shd w:val="clear" w:color="auto" w:fill="CFF0FC"/>
          </w:tcPr>
          <w:p>
            <w:pPr>
              <w:ind w:left="100"/>
              <w:spacing w:after="0" w:line="119" w:lineRule="exact"/>
              <w:rPr>
                <w:sz w:val="20"/>
                <w:szCs w:val="20"/>
                <w:color w:val="auto"/>
              </w:rPr>
            </w:pPr>
            <w:r>
              <w:rPr>
                <w:rFonts w:ascii="Times New Roman" w:cs="Times New Roman" w:eastAsia="Times New Roman" w:hAnsi="Times New Roman"/>
                <w:sz w:val="13"/>
                <w:szCs w:val="13"/>
                <w:color w:val="auto"/>
              </w:rPr>
              <w:t>The amendments for contract modifications can be elected to be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Reform</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exceptions for applying GAAP to contracts,hedging</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12, 2020</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applied as of any date from the beginning of an interim period that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relationships, and other transactions affected by reference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includes or is subsequent to March 12, 2020, or prospectively from</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rate reform. The amendments apply only to contracts,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 date within an interim period that includes or is subsequent to</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hedging relationships, and other transactions that reference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March 12, 2020. The amendments for existing hedging relationships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LIBOR or another reference rate expected to be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can be elected to be applied as of the beginning of the interim period</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discontinued because of reference rate reform.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that includes March 12, 2020 and to new eligible hedging</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amendments (1) apply to contract modifications that replace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relationships entered into after the beginning of the interim period</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 reference rate affected by reference rate reform,</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that includes March 12, 2020. The Company does not expect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(2) provide exceptions to existing guidance related to</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guidance to have a material impact on its consolidated financial</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to the critical terms of a hedging relationship due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 reference rate reform (3) provide optional expedients for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fair value hedging relationships, cash flow hedging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relationships, and net investment hedging relationships, and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(4) provide a onetime election to sell, transfer, or both sell</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transfer debt securities classified as held to maturity</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that reference a rate affected by reference rate reform and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that are classified as held to maturity before January 1,</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2020.</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Recent accounting developments, continued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6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880" w:type="dxa"/>
            <w:vAlign w:val="bottom"/>
            <w:tcBorders>
              <w:bottom w:val="single" w:sz="8" w:color="auto"/>
              <w:right w:val="single" w:sz="8" w:color="auto"/>
            </w:tcBorders>
            <w:vMerge w:val="continue"/>
          </w:tcPr>
          <w:p>
            <w:pPr>
              <w:spacing w:after="0"/>
              <w:rPr>
                <w:sz w:val="15"/>
                <w:szCs w:val="15"/>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Standards Not Yet Adopted as of September 30, 2020</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166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Changes to Accounting</w:t>
            </w:r>
          </w:p>
        </w:tc>
        <w:tc>
          <w:tcPr>
            <w:tcW w:w="38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The amendments reduce the number of accounting models</w:t>
            </w:r>
          </w:p>
        </w:tc>
        <w:tc>
          <w:tcPr>
            <w:tcW w:w="15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January 1, 2022</w:t>
            </w:r>
          </w:p>
        </w:tc>
        <w:tc>
          <w:tcPr>
            <w:tcW w:w="420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The amendments can be applied either on a modified retrospective</w:t>
            </w:r>
          </w:p>
        </w:tc>
        <w:tc>
          <w:tcPr>
            <w:tcW w:w="0" w:type="dxa"/>
            <w:vAlign w:val="bottom"/>
          </w:tcPr>
          <w:p>
            <w:pPr>
              <w:spacing w:after="0"/>
              <w:rPr>
                <w:sz w:val="1"/>
                <w:szCs w:val="1"/>
                <w:color w:val="auto"/>
              </w:rPr>
            </w:pPr>
          </w:p>
        </w:tc>
      </w:tr>
      <w:tr>
        <w:trPr>
          <w:trHeight w:val="144"/>
        </w:trPr>
        <w:tc>
          <w:tcPr>
            <w:tcW w:w="1660" w:type="dxa"/>
            <w:vAlign w:val="bottom"/>
            <w:tcBorders>
              <w:left w:val="single" w:sz="8" w:color="auto"/>
              <w:right w:val="single" w:sz="8" w:color="auto"/>
            </w:tcBorders>
          </w:tcPr>
          <w:p>
            <w:pPr>
              <w:ind w:left="140"/>
              <w:spacing w:after="0" w:line="145" w:lineRule="exact"/>
              <w:rPr>
                <w:sz w:val="20"/>
                <w:szCs w:val="20"/>
                <w:color w:val="auto"/>
              </w:rPr>
            </w:pPr>
            <w:r>
              <w:rPr>
                <w:rFonts w:ascii="Times New Roman" w:cs="Times New Roman" w:eastAsia="Times New Roman" w:hAnsi="Times New Roman"/>
                <w:sz w:val="14"/>
                <w:szCs w:val="14"/>
                <w:color w:val="auto"/>
              </w:rPr>
              <w:t>for Convertible</w:t>
            </w:r>
          </w:p>
        </w:tc>
        <w:tc>
          <w:tcPr>
            <w:tcW w:w="388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00" w:type="dxa"/>
            <w:vAlign w:val="bottom"/>
            <w:tcBorders>
              <w:right w:val="single" w:sz="8" w:color="auto"/>
            </w:tcBorders>
          </w:tcPr>
          <w:p>
            <w:pPr>
              <w:ind w:left="100"/>
              <w:spacing w:after="0" w:line="145" w:lineRule="exact"/>
              <w:rPr>
                <w:sz w:val="20"/>
                <w:szCs w:val="20"/>
                <w:color w:val="auto"/>
              </w:rPr>
            </w:pPr>
            <w:r>
              <w:rPr>
                <w:rFonts w:ascii="Times New Roman" w:cs="Times New Roman" w:eastAsia="Times New Roman" w:hAnsi="Times New Roman"/>
                <w:sz w:val="14"/>
                <w:szCs w:val="14"/>
                <w:color w:val="auto"/>
              </w:rPr>
              <w:t>method of transition or a fully retrospective method of transition. In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Instruments and</w:t>
            </w: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for convertible debt instruments and convertible preferred</w:t>
            </w:r>
          </w:p>
        </w:tc>
        <w:tc>
          <w:tcPr>
            <w:tcW w:w="150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applying the modified retrospective method, the guidance should be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Contracts in an</w:t>
            </w: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The amendments also reduce form-over-substance-</w:t>
            </w:r>
          </w:p>
        </w:tc>
        <w:tc>
          <w:tcPr>
            <w:tcW w:w="15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 but no</w:t>
            </w: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applied to transactions outstanding as of the beginning of the fiscal</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Entity’s Own Equity</w:t>
            </w: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based guidance for the derivatives scope exception for</w:t>
            </w:r>
          </w:p>
        </w:tc>
        <w:tc>
          <w:tcPr>
            <w:tcW w:w="15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earlier than January</w:t>
            </w: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year in which the amendments are adopted. Transactions that were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contacts in an entity’s own equity. For convertible</w:t>
            </w:r>
          </w:p>
        </w:tc>
        <w:tc>
          <w:tcPr>
            <w:tcW w:w="15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1, 2021</w:t>
            </w: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settled (or expired) during prior reporting periods are unaffected.</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instruments, embedded conversion features no longer are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cumulative effect of the change should be recognized as an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separated from the host contract for convertible instruments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adjustment to the opening balance of retained earnings at the date of</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 conversion features that are not required to be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adoption. If applying the fully retrospective method of transition,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accounted for as derivatives, or that do not result in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cumulative effect of the change should be recognized as an</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substantial premiums accounted for as paid-in capital.</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adjustment to the opening balance of retained earnings in the first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Consequently, a convertible debt instrument will be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comparative period presented.</w:t>
            </w: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tcPr>
          <w:p>
            <w:pPr>
              <w:spacing w:after="0"/>
              <w:rPr>
                <w:sz w:val="9"/>
                <w:szCs w:val="9"/>
                <w:color w:val="auto"/>
              </w:rPr>
            </w:pPr>
          </w:p>
        </w:tc>
        <w:tc>
          <w:tcPr>
            <w:tcW w:w="3880" w:type="dxa"/>
            <w:vAlign w:val="bottom"/>
            <w:tcBorders>
              <w:right w:val="single" w:sz="8" w:color="auto"/>
            </w:tcBorders>
          </w:tcPr>
          <w:p>
            <w:pPr>
              <w:ind w:left="120"/>
              <w:spacing w:after="0" w:line="113" w:lineRule="exact"/>
              <w:rPr>
                <w:sz w:val="20"/>
                <w:szCs w:val="20"/>
                <w:color w:val="auto"/>
              </w:rPr>
            </w:pPr>
            <w:r>
              <w:rPr>
                <w:rFonts w:ascii="Times New Roman" w:cs="Times New Roman" w:eastAsia="Times New Roman" w:hAnsi="Times New Roman"/>
                <w:sz w:val="13"/>
                <w:szCs w:val="13"/>
                <w:color w:val="auto"/>
              </w:rPr>
              <w:t>accounted for as a single liability measured at its amortized</w:t>
            </w:r>
          </w:p>
        </w:tc>
        <w:tc>
          <w:tcPr>
            <w:tcW w:w="150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660" w:type="dxa"/>
            <w:vAlign w:val="bottom"/>
            <w:tcBorders>
              <w:left w:val="single" w:sz="8" w:color="auto"/>
              <w:right w:val="single" w:sz="8" w:color="auto"/>
            </w:tcBorders>
          </w:tcPr>
          <w:p>
            <w:pPr>
              <w:spacing w:after="0"/>
              <w:rPr>
                <w:sz w:val="16"/>
                <w:szCs w:val="16"/>
                <w:color w:val="auto"/>
              </w:rPr>
            </w:pP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cost and a convertible preferred stock will be accounted for</w:t>
            </w:r>
          </w:p>
        </w:tc>
        <w:tc>
          <w:tcPr>
            <w:tcW w:w="1500" w:type="dxa"/>
            <w:vAlign w:val="bottom"/>
            <w:tcBorders>
              <w:right w:val="single" w:sz="8" w:color="auto"/>
            </w:tcBorders>
          </w:tcPr>
          <w:p>
            <w:pPr>
              <w:spacing w:after="0"/>
              <w:rPr>
                <w:sz w:val="16"/>
                <w:szCs w:val="16"/>
                <w:color w:val="auto"/>
              </w:rPr>
            </w:pP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fair value option is allowed to be irrevocably elected for any</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as a single equity instrument measured at its historical cost,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financial instrument that is a convertible security upon adoption of</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as long as no other features require bifurcation and</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amendments.</w:t>
            </w: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tcPr>
          <w:p>
            <w:pPr>
              <w:spacing w:after="0"/>
              <w:rPr>
                <w:sz w:val="9"/>
                <w:szCs w:val="9"/>
                <w:color w:val="auto"/>
              </w:rPr>
            </w:pPr>
          </w:p>
        </w:tc>
        <w:tc>
          <w:tcPr>
            <w:tcW w:w="3880" w:type="dxa"/>
            <w:vAlign w:val="bottom"/>
            <w:tcBorders>
              <w:right w:val="single" w:sz="8" w:color="auto"/>
            </w:tcBorders>
          </w:tcPr>
          <w:p>
            <w:pPr>
              <w:ind w:left="120"/>
              <w:spacing w:after="0" w:line="113" w:lineRule="exact"/>
              <w:rPr>
                <w:sz w:val="20"/>
                <w:szCs w:val="20"/>
                <w:color w:val="auto"/>
              </w:rPr>
            </w:pPr>
            <w:r>
              <w:rPr>
                <w:rFonts w:ascii="Times New Roman" w:cs="Times New Roman" w:eastAsia="Times New Roman" w:hAnsi="Times New Roman"/>
                <w:sz w:val="13"/>
                <w:szCs w:val="13"/>
                <w:color w:val="auto"/>
              </w:rPr>
              <w:t>recognition as derivatives. By removing those separation</w:t>
            </w:r>
          </w:p>
        </w:tc>
        <w:tc>
          <w:tcPr>
            <w:tcW w:w="150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660" w:type="dxa"/>
            <w:vAlign w:val="bottom"/>
            <w:tcBorders>
              <w:left w:val="single" w:sz="8" w:color="auto"/>
              <w:right w:val="single" w:sz="8" w:color="auto"/>
            </w:tcBorders>
          </w:tcPr>
          <w:p>
            <w:pPr>
              <w:spacing w:after="0"/>
              <w:rPr>
                <w:sz w:val="16"/>
                <w:szCs w:val="16"/>
                <w:color w:val="auto"/>
              </w:rPr>
            </w:pP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models, the interest rate of convertible debt instruments</w:t>
            </w:r>
          </w:p>
        </w:tc>
        <w:tc>
          <w:tcPr>
            <w:tcW w:w="1500" w:type="dxa"/>
            <w:vAlign w:val="bottom"/>
            <w:tcBorders>
              <w:right w:val="single" w:sz="8" w:color="auto"/>
            </w:tcBorders>
          </w:tcPr>
          <w:p>
            <w:pPr>
              <w:spacing w:after="0"/>
              <w:rPr>
                <w:sz w:val="16"/>
                <w:szCs w:val="16"/>
                <w:color w:val="auto"/>
              </w:rPr>
            </w:pP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Company has not yet decided on which transition method will</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typically will be closer to the coupon interest rate on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be applied to the extent applicable. The Company does not expect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instrument. The amendments also require certain changes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guidance will have a material impact on its consolidated</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to EPS calculations for convertible instruments as well as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financial statements.</w:t>
            </w: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tcPr>
          <w:p>
            <w:pPr>
              <w:spacing w:after="0"/>
              <w:rPr>
                <w:sz w:val="9"/>
                <w:szCs w:val="9"/>
                <w:color w:val="auto"/>
              </w:rPr>
            </w:pPr>
          </w:p>
        </w:tc>
        <w:tc>
          <w:tcPr>
            <w:tcW w:w="3880" w:type="dxa"/>
            <w:vAlign w:val="bottom"/>
            <w:tcBorders>
              <w:right w:val="single" w:sz="8" w:color="auto"/>
            </w:tcBorders>
          </w:tcPr>
          <w:p>
            <w:pPr>
              <w:ind w:left="120"/>
              <w:spacing w:after="0" w:line="113" w:lineRule="exact"/>
              <w:rPr>
                <w:sz w:val="20"/>
                <w:szCs w:val="20"/>
                <w:color w:val="auto"/>
              </w:rPr>
            </w:pPr>
            <w:r>
              <w:rPr>
                <w:rFonts w:ascii="Times New Roman" w:cs="Times New Roman" w:eastAsia="Times New Roman" w:hAnsi="Times New Roman"/>
                <w:sz w:val="13"/>
                <w:szCs w:val="13"/>
                <w:color w:val="auto"/>
              </w:rPr>
              <w:t>additional disclosures relating to conditions that cause</w:t>
            </w:r>
          </w:p>
        </w:tc>
        <w:tc>
          <w:tcPr>
            <w:tcW w:w="150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660" w:type="dxa"/>
            <w:vAlign w:val="bottom"/>
            <w:tcBorders>
              <w:left w:val="single" w:sz="8" w:color="auto"/>
              <w:right w:val="single" w:sz="8" w:color="auto"/>
            </w:tcBorders>
          </w:tcPr>
          <w:p>
            <w:pPr>
              <w:spacing w:after="0"/>
              <w:rPr>
                <w:sz w:val="16"/>
                <w:szCs w:val="16"/>
                <w:color w:val="auto"/>
              </w:rPr>
            </w:pP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conversion features to be met.</w:t>
            </w:r>
          </w:p>
        </w:tc>
        <w:tc>
          <w:tcPr>
            <w:tcW w:w="1500" w:type="dxa"/>
            <w:vAlign w:val="bottom"/>
            <w:tcBorders>
              <w:right w:val="single" w:sz="8" w:color="auto"/>
            </w:tcBorders>
          </w:tcPr>
          <w:p>
            <w:pPr>
              <w:spacing w:after="0"/>
              <w:rPr>
                <w:sz w:val="16"/>
                <w:szCs w:val="16"/>
                <w:color w:val="auto"/>
              </w:rPr>
            </w:pPr>
          </w:p>
        </w:tc>
        <w:tc>
          <w:tcPr>
            <w:tcW w:w="4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tcBorders>
              <w:left w:val="single" w:sz="8" w:color="auto"/>
              <w:right w:val="single" w:sz="8" w:color="auto"/>
            </w:tcBorders>
          </w:tcPr>
          <w:p>
            <w:pPr>
              <w:spacing w:after="0"/>
              <w:rPr>
                <w:sz w:val="18"/>
                <w:szCs w:val="18"/>
                <w:color w:val="auto"/>
              </w:rPr>
            </w:pP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For contacts in an entity’s own equity, the</w:t>
            </w:r>
          </w:p>
        </w:tc>
        <w:tc>
          <w:tcPr>
            <w:tcW w:w="150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amendments revise the derivatives scope exception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guidance as follows: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1. Remove the settlement in unregistered shares, collateral,</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shareholder rights conditions from the settlement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guidance.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2. Clarify that payment penalties for failure to timely file do</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not preclude equity classification.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3. Require instruments that are required to be classified as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an asset or liability to be measured subsequently at fair</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value, with changes reported in earnings and disclosed in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financial statements. 4. Clarifiy that the scope of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 requirements in the Contracts in an Entity’s Own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 section of the Derivatives guidance applies only to</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freestanding instruments.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5. Clarify that the scope of the reassessment guidance in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Contracts in an Entity’s Own Equity section of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Derivatives guidance applies to both freestanding</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instruments and embedded features.</w:t>
            </w:r>
          </w:p>
        </w:tc>
        <w:tc>
          <w:tcPr>
            <w:tcW w:w="150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Net income for M&amp;T Bank Corporation (“M&amp;T”) in the third quarter of 2020 was $372 million compared with $480 million in the corresponding quarter of 2019 and $241 million in the second quarter of 2020. Diluted and basic earnings per common share were $2.75 in the recent quarter, $3.47 in the third quarter of 2019 and $1.74 in the second quarter of 2020. Net income totaled $882 million or $6.42 of diluted and basic earnings per common share during the first nine months of 2020, compared with $1.44 billion or $10.16 of diluted and basic earnings per common share in the similar period of 2019.</w:t>
      </w:r>
    </w:p>
    <w:p>
      <w:pPr>
        <w:spacing w:after="0" w:line="75"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annualized rate of return on average total assets for M&amp;T and its consolidated subsidiaries (“the Company”) in 2020’s third quarter was 1.06%, compared with 1.58% in the year-earlier quarter and .71% in the second quarter of 2020. The annualized rate of return on average common shareholders’ equity was 9.53% in the recent quarter, 12.73% in the third quarter of 2019 and 6.13% in the second 2020 quarter. During the nine-month period ended September 30, 2020, the annualized rates of return on average assets and average common shareholders’ equity were .89% and 7.57%, respectively, compared with 1.62% and 12.85%, respectively, in the first nine months of 2019.</w:t>
      </w:r>
    </w:p>
    <w:p>
      <w:pPr>
        <w:spacing w:after="0" w:line="75"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Effective January 1, 2020, M&amp;T adopted amended accounting guidance for the measurement of credit losses on financial instruments. That guidance requires an allowance for credit losses to be deducted from the amortized cost basis of financial assets to present the net carrying value that is expected to be collected over the contractual term of the assets considering relevant information about past events, current conditions, and reasonable and supportable forecasts that affect the collectibility of the reported amount. The new accounting guidance replaced the previous incurred loss model for determining the allowance for credit losses. The adoption of the amended guidance resulted in a $132 million increase in the allowance for credit losses as of January 1, 2020. Additional information on the new accounting guidance is provided under the heading “Provision for Credit Losses” and in note 3 of Notes to Financial Statements.</w:t>
      </w:r>
    </w:p>
    <w:p>
      <w:pPr>
        <w:spacing w:after="0" w:line="80"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Financial results for the first three quarters of 2020 have been adversely impacted by the Coronavirus Disease 2019 (“COVID-19”) pandemic. Large portions of the U.S. economy were substantially curtailed for extended periods of time and, as a result, many commercial and consumer customers were adversely impacted. Specifically, those adverse economic impacts, coupled with the accounting change noted previously, resulted in the Company recognizing significantly higher provisions for credit losses during the first three quarters of 2020 as compared with previous years. The provision for credit losses in the recent quarter was $150 million, compared with $325 million in the second 2020 quarter, $250 million in the first quarter of 2020 and $45 million in the third quarter of 2019. For the nine-month periods ended September 30, 2020 and 2019, the provision totaled $725 million and $122 million, respectively. The 2020 periods reflect the new accounting guidance for the measurement of expected credit losses on financial instruments. Prior to 2020, the provision for credit losses reflected incurred losses only. In response to the pandemic, the Federal Reserve has taken action to lower interest rates that has negatively affected the Company’s net interest income. Taxable-equivalent net interest income totaled $947 million and $961 million in the third and second quarters of 2020, respectively, compared with $1.04 billion in the third quarter of 2019. For the first nine months of each year, taxable-equivalent net interest income was $2.89 billion in 2020 and $3.14 billion in 2019.</w:t>
      </w:r>
    </w:p>
    <w:p>
      <w:pPr>
        <w:spacing w:after="0" w:line="89"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On March 27, 2020, the Coronavirus Aid, Relief, and Economic Security Act (“CARES Act”) was signed into law. Among other things, the CARES Act provides relief to borrowers, including the opportunity to defer loan payments while not negatively affecting their credit standing, and also provides funding opportunities for small businesses under the Paycheck Protection Program (“PPP”) from approved Small Business Administration (“SBA”) lenders, including M&amp;T Bank. For commercial and consumer customers, the Company has provided a host of relief options, including loan maturity extensions, payment deferrals, fee waivers and low interest rate loan products. M&amp;T Bank funded PPP loans during 2020 that totaled $6.5 billion at September 30, 2020.</w:t>
      </w:r>
    </w:p>
    <w:p>
      <w:pPr>
        <w:spacing w:after="0" w:line="75"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Updated economic forecasts at the end of each of the first three quarters of 2020 resulted in higher estimates of expected credit losses in the Company’s loan portfolio than at January 1, 2020, resulting in higher levels of the provision for credit losses in each of those quarters as compared with the comparable 2019 periods. Specifically, 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3" w:name="page54"/>
    <w:bookmarkEnd w:id="53"/>
    <w:p>
      <w:pPr>
        <w:jc w:val="both"/>
        <w:spacing w:after="0" w:line="245" w:lineRule="auto"/>
        <w:rPr>
          <w:sz w:val="20"/>
          <w:szCs w:val="20"/>
          <w:color w:val="auto"/>
        </w:rPr>
      </w:pPr>
      <w:r>
        <w:rPr>
          <w:rFonts w:ascii="Times New Roman" w:cs="Times New Roman" w:eastAsia="Times New Roman" w:hAnsi="Times New Roman"/>
          <w:sz w:val="21"/>
          <w:szCs w:val="21"/>
          <w:color w:val="auto"/>
        </w:rPr>
        <w:t>the third quarter of 2020, the level of the provision reflects the ongoing impacts of the pandemic on economic activity in the hospitality and retail sectors, the uncertainty at September 30, 2020 coming from Washington, D.C. over providing additional stimulus to the economy, and concerns about ultimate collectibility of commercial real estate loans where the borrowers are requesting re-payment forbearance. The Company expects that it will continue to be negatively impacted by the COVID-19 pandemic after September 30, 2020 and believes that the pandemic could have a material impact on its future financial results. Specifically, the Company expects the following balance sheet and income statement categories to be affected:</w:t>
      </w:r>
    </w:p>
    <w:p>
      <w:pPr>
        <w:spacing w:after="0" w:line="3" w:lineRule="exact"/>
        <w:rPr>
          <w:sz w:val="20"/>
          <w:szCs w:val="20"/>
          <w:color w:val="auto"/>
        </w:rPr>
      </w:pPr>
    </w:p>
    <w:p>
      <w:pPr>
        <w:ind w:left="800" w:right="880" w:hanging="360"/>
        <w:spacing w:after="0" w:line="241" w:lineRule="auto"/>
        <w:tabs>
          <w:tab w:leader="none" w:pos="8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and net interest margin –the low interest rate environment will continue to negatively affect the Company’s net interest margin;</w:t>
      </w:r>
    </w:p>
    <w:p>
      <w:pPr>
        <w:spacing w:after="0" w:line="1" w:lineRule="exact"/>
        <w:rPr>
          <w:rFonts w:ascii="Times New Roman" w:cs="Times New Roman" w:eastAsia="Times New Roman" w:hAnsi="Times New Roman"/>
          <w:sz w:val="21"/>
          <w:szCs w:val="21"/>
          <w:color w:val="auto"/>
        </w:rPr>
      </w:pPr>
    </w:p>
    <w:p>
      <w:pPr>
        <w:ind w:left="800" w:hanging="360"/>
        <w:spacing w:after="0" w:line="241" w:lineRule="auto"/>
        <w:tabs>
          <w:tab w:leader="none" w:pos="8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 although the economy has seen some signs of recovery during the recent quarter, it is possible that deteriorating economic assumptions used to calculate the allowance for credit losses at the end of future reporting periods could result in continued higher levels of the provision and allowance for credit losses. In addition, the impact on borrowers’ ability to repay loans could be negatively affected, potentially leading to increased charge-offs;</w:t>
      </w:r>
    </w:p>
    <w:p>
      <w:pPr>
        <w:spacing w:after="0" w:line="2" w:lineRule="exact"/>
        <w:rPr>
          <w:rFonts w:ascii="Times New Roman" w:cs="Times New Roman" w:eastAsia="Times New Roman" w:hAnsi="Times New Roman"/>
          <w:sz w:val="21"/>
          <w:szCs w:val="21"/>
          <w:color w:val="auto"/>
        </w:rPr>
      </w:pPr>
    </w:p>
    <w:p>
      <w:pPr>
        <w:ind w:left="800" w:right="280" w:hanging="360"/>
        <w:spacing w:after="0" w:line="241" w:lineRule="auto"/>
        <w:tabs>
          <w:tab w:leader="none" w:pos="8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portions of noninterest income could be adversely affected. For example, consumer deposit service charge fees may continue to be lower than historical levels due to lower customer transaction activity; credit card interchange volumes may be lower than historical norms, resulting in lower fees, until the economy returns to pre-pandemic activity levels; and portions of trust income may be reduced due to fee waivers associated with proprietary money market mutual fund management fees; and</w:t>
      </w:r>
    </w:p>
    <w:p>
      <w:pPr>
        <w:spacing w:after="0" w:line="2" w:lineRule="exact"/>
        <w:rPr>
          <w:rFonts w:ascii="Times New Roman" w:cs="Times New Roman" w:eastAsia="Times New Roman" w:hAnsi="Times New Roman"/>
          <w:sz w:val="21"/>
          <w:szCs w:val="21"/>
          <w:color w:val="auto"/>
        </w:rPr>
      </w:pPr>
    </w:p>
    <w:p>
      <w:pPr>
        <w:ind w:left="800" w:right="320" w:hanging="360"/>
        <w:spacing w:after="0" w:line="246" w:lineRule="auto"/>
        <w:tabs>
          <w:tab w:leader="none" w:pos="8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resurgence of the pandemic in large parts of the country may result in government mandates that could impact customer demand for many of the Company’s credit-related products and other services.</w:t>
      </w:r>
    </w:p>
    <w:p>
      <w:pPr>
        <w:spacing w:after="0" w:line="115" w:lineRule="exact"/>
        <w:rPr>
          <w:sz w:val="20"/>
          <w:szCs w:val="20"/>
          <w:color w:val="auto"/>
        </w:rPr>
      </w:pPr>
    </w:p>
    <w:p>
      <w:pPr>
        <w:ind w:right="200" w:firstLine="468"/>
        <w:spacing w:after="0" w:line="249" w:lineRule="auto"/>
        <w:rPr>
          <w:sz w:val="20"/>
          <w:szCs w:val="20"/>
          <w:color w:val="auto"/>
        </w:rPr>
      </w:pPr>
      <w:r>
        <w:rPr>
          <w:rFonts w:ascii="Times New Roman" w:cs="Times New Roman" w:eastAsia="Times New Roman" w:hAnsi="Times New Roman"/>
          <w:sz w:val="21"/>
          <w:szCs w:val="21"/>
          <w:color w:val="auto"/>
        </w:rPr>
        <w:t>The national effort to mitigate the pandemic has resulted in a challenging environment for businesses and their employees. The Company has taken actions designed to help provide a safe environment for its customers and employees and to provide relief to customers in a variety of ways. Examples of those actions include:</w:t>
      </w:r>
    </w:p>
    <w:p>
      <w:pPr>
        <w:spacing w:after="0" w:line="1" w:lineRule="exact"/>
        <w:rPr>
          <w:sz w:val="20"/>
          <w:szCs w:val="20"/>
          <w:color w:val="auto"/>
        </w:rPr>
      </w:pPr>
    </w:p>
    <w:p>
      <w:pPr>
        <w:ind w:left="740" w:right="40" w:hanging="368"/>
        <w:spacing w:after="0" w:line="253" w:lineRule="auto"/>
        <w:tabs>
          <w:tab w:leader="none" w:pos="7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deployment of a Pandemic Response Plan to manage the pandemic’s effects on operations, employees and customers, including seeking to ensure employee safety, maintaining continuity of operations and service levels for customers, preserving the Company’s financial strength, and complying with applicable laws and regulations. Actions have included placing restrictions on travel, implementing social distancing, health screening, sanitation and other protocols, and mandating for all employees whose jobs can be performed remotely to work from home where possible. The Company continues to assess the appropriateness of employees returning to the office while seeking to ensure a safe work environment;</w:t>
      </w:r>
    </w:p>
    <w:p>
      <w:pPr>
        <w:spacing w:after="0" w:line="3" w:lineRule="exact"/>
        <w:rPr>
          <w:rFonts w:ascii="Times New Roman" w:cs="Times New Roman" w:eastAsia="Times New Roman" w:hAnsi="Times New Roman"/>
          <w:sz w:val="20"/>
          <w:szCs w:val="20"/>
          <w:color w:val="auto"/>
        </w:rPr>
      </w:pPr>
    </w:p>
    <w:p>
      <w:pPr>
        <w:ind w:left="740" w:hanging="368"/>
        <w:spacing w:after="0"/>
        <w:tabs>
          <w:tab w:leader="none" w:pos="7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Nearly all M&amp;T Bank branches remain open, with open lobbies and normal access to drive-through windows and ATMs;</w:t>
      </w:r>
    </w:p>
    <w:p>
      <w:pPr>
        <w:spacing w:after="0" w:line="1" w:lineRule="exact"/>
        <w:rPr>
          <w:rFonts w:ascii="Times New Roman" w:cs="Times New Roman" w:eastAsia="Times New Roman" w:hAnsi="Times New Roman"/>
          <w:sz w:val="21"/>
          <w:szCs w:val="21"/>
          <w:color w:val="auto"/>
        </w:rPr>
      </w:pPr>
    </w:p>
    <w:p>
      <w:pPr>
        <w:ind w:left="740" w:hanging="368"/>
        <w:spacing w:after="0"/>
        <w:tabs>
          <w:tab w:leader="none" w:pos="7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Approximately 90% of the Company’s non-branch employees continue to work remotely;</w:t>
      </w:r>
    </w:p>
    <w:p>
      <w:pPr>
        <w:spacing w:after="0" w:line="1" w:lineRule="exact"/>
        <w:rPr>
          <w:rFonts w:ascii="Times New Roman" w:cs="Times New Roman" w:eastAsia="Times New Roman" w:hAnsi="Times New Roman"/>
          <w:sz w:val="21"/>
          <w:szCs w:val="21"/>
          <w:color w:val="auto"/>
        </w:rPr>
      </w:pPr>
    </w:p>
    <w:p>
      <w:pPr>
        <w:ind w:left="740" w:right="100" w:hanging="368"/>
        <w:spacing w:after="0" w:line="241" w:lineRule="auto"/>
        <w:tabs>
          <w:tab w:leader="none" w:pos="7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down significantly from June 30 due to customers not requesting an extension of previously granted relief terms, many loan customers are still receiving COVID-19 related relief in various forms, including modification and forbearance requests as of September 30, 2020 as follows:</w:t>
      </w:r>
    </w:p>
    <w:p>
      <w:pPr>
        <w:spacing w:after="0" w:line="1" w:lineRule="exact"/>
        <w:rPr>
          <w:rFonts w:ascii="Times New Roman" w:cs="Times New Roman" w:eastAsia="Times New Roman" w:hAnsi="Times New Roman"/>
          <w:sz w:val="21"/>
          <w:szCs w:val="21"/>
          <w:color w:val="auto"/>
        </w:rPr>
      </w:pPr>
    </w:p>
    <w:p>
      <w:pPr>
        <w:jc w:val="both"/>
        <w:ind w:left="1500" w:right="80" w:hanging="372"/>
        <w:spacing w:after="0" w:line="253" w:lineRule="auto"/>
        <w:tabs>
          <w:tab w:leader="none" w:pos="15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 1,500 customers with balances of $5.9 billion, down from $14.0 billion at June 30 (including loans to automobile and recreation finance dealers of $63 million and $4.2 billion at September 30 and June 30 respectively);</w:t>
      </w:r>
    </w:p>
    <w:p>
      <w:pPr>
        <w:spacing w:after="0" w:line="1" w:lineRule="exact"/>
        <w:rPr>
          <w:rFonts w:ascii="Times New Roman" w:cs="Times New Roman" w:eastAsia="Times New Roman" w:hAnsi="Times New Roman"/>
          <w:sz w:val="20"/>
          <w:szCs w:val="20"/>
          <w:color w:val="auto"/>
        </w:rPr>
      </w:pPr>
    </w:p>
    <w:p>
      <w:pPr>
        <w:ind w:left="1500" w:right="160" w:hanging="372"/>
        <w:spacing w:after="0" w:line="253" w:lineRule="auto"/>
        <w:tabs>
          <w:tab w:leader="none" w:pos="15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Residential real estate – 13,500 customers with balances of $3.3 billion (excluding approximately 62,000 customers with balances of $10.1 billion that are serviced for others and, therefore not included in the Company’s assets), up from $2.3 billion at June 30 reflecting the impact of modified government-guaranteed loans repurchased by the Company from the portfolio of loans serviced for others and not previously included in the Company’s assets;</w:t>
      </w:r>
    </w:p>
    <w:p>
      <w:pPr>
        <w:spacing w:after="0" w:line="2" w:lineRule="exact"/>
        <w:rPr>
          <w:rFonts w:ascii="Times New Roman" w:cs="Times New Roman" w:eastAsia="Times New Roman" w:hAnsi="Times New Roman"/>
          <w:sz w:val="20"/>
          <w:szCs w:val="20"/>
          <w:color w:val="auto"/>
        </w:rPr>
      </w:pPr>
    </w:p>
    <w:p>
      <w:pPr>
        <w:ind w:left="1500" w:hanging="372"/>
        <w:spacing w:after="0"/>
        <w:tabs>
          <w:tab w:leader="none" w:pos="15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 including automobile, recreational finance, home equity lines and loans, credit cards and personal loans</w:t>
      </w:r>
    </w:p>
    <w:p>
      <w:pPr>
        <w:spacing w:after="0" w:line="13"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4,200 customers with balances of $131 million, down from $685 million at June 30.</w:t>
      </w:r>
    </w:p>
    <w:p>
      <w:pPr>
        <w:spacing w:after="0" w:line="1" w:lineRule="exact"/>
        <w:rPr>
          <w:rFonts w:ascii="Times New Roman" w:cs="Times New Roman" w:eastAsia="Times New Roman" w:hAnsi="Times New Roman"/>
          <w:sz w:val="20"/>
          <w:szCs w:val="20"/>
          <w:color w:val="auto"/>
        </w:rPr>
      </w:pPr>
    </w:p>
    <w:p>
      <w:pPr>
        <w:ind w:left="740" w:right="240" w:hanging="368"/>
        <w:spacing w:after="0" w:line="246" w:lineRule="auto"/>
        <w:tabs>
          <w:tab w:leader="none" w:pos="7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Paycheck Protection Program – At September 30, 2020, 34,600 customers have outstanding loans totaling $6.5 billion, little changed from June 30; and</w:t>
      </w:r>
    </w:p>
    <w:p>
      <w:pPr>
        <w:spacing w:after="0" w:line="35"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4" w:name="page55"/>
    <w:bookmarkEnd w:id="54"/>
    <w:p>
      <w:pPr>
        <w:ind w:left="740" w:hanging="368"/>
        <w:spacing w:after="0"/>
        <w:tabs>
          <w:tab w:leader="none" w:pos="7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Waiving certain types of transaction and maintenance fees for consumer and small business deposit account relationships.</w:t>
      </w:r>
    </w:p>
    <w:p>
      <w:pPr>
        <w:spacing w:after="0" w:line="2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Notable events reflected in the Company’s financial results for the first nine months of 2019 included the following:</w:t>
      </w:r>
    </w:p>
    <w:p>
      <w:pPr>
        <w:spacing w:after="0" w:line="110" w:lineRule="exact"/>
        <w:rPr>
          <w:sz w:val="20"/>
          <w:szCs w:val="20"/>
          <w:color w:val="auto"/>
        </w:rPr>
      </w:pPr>
    </w:p>
    <w:p>
      <w:pPr>
        <w:jc w:val="both"/>
        <w:ind w:left="740" w:hanging="368"/>
        <w:spacing w:after="0" w:line="244" w:lineRule="auto"/>
        <w:tabs>
          <w:tab w:leader="none" w:pos="74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July 2019, M&amp;T agreed to sell its non-controlling interest in an asset manager obtained in the 2011 acquisition of Wilmington Trust Corporation that had been accounted for using the equity method of accounting and, as a result, as of June 30, 2019 recorded a $48 million charge (reflected in “other costs of operations”) to reduce the carrying value of the investment to its net realizable value. Similar to other active investment managers, the investee entity had experienced a decrease in assets under management and during the second quarter of 2019 the entity’s chief executive and investment officer announced his retirement. Following that announcement, successor management submitted a proposal to M&amp;T to restructure the organization of the entity. The after-tax impact of the charge was a reduction in net income of $36 million, or $.27 of diluted earnings per common share in the second quarter of 2019. The sale of M&amp;T’s interest in the asset manager was effective September 30, 2019.</w:t>
      </w:r>
    </w:p>
    <w:p>
      <w:pPr>
        <w:spacing w:after="0" w:line="1" w:lineRule="exact"/>
        <w:rPr>
          <w:rFonts w:ascii="Times New Roman" w:cs="Times New Roman" w:eastAsia="Times New Roman" w:hAnsi="Times New Roman"/>
          <w:sz w:val="21"/>
          <w:szCs w:val="21"/>
          <w:color w:val="auto"/>
        </w:rPr>
      </w:pPr>
    </w:p>
    <w:p>
      <w:pPr>
        <w:jc w:val="both"/>
        <w:ind w:left="740" w:hanging="368"/>
        <w:spacing w:after="0" w:line="242" w:lineRule="auto"/>
        <w:tabs>
          <w:tab w:leader="none" w:pos="74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first quarter of 2019, the Company increased its reserve for legal matters by $50 million in conjunction with matters associated with a subsidiary’s role as trustee of Employee Stock Ownership Plans in its Institutional Client Services business. That increase, on an after-tax basis, reduced net income in that quarter by $37 million, or $.27 of diluted earnings per common share. Also during that quarter, M&amp;T realized $37 million of distributed income from Bayview Lending Group LLC (“BLG”), increasing net income by $28 million, or $.20 of diluted earnings per common share. A similar distribution of $23 million was received in the first quarter of 2020, increasing net income by $17 million, or $.13 of diluted earnings per common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Supplemental Reporting of Non-GAAP Results of Operations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(when incurred)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75"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Net operating income totaled $375 million in the third quarter of 2020, compared with $484 million in the year-earlier quarter. Diluted net operating earnings per common share in the third quarters of 2020 and 2019 were $2.77 and $3.50, respectively. Net operating income and diluted net operating earnings per share were $244 million and $1.76, respectively, in the second quarter of 2020. For the first nine months of 2020, net operating income and diluted net operating earnings per common share were $891 million and $6.49, respectively, compared with $1.45 billion and $10.24, respectively, in the corresponding 2019 period.</w:t>
      </w:r>
    </w:p>
    <w:p>
      <w:pPr>
        <w:spacing w:after="0" w:line="75"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Net operating income in the recent quarter expressed as an annualized rate of return on average tangible assets was 1.10%, compared with 1.66% in the third quarter of 2019 and .74% in the 2020’s second quarter. Net operating income represented an annualized return on average tangible common equity of 13.94% in the third quarter of 2020, 18.85% in the year-earlier quarter and 9.04% in the second quarter of 2020. For the first three quarters of 2020, net operating income represented an annualized return on average tanglibe assets and average tanglible common shareholders’ equity of .93% and 11.15%, respectively, compared with 1.70% and 19.07%, respectively, in the first nine months of 2019.</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Reconciliations of GAAP amounts with corresponding non-GAAP amounts are provided in table 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b w:val="1"/>
          <w:bCs w:val="1"/>
          <w:color w:val="auto"/>
        </w:rPr>
        <w:t>Taxable-equivalent Net Interest Income</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Taxable-equivalent net interest income was $947 million in the third quarter of 2020, compared with $1.04 billion in the year-earlier quarter. That decline resulted predominantly from an 83 basis point (hundredths of one percent) narrowing of the net interest margin, or taxable-equivalent net interest income expressed as an annualized percentage of average earning assets, to 2.95% in the recent quarter from 3.78% in the third quarter of 2019. The narrowing of the net interest margin was largely the result of declines in rates earned on loans and deposits at the Federal Reserve Bank of New York, reflecting the lower interest rate environment due to actions initiated by the Federal Reserve to decrease its target Federal funds rate three times in the second half of 2019 (each by a .25% increment) and twice in March of 2020 (first by .50%, than another by 1.0%). The impact of the recent quarter’s lower net interest margin on net interest income was partially offset by an increase in average earning assets of $19.0 billion from the year-earlier quarter. The increase in average earning assets in the recent quarter as compared with the third quarter of 2019 resulted from higher average balances of loans and leases and interest-bearing deposits at the Federal Reserve Bank of New York, partially offset by lower average investment securities balances. Taxable-equivalent net interest income in the recent quarter declined $14 million, or 1%, from the second quarter of 2020 primarily driven by an 18 basis point narrowing of the net interest margin from 3.13% in the prior quarter, partially offset by a $4.2 billion rise in average earning assets.</w:t>
      </w:r>
    </w:p>
    <w:p>
      <w:pPr>
        <w:spacing w:after="0" w:line="88"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For the first nine months of 2020, taxable-equivalent net interest income was $2.89 billion, down 8% from $3.14 billion in the corresponding 2019 period. That decrease was primarily attributable to a 69 basis point narrowing of the margin to 3.22% in the 2020 period from 3.91% in the year-earlier period, partially offset by a $12.4 billion increase in average earning assets.</w:t>
      </w:r>
    </w:p>
    <w:p>
      <w:pPr>
        <w:spacing w:after="0" w:line="67"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Average loans and leases totaled $98.2 billion in the third quarter of 2020, up $8.1 billion or 9% from $90.1 billion in the similar quarter of 2019. Commercial loans and leases averaged $28.3 billion in the third quarter of 2020, $5.0 billion or 21% higher than in the year-earlier quarter. That increase was the result of average outstanding PPP loans of $6.5 billion that were predominantly funded in the second quarter of 2020. Average commercial real estate loans were $37.2 billion in the recent quarter, up $2.0 billion, or 6%, from $35.2 billion in the similar 2019 quarter. Included in average commercial real estate loans in the third quarters of 2020 and 2019 were loans held for sale of $260 million and $492 million, respectively. Reflecting the offsetting impacts of ongoing repayments of loans by customers and repurchases of government-guaranteed loans from Ginnie Mae pools that are serviced by the Company, average residential real estate loans declined $115 million or 1% to $16.6 billion in the third quarter of 2020 from $16.7 billion in the year-earlier quarter. The Company repurchases government-guaranteed loans to reduce associated servicing costs, namely a requirement to advance principal and interest payments that had not been received from individual mortgagors, including payments deferred under COVID-19 forbearance arrangements. The loans repurchased from Ginnie Mae pools averaged $2.1 billion in the recent quarter, including $1.6 billion of repurchases during the quarter, up from $889 million in the year-earlier period. Also included in average residential real estate loans were loans held for sale of $494 million in the recent quarter and $327 million in the third quarter of 2019. Consumer loans averaged $16.1 billion in the third quarter of 2020, up $1.2 billion, or 8%, from $14.9 billion in the year-earlier quarter, due to growth in average recreational finance loans (consisting predominantly of loans secured by recreational vehicles and boats) and, to a lesser extent, automobile loans that was partially offset by declines in outstanding balances of home equity loans and lines of credit.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6" w:name="page57"/>
    <w:bookmarkEnd w:id="56"/>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Average loan and lease balances in the third quarter of 2020 increased $413 million from $97.8 billion in the second quarter of 2020. Commercial loan and lease average balances in the recent quarter were down $1.4 billion, or 5%, from $29.7 billion in the second quarter of 2020. That decline was due to lower outstanding balances of floor plan inventory loans to dealers that were largely seasonal in nature. Average commercial real estate loans in the third quarter of 2020 increased $296 million from $36.9 billion in the second quarter of 2020. Commercial real estate loans held for sale averaged $287 million in the second quarter of 2020. Average balances of residential real estate loans in the recently completed quarter rose $958 million, or 6%, from $15.6 billion in 2020’s second quarter, predominantly reflecting the repurchases of government guaranteed loans of $1.6 billion. The repurchased loans averaged $2.1 billion in 2020’s third quarter, compared with $774 million in the immediately preceding quarter. Residential real estate loans held for sale averaged $406 million in the second quarter of 2020. Average consumer loans in the recent quarter increased $558 million, or 4%, from $15.5 billion in 2020’s second quarter, reflecting growth in recreational finance loans. The accompanying table summarizes quarterly changes in the major components of the loan and lease portfolio.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AND LEASES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of unearned discount)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5"/>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3rd Qtr.</w:t>
            </w:r>
          </w:p>
        </w:tc>
        <w:tc>
          <w:tcPr>
            <w:tcW w:w="2080" w:type="dxa"/>
            <w:vAlign w:val="bottom"/>
            <w:gridSpan w:val="5"/>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(Decrease) from</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0" w:type="dxa"/>
            <w:vAlign w:val="bottom"/>
            <w:tcBorders>
              <w:top w:val="single" w:sz="8" w:color="auto"/>
            </w:tcBorders>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3rd Qtr.</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3"/>
              <w:spacing w:after="0" w:line="145" w:lineRule="exact"/>
              <w:rPr>
                <w:sz w:val="20"/>
                <w:szCs w:val="20"/>
                <w:color w:val="auto"/>
              </w:rPr>
            </w:pPr>
            <w:r>
              <w:rPr>
                <w:rFonts w:ascii="Times New Roman" w:cs="Times New Roman" w:eastAsia="Times New Roman" w:hAnsi="Times New Roman"/>
                <w:sz w:val="14"/>
                <w:szCs w:val="14"/>
                <w:b w:val="1"/>
                <w:bCs w:val="1"/>
                <w:color w:val="auto"/>
              </w:rPr>
              <w:t>2nd Qtr.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00" w:type="dxa"/>
            <w:vAlign w:val="bottom"/>
          </w:tcPr>
          <w:p>
            <w:pPr>
              <w:spacing w:after="0"/>
              <w:rPr>
                <w:sz w:val="15"/>
                <w:szCs w:val="15"/>
                <w:color w:val="auto"/>
              </w:rPr>
            </w:pPr>
          </w:p>
        </w:tc>
        <w:tc>
          <w:tcPr>
            <w:tcW w:w="7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68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etc.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 commercial</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 consumer</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3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98,210</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For the first nine months of 2020, average loans and leases totaled $95.9 billion, up 7%, from $89.2 billion in the corresponding 2019 period. Contributing to the rise were a $4.2 billion increase in average commercial loan and lease balances (due largely to PPP loans), a $1.9 billion increase in average commercial real estate loans and a $1.3 billion increase in average consumer loan balances, partially offset by a $746 million decline in average residential real estate loan balances.</w:t>
      </w:r>
    </w:p>
    <w:p>
      <w:pPr>
        <w:spacing w:after="0" w:line="70"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The investment securities portfolio averaged $7.9 billion in the third quarter of 2020, down $3.2 billion, or 29%, from $11.1 billion in the year-earlier quarter and $624 million lower than the $8.5 billion averaged in the second quarter of 2020. For the first nine months of 2020 and 2019, investment securities averaged $8.5 billion and $12.1 billion, respectively. As compared with the 2019 periods, the lower average balances in the three-month and nine-month periods ended September 30, 2020 reflect maturities of U.S. Treasury notes and pay downs of mortgage-backed securities. The decline from the second to the third quarter of 2020 resulted from pay downs of mortgage-backed securities. There were no significant sales of investment securities during the first nine months of 2020 or 2019. During the first quarter of 2019, the Company purchased $500 million of U.S. Treasury notes. There were no other significant purchases of investment securities during the first nine months of 2020 or 2019. The Company routinely has increases and decreases in its holdings of capital stock of the Federal Home Loan Bank of New York and the Federal Reserve Bank of New York. Those holdings are accounted for at cost and are adjusted based on amounts of outstanding borrowings and available lines of credit with those entities.</w:t>
      </w:r>
    </w:p>
    <w:p>
      <w:pPr>
        <w:spacing w:after="0" w:line="80"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The investment securities portfolio is predominantly comprised of residential mortgage-backed securities, short term U.S. Treasury and federal agency notes, and certain other debt and marketable equity securities. Investment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7" w:name="page58"/>
    <w:bookmarkEnd w:id="57"/>
    <w:p>
      <w:pPr>
        <w:jc w:val="both"/>
        <w:spacing w:after="0" w:line="245" w:lineRule="auto"/>
        <w:rPr>
          <w:sz w:val="20"/>
          <w:szCs w:val="20"/>
          <w:color w:val="auto"/>
        </w:rPr>
      </w:pPr>
      <w:r>
        <w:rPr>
          <w:rFonts w:ascii="Times New Roman" w:cs="Times New Roman" w:eastAsia="Times New Roman" w:hAnsi="Times New Roman"/>
          <w:sz w:val="21"/>
          <w:szCs w:val="21"/>
          <w:color w:val="auto"/>
        </w:rPr>
        <w:t>securities also include capital stock of the Federal Home Loan Bank of New York and the Federal Reserve Bank of New York. When purchasing investment securities, the Company considers its liquidity position and its overall interest-rate risk profile as well as the adequacy of expected returns relative to risks assumed, including prepayments.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factors such as demand for loans, which generally yield more than investment securities and other earning assets, ongoing repayments, the levels of deposits, and management of liquidity and balance sheet size and resulting capital ratios.</w:t>
      </w:r>
    </w:p>
    <w:p>
      <w:pPr>
        <w:spacing w:after="0" w:line="80"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Fair value changes in equity securities with readily determinable fair values are recognized in the consolidated statement of income. Net unrealized gains on such equity securities were $3 million in the recent quarter, compared with $4 million in the third quarter of 2019 and $7 million in the second 2020 quarter. Net unrealized losses on equity securities were $11 million during the first nine months of 2020, compared with net unrealized gains of $24 million in the prior year period. Those gains and losses were predominantly related to the Company’s holdings of Fannie Mae and Freddie Mac preferred stock.</w:t>
      </w:r>
    </w:p>
    <w:p>
      <w:pPr>
        <w:spacing w:after="0" w:line="75"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either of the nine-month periods ended September 30, 2020 or 2019. Based on management’s assessment of future cash flows associated with individual investment securities as of September 30, 2020, the Company did not expect to incur any material credit-related losses in its portfolios of debt investment securities. Additional information about the investment securities portfolio is included in notes 2 and 11 of Notes to Financial Statements.</w:t>
      </w:r>
    </w:p>
    <w:p>
      <w:pPr>
        <w:spacing w:after="0" w:line="75"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20"/>
          <w:szCs w:val="20"/>
          <w:color w:val="auto"/>
        </w:rPr>
        <w:t>Other earning assets include interest-bearing deposits at the Federal Reserve Bank of New York and other banks, trading account assets, federal funds sold and agreements to resell securities. Those other earning assets in the aggregate averaged $21.6 billion in the third quarter of 2020, compared with $7.5 billion in the year-earlier quarter and $17.2 billion in the second quarter of 2020. Interest-bearing deposits at banks averaged $16.4 billion, $7.4 billion and $16.5 billion for the three months ended September 30, 2020, September 30, 2019 and June 30, 2020, respectively. The amounts of interest-bearing deposits at banks at the respective dates were predominantly comprised of deposits held at the Federal Reserve Bank of New York. The levels of those deposits often fluctuate due to changes in trust-related deposits and other deposits of commercial entities, purchases or maturities of investment securities, or borrowings to manage the Company’s liquidity. The higher amount at September 30, 2020 and June 30, 2020 as compared with the prior year period reflects the impact of increased commercial and consumer deposit balances. Agreements to resell securities averaged $5.1 billion, $18 million and $692 million during the quarters ended September 30, 2020, September 30, 2019 and June 30, 2020, respectively. The higher average balance in the recent quarter also reflects the impact of increased customer deposit levels.</w:t>
      </w:r>
    </w:p>
    <w:p>
      <w:pPr>
        <w:spacing w:after="0" w:line="72"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As a result of the changes described herein, average earning assets totaled $127.7 billion in the third quarter of 2020, compared with $108.6 billion in the year-earlier quarter and $123.5 billion in the second 2020 quarter. Average earning assets totaled $119.8 billion and $107.4 billion during the first nine months of 2020 and 2019, respectively.</w:t>
      </w:r>
    </w:p>
    <w:p>
      <w:pPr>
        <w:spacing w:after="0" w:line="67"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$110.6 billion in the third quarter of 2020, compared with $88.8 billion in the similar 2019 quarter. The increase in average core deposits in the recent quarter as compared with the third quarter of 2019 reflected higher balances of noninterest-bearing deposits and savings and interest-checking deposits. Average balances of savings and interest-checking core deposits rose $8.7 billion or 16% to $61.7 billion in the third 2020 quarter from $53.0 billion in the year-earlier quarter. Average noninterest-bearing deposits increased $14.2 billion or 47% to $44.8 billion in the recent quarter from $30.6 billion in the third 2019 quarter. Those increases were largely due to higher average deposits of commercial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8" w:name="page59"/>
    <w:bookmarkEnd w:id="58"/>
    <w:p>
      <w:pPr>
        <w:jc w:val="both"/>
        <w:spacing w:after="0" w:line="247" w:lineRule="auto"/>
        <w:rPr>
          <w:sz w:val="20"/>
          <w:szCs w:val="20"/>
          <w:color w:val="auto"/>
        </w:rPr>
      </w:pPr>
      <w:r>
        <w:rPr>
          <w:rFonts w:ascii="Times New Roman" w:cs="Times New Roman" w:eastAsia="Times New Roman" w:hAnsi="Times New Roman"/>
          <w:sz w:val="21"/>
          <w:szCs w:val="21"/>
          <w:color w:val="auto"/>
        </w:rPr>
        <w:t>customers, but also reflect higher levels of consumer deposits and deposits associated with residential mortgage servicing activities. Average core deposits were $106.1 billion in the second quarter of 2020. Average savings and interest-checking core deposits increased $2.7 billion or 5% in the third 2020 quarter from $59.0 billion in the immediately preceding quarter. Average noninterest-bearing deposits in the recent quarter were $2.3 billion or 5% higher than the second quarter 2020 average of $42.5 billion predominantly due to higher deposits of commercial customers as liquidity and economic concerns result in continued deposit rentention by clients. The following table provides an analysis of quarterly changes in the components of average core deposits.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CORE DEPOSITS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3rd Qtr.</w:t>
            </w:r>
          </w:p>
        </w:tc>
        <w:tc>
          <w:tcPr>
            <w:tcW w:w="2200" w:type="dxa"/>
            <w:vAlign w:val="bottom"/>
            <w:gridSpan w:val="5"/>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(Decrease) from</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tcBorders>
              <w:top w:val="single" w:sz="8" w:color="auto"/>
            </w:tcBorders>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3rd Qtr.</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76"/>
              <w:spacing w:after="0" w:line="145" w:lineRule="exact"/>
              <w:rPr>
                <w:sz w:val="20"/>
                <w:szCs w:val="20"/>
                <w:color w:val="auto"/>
              </w:rPr>
            </w:pPr>
            <w:r>
              <w:rPr>
                <w:rFonts w:ascii="Times New Roman" w:cs="Times New Roman" w:eastAsia="Times New Roman" w:hAnsi="Times New Roman"/>
                <w:sz w:val="14"/>
                <w:szCs w:val="14"/>
                <w:b w:val="1"/>
                <w:bCs w:val="1"/>
                <w:color w:val="auto"/>
              </w:rPr>
              <w:t>2nd Qtr.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240" w:type="dxa"/>
            <w:vAlign w:val="bottom"/>
          </w:tcPr>
          <w:p>
            <w:pPr>
              <w:spacing w:after="0"/>
              <w:rPr>
                <w:sz w:val="20"/>
                <w:szCs w:val="20"/>
                <w:color w:val="auto"/>
              </w:rPr>
            </w:pPr>
          </w:p>
        </w:tc>
        <w:tc>
          <w:tcPr>
            <w:tcW w:w="2540" w:type="dxa"/>
            <w:vAlign w:val="bottom"/>
            <w:gridSpan w:val="4"/>
          </w:tcPr>
          <w:p>
            <w:pPr>
              <w:ind w:left="1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61,664</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44,786</w:t>
            </w:r>
          </w:p>
        </w:tc>
        <w:tc>
          <w:tcPr>
            <w:tcW w:w="2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110,553</w:t>
            </w:r>
          </w:p>
        </w:tc>
        <w:tc>
          <w:tcPr>
            <w:tcW w:w="2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$612 million in the recent quarter, compared with $1.1 billion in the third quarter of 2019 and $733 million in the second 2020 quarter. The decreases in such deposits since the third quarter of 2019 were predominantly the result of maturities of higher-rate time deposits. Cayman Islands office deposits averaged $1.0 billion for each of the quarters ended September 30 and June 30, 2020, compared with $1.5 billion for the quarter ended September 30, 2019. The decreases in such deposits in the two most recent quarters as compared with the third quarter of 2019 reflect customer reaction to the declines in short-term interest rates that followed actions by the Federal Reserve in March 2020. The Company had brokered savings and interest-bearing transaction accounts, which in the aggregate averaged $4.2 billion during the recent quarter, compared with $2.6 billion in the third quarter of 2019 and $4.0 billion in the second quarter of 2020. The amounts of Cayman Islands office deposits or brokered deposits is largely dependent on demand by customers and other investors for those types of deposit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9" w:name="page60"/>
    <w:bookmarkEnd w:id="59"/>
    <w:p>
      <w:pPr>
        <w:ind w:left="480"/>
        <w:spacing w:after="0"/>
        <w:rPr>
          <w:sz w:val="20"/>
          <w:szCs w:val="20"/>
          <w:color w:val="auto"/>
        </w:rPr>
      </w:pPr>
      <w:r>
        <w:rPr>
          <w:rFonts w:ascii="Times New Roman" w:cs="Times New Roman" w:eastAsia="Times New Roman" w:hAnsi="Times New Roman"/>
          <w:sz w:val="20"/>
          <w:szCs w:val="20"/>
          <w:color w:val="auto"/>
        </w:rPr>
        <w:t>The table below summarizes average total deposits for the quarters ended September 30, 2020, June 30, 2020 and September 30,</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2019.</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DEPOSITS</w:t>
      </w:r>
    </w:p>
    <w:tbl>
      <w:tblPr>
        <w:tblLayout w:type="fixed"/>
        <w:tblInd w:w="0" w:type="dxa"/>
        <w:tblCellMar>
          <w:top w:w="0" w:type="dxa"/>
          <w:left w:w="0" w:type="dxa"/>
          <w:bottom w:w="0" w:type="dxa"/>
          <w:right w:w="0" w:type="dxa"/>
        </w:tblCellMar>
      </w:tblPr>
      <w:tr>
        <w:trPr>
          <w:trHeight w:val="158"/>
        </w:trPr>
        <w:tc>
          <w:tcPr>
            <w:tcW w:w="4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Trust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72"/>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gridSpan w:val="4"/>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3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116,306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2020</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3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111,795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3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37,667</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94,095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one year or less. Average short-term borrowings totaled $62 million in the third quarter of 2020, compared with $1.2 billion in the year-earlier quarter and $63 million in the second quarter of 2020. In general, the higher short-term borrowings in the prior year period were entered into for liquidity management purposes.</w:t>
      </w:r>
    </w:p>
    <w:p>
      <w:pPr>
        <w:spacing w:after="0" w:line="75"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20"/>
          <w:szCs w:val="20"/>
          <w:color w:val="auto"/>
        </w:rPr>
        <w:t>Long-term borrowings averaged $5.5 billion in the recent quarter, compared $7.1 billion in the third quarter of 2019 and $6.2 billion in the second quarter of 2020. Average balances of outstanding senior notes were $3.5 billion, $5.1 billion and $4.1 billion during the three months ended September 30, 2020, September 30, 2019 and June 30, 2020, respectively. On January 7, 2020, M&amp;T Bank, the principal bank subsidiary of M&amp;T, redeemed $750 million of fixed rate senior notes that were due to mature on February 6, 2020. In addition, M&amp;T Bank redeemed $750 million of fixed rate senior notes on July 17, 2020 that were due to mature on August 17,</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2020. Subordinated capital notes included in long-term borrowings averaged $1.4 billion in each of the three-month periods ended September 30, 2020, September 30, 2019 and June 30, 2020. Junior subordinated debentures associated with trust preferred securities that were included in average long-term borrowings were $527 million, $524 million and $526 million during the third quarters of 2020 and 2019 and the second 2020 quarter, respectively. Additional information regarding junior subordinated debentures is provided in note 4 of Notes to Financial Statements.</w:t>
      </w:r>
    </w:p>
    <w:p>
      <w:pPr>
        <w:spacing w:after="0" w:line="82"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Net interest income can be impacted by changes in the composition of the Company’s earning assets and interest-bearing liabilities, as discussed herein, as well as changes in interest rates and spreads. Net interest spread, or the difference between the taxable-equivalent yield on earning assets and the rate paid on interest-bearing liabilities, was 2.83% in the recent quarter, compared with 3.41% in the third quarter of 2019. The yield on earning assets during the third quarter of 2020 was 3.13%, down 138 basis points from 4.51% in the year-earlier period, while the rate paid on interest-bearing liabilities declined 80 basis points to .30% in the recent quarter from 1.10% in the year-earlier period. In the second quarter of 2020, the net interest spread was 2.98%, the yield on earning assets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0" w:name="page61"/>
    <w:bookmarkEnd w:id="60"/>
    <w:p>
      <w:pPr>
        <w:jc w:val="both"/>
        <w:spacing w:after="0" w:line="247" w:lineRule="auto"/>
        <w:rPr>
          <w:sz w:val="20"/>
          <w:szCs w:val="20"/>
          <w:color w:val="auto"/>
        </w:rPr>
      </w:pPr>
      <w:r>
        <w:rPr>
          <w:rFonts w:ascii="Times New Roman" w:cs="Times New Roman" w:eastAsia="Times New Roman" w:hAnsi="Times New Roman"/>
          <w:sz w:val="21"/>
          <w:szCs w:val="21"/>
          <w:color w:val="auto"/>
        </w:rPr>
        <w:t>was 3.38% and the rate paid on interest-bearing liabilities was .40%. The narrowing of the net interest spread in the recent quarters as compared with the prior year period reflects the impact of the decreases in short-term interest rates initiated by the Federal Reserve during the second half of 2019 and in March 2020. For the first nine months of 2020, the net interest spread was 3.03%, down 50 basis points from 3.53% in the year-earlier period. The yield on earning assets and the rate paid on interest-bearing liabilities for the first nine months of 2020 were 3.53% and .50%, respectively, compared with 4.62% and 1.09% respectively, in the initial nine months of 2019.</w:t>
      </w:r>
    </w:p>
    <w:p>
      <w:pPr>
        <w:spacing w:after="0" w:line="7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20"/>
          <w:szCs w:val="20"/>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$50.6 billion in the third quarter of 2020, compared with $36.8 billion in the year-earlier quarter and $47.9 billion in the second 2020 quarter. The increase in average net interest-free funds in the two most recent quarters as compared with the prior year period reflects higher average balances of noninterest-bearing deposits. Those deposits averaged $44.8 billion, $30.6 billion and $42.5 billion in the quarters ended September 30, 2020, September 30, 2019 and June 30, 2020, respectively. The rise in such balances in the most recent quarters as compared with the year-earlier period was largely due to increased levels of deposits of commercial customers. During the first nine months of 2020 and 2019, average net interest-free funds aggregated $45.6 billion and $36.9 billion, respectively. Shareholders’ equity averaged $16.1 billion during the three-month period ended September 30, 2020, $15.8 billion during the year-earlier period and $16.0 billion during the three-month period ended June 30, 2020. Goodwill and core deposit and other intangible assets averaged $4.6 billion in each of the two most recent quarters and in the quarter ended September 30, 2019. The cash surrender value of bank owned life insurance averaged $1.8 billion in each of the three-month periods ended September 30, 2020, September 30, 2019 and June 30, 2020. Increases in the cash surrender value of bank owned life insurance and benefits received are not included in interest income, but rather are recorded in “other revenues from operations.” The contribution of net interest-free funds to net interest margin was .12% in the third quarter of 2020, compared with .37% and .15% in the third quarter of 2019 and the second quarter of 2020, respectively. The reduced contribution of net interest-free funds to net interest margin in the two most recent quarters as compared with the third quarter of 2019 reflects the lower rates on interest-bearing liabilities used to value net interest-free funds. The contribution of net interest-free funds for the first nine months of 2020 and 2019 was .19% and .38%, respectively.</w:t>
      </w:r>
    </w:p>
    <w:p>
      <w:pPr>
        <w:spacing w:after="0" w:line="66"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Reflecting the changes to the net interest spread and the contribution of net interest-free funds as described herein, the Company’s net interest margin was 2.95% in the third quarter of 2020, compared with 3.78% in the year-earlier period and 3.13% in the second quarter of 2020. During the first nine months of 2020 and 2019, the net interest margin was 3.22% and 3.91%,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75"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$15.7 billion (excluding $38.9 billion of forward-starting swap agreements) at September 30, 2020, $17.2 billion (excluding $30.3 billion of forward-starting swap agreements) at September 30, 2019 and $17.2 billion (excluding $40.4 billion of forward-starting swap agreements) at December 31, 2019. Under the terms of those interest rate swap agreements, the Company received payments based on the outstanding notional amount at fixed rates and made payments at variable rates. Interest rate swap agreements with notional amounts of $13.35 billion that were in effect at each of September 30, 2020, September 30, 2019 and December 31, 2019 were serving as cash flow hedges of interest payments associated with variable rate commercial real estate loans. Interest rate swap agreements with notional amounts of $2.30 billion at September 30, 2020 and $3.80 billion at each of September 30, 2019 and December 31, 2019 were serving as fair value hedges of fixed rate long-term borrowings. The Company has entered into forward-starting interest rate swap agreements predominantly to extend the term of its interest rate swap agreements serving as cash flow hedges, and provide a hedge against changing interest rates on certain of its variable rate loans.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1" w:name="page62"/>
    <w:bookmarkEnd w:id="61"/>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during each of the quarters ended September 30, 2020, September 30, 2019 and June 30, 2020 were not material to the Company’s consolidated results of operations. Information regarding the fair value of interest rate swap agreements and hedge ineffectiveness is presented in note 9 of Notes to Financial Statements. The changes in the fair values of the interest rate swap agreements and the hedged items primarily result from the effects of changing interest rates and spreads.</w:t>
      </w:r>
    </w:p>
    <w:p>
      <w:pPr>
        <w:spacing w:after="0" w:line="80"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The weighted-average rates to be received and paid under interest rate swap agreements currently in effect were 2.46% and .23%, respectively, at September 30, 2020.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9 of Notes to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RATE SWAP AGREEMENTS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vMerge w:val="restart"/>
          </w:tcPr>
          <w:p>
            <w:pPr>
              <w:ind w:left="2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1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46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Rate(a)</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Rate(a)</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10"/>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82,404</w:t>
            </w: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4,483</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(12,312)</w:t>
            </w:r>
          </w:p>
        </w:tc>
        <w:tc>
          <w:tcPr>
            <w:tcW w:w="9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3,340</w:t>
            </w: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94,716</w:t>
            </w: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20" w:type="dxa"/>
            <w:vAlign w:val="bottom"/>
            <w:tcBorders>
              <w:bottom w:val="single" w:sz="8" w:color="CFF0FC"/>
            </w:tcBorders>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c>
          <w:tcPr>
            <w:tcW w:w="3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notional amount (c)</w:t>
            </w:r>
          </w:p>
        </w:tc>
        <w:tc>
          <w:tcPr>
            <w:tcW w:w="1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15,780,436</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17,319,565</w:t>
            </w:r>
          </w:p>
        </w:tc>
        <w:tc>
          <w:tcPr>
            <w:tcW w:w="3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Rate received (b)</w:t>
            </w: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paid (b)</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gridSpan w:val="3"/>
          </w:tcPr>
          <w:p>
            <w:pPr>
              <w:spacing w:after="0" w:line="20" w:lineRule="exact"/>
              <w:rPr>
                <w:sz w:val="1"/>
                <w:szCs w:val="1"/>
                <w:color w:val="auto"/>
              </w:rPr>
            </w:pPr>
          </w:p>
        </w:tc>
        <w:tc>
          <w:tcPr>
            <w:tcW w:w="1040" w:type="dxa"/>
            <w:vAlign w:val="bottom"/>
            <w:tcBorders>
              <w:top w:val="single" w:sz="8" w:color="CFF0FC"/>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1"/>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9"/>
                <w:szCs w:val="19"/>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Rate(a)</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Rate(a)</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gridSpan w:val="10"/>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183,598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(6,693)</w:t>
            </w: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(28,258)</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211,856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tcBorders>
              <w:top w:val="single" w:sz="8" w:color="CFF0FC"/>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notional amount (c)</w:t>
            </w: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16,275,182</w:t>
            </w:r>
          </w:p>
        </w:tc>
        <w:tc>
          <w:tcPr>
            <w:tcW w:w="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580" w:type="dxa"/>
            <w:vAlign w:val="bottom"/>
            <w:tcBorders>
              <w:top w:val="single" w:sz="8" w:color="auto"/>
              <w:bottom w:val="single" w:sz="8" w:color="CFF0FC"/>
            </w:tcBorders>
          </w:tcPr>
          <w:p>
            <w:pPr>
              <w:spacing w:after="0"/>
              <w:rPr>
                <w:sz w:val="21"/>
                <w:szCs w:val="21"/>
                <w:color w:val="auto"/>
              </w:rPr>
            </w:pPr>
          </w:p>
        </w:tc>
        <w:tc>
          <w:tcPr>
            <w:tcW w:w="40" w:type="dxa"/>
            <w:vAlign w:val="bottom"/>
            <w:tcBorders>
              <w:top w:val="single" w:sz="8" w:color="auto"/>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15,944,505</w:t>
            </w: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60" w:type="dxa"/>
            <w:vAlign w:val="bottom"/>
            <w:tcBorders>
              <w:top w:val="single" w:sz="8" w:color="auto"/>
              <w:bottom w:val="single" w:sz="8" w:color="CFF0FC"/>
            </w:tcBorders>
          </w:tcPr>
          <w:p>
            <w:pPr>
              <w:spacing w:after="0"/>
              <w:rPr>
                <w:sz w:val="21"/>
                <w:szCs w:val="21"/>
                <w:color w:val="auto"/>
              </w:rPr>
            </w:pPr>
          </w:p>
        </w:tc>
        <w:tc>
          <w:tcPr>
            <w:tcW w:w="580" w:type="dxa"/>
            <w:vAlign w:val="bottom"/>
            <w:tcBorders>
              <w:top w:val="single" w:sz="8" w:color="auto"/>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received (b)</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Rate paid (b)</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9"/>
                <w:szCs w:val="19"/>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19"/>
                <w:szCs w:val="19"/>
                <w:color w:val="auto"/>
              </w:rPr>
            </w:pP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Computed as an annualized percentage of average earning assets or interest-bearing liabilities.</w:t>
      </w:r>
    </w:p>
    <w:p>
      <w:pPr>
        <w:spacing w:after="0" w:line="29" w:lineRule="exact"/>
        <w:rPr>
          <w:rFonts w:ascii="Times New Roman" w:cs="Times New Roman" w:eastAsia="Times New Roman" w:hAnsi="Times New Roman"/>
          <w:sz w:val="18"/>
          <w:szCs w:val="18"/>
          <w:i w:val="1"/>
          <w:iCs w:val="1"/>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Weighted-average rate paid or received on interest rate swap agreements in effect during the period.</w:t>
      </w:r>
    </w:p>
    <w:p>
      <w:pPr>
        <w:spacing w:after="0" w:line="9" w:lineRule="exact"/>
        <w:rPr>
          <w:rFonts w:ascii="Times New Roman" w:cs="Times New Roman" w:eastAsia="Times New Roman" w:hAnsi="Times New Roman"/>
          <w:sz w:val="18"/>
          <w:szCs w:val="18"/>
          <w:i w:val="1"/>
          <w:iCs w:val="1"/>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forward-starting interest rate swap agreements not in effect during the period.</w:t>
      </w:r>
    </w:p>
    <w:p>
      <w:pPr>
        <w:spacing w:after="0" w:line="206" w:lineRule="exact"/>
        <w:rPr>
          <w:rFonts w:ascii="Times New Roman" w:cs="Times New Roman" w:eastAsia="Times New Roman" w:hAnsi="Times New Roman"/>
          <w:sz w:val="18"/>
          <w:szCs w:val="18"/>
          <w:i w:val="1"/>
          <w:iCs w:val="1"/>
          <w:color w:val="auto"/>
        </w:rPr>
      </w:pPr>
    </w:p>
    <w:p>
      <w:pPr>
        <w:ind w:left="5540" w:hanging="111"/>
        <w:spacing w:after="0"/>
        <w:tabs>
          <w:tab w:leader="none" w:pos="5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2" w:name="page63"/>
    <w:bookmarkEnd w:id="62"/>
    <w:p>
      <w:pPr>
        <w:jc w:val="both"/>
        <w:ind w:firstLine="510"/>
        <w:spacing w:after="0" w:line="267" w:lineRule="auto"/>
        <w:rPr>
          <w:sz w:val="20"/>
          <w:szCs w:val="20"/>
          <w:color w:val="auto"/>
        </w:rPr>
      </w:pPr>
      <w:r>
        <w:rPr>
          <w:rFonts w:ascii="Times New Roman" w:cs="Times New Roman" w:eastAsia="Times New Roman" w:hAnsi="Times New Roman"/>
          <w:sz w:val="20"/>
          <w:szCs w:val="20"/>
          <w:color w:val="auto"/>
        </w:rPr>
        <w:t>In addition to interest rate swap agreements, the Company had entered into interest rate floor agreements that were accounted for in the trading account rather than as hedging instruments but, nevertheless, provided the Company with protection against the possibility of future declines in interest rates on earning assets. At each of September 30, 2019 and December 31, 2019, outstanding notional amounts of such agreements totaled $15.6 billion. The interest rate floor agreements matured during the first quarter of 2020.</w:t>
      </w:r>
    </w:p>
    <w:p>
      <w:pPr>
        <w:spacing w:after="0" w:line="57"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Core deposits represent the most significant source of funding for the Company and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including overnight federal funds purchased, short-term advances from the FHLB of New York, brokered deposits, Cayman Islands office deposits and longer-term borrowings. M&amp;T Bank has access to additional funding sources through borrowings from the FHLB of New York, lines of credit with the Federal Reserve Bank of New York, M&amp;T Bank’s Bank Note Program, and other available borrowing facilities. The Bank Note Program enables M&amp;T Bank to offer unsecured senior and subordinated notes. The Company has, from time to time, also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September 30, 2020 and December 31, 2019, long-term borrowings aggregated $5.5 billion and $7.0 billion, respectively.</w:t>
      </w:r>
    </w:p>
    <w:p>
      <w:pPr>
        <w:spacing w:after="0" w:line="83"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Short-term federal funds borrowings outstanding were $2.6 billion at September 30, 2019. There were no such borrowings outstanding at September 30, 2020 or December 31, 2019. In general, those borrowings were unsecured, matured on the next business day and were entered into for liquidity management purposes. While predominantly used to satisfy customer demand, Cayman Islands office deposits may also be used by the Company as an alternative to short-term borrowings. Cayman Islands office deposits totaled $900 million at September 30, 2020, $1.6 billion at September 30, 2019 and $1.7 billion at December 31, 2019. The Company has also benefited from the placement of brokered deposits. The Company had brokered savings and interest-bearing checking deposit accounts which aggregated approximately $4.2 billion at September 30, 2020, $2.7 billion at September 30, 2019 and $2.8 billion at December 31, 2019. Brokered time deposits were not a significant source of funding as of those dates.</w:t>
      </w:r>
    </w:p>
    <w:p>
      <w:pPr>
        <w:spacing w:after="0" w:line="80"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impact by performing stress tests that assess the effect on liquidity resulting from various levels of internal and external stress factors. The liquidity impact of such events is estimated by attempting to measure the effect on deposit levels,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3" w:name="page64"/>
    <w:bookmarkEnd w:id="63"/>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September 30, 2020 or December 31, 2019. The total amounts of VRDBs outstanding backed by M&amp;T Bank letters of credit were $831 million at September 30, 2020, compared with $838 million at September 30, 2019 and $857 million at December 31, 2019. M&amp;T Bank also serves as remarketing agent for most of those bonds.</w:t>
      </w:r>
    </w:p>
    <w:p>
      <w:pPr>
        <w:spacing w:after="0" w:line="80"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12 of Notes to Financial Statements.</w:t>
      </w:r>
    </w:p>
    <w:p>
      <w:pPr>
        <w:spacing w:after="0" w:line="75"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September 30, 2020 approximately $1.0 billion was available for payment of dividends to M&amp;T from bank subsidiaries. M&amp;T also may obtain funding through long-term borrowings. Outstanding senior notes of M&amp;T at September 30, 2020 and December 31, 2019 were $787 million and $770 million, respectively. Junior subordinated debentures of M&amp;T associated with trust preferred securities outstanding at September 30, 2020 and December 31, 2019 totaled $527 million and $525 million, respectively.</w:t>
      </w:r>
    </w:p>
    <w:p>
      <w:pPr>
        <w:spacing w:after="0" w:line="80"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Management closely monitors the Company’s liquidity position on an ongoing basis for compliance with internal policies and believes that available sources of liquidity are adequate to meet anticipated funding needs.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0"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September 30, 2020, the aggregate notional amount of interest rate swap agreements entered into for risk management purposes that were currently in effect was $15.7 billion. In addition, the Company has entered into $38.9 billion of forward-starting interest rate swap agreements.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4" w:name="page65"/>
    <w:bookmarkEnd w:id="64"/>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87" w:lineRule="exact"/>
        <w:rPr>
          <w:sz w:val="20"/>
          <w:szCs w:val="20"/>
          <w:color w:val="auto"/>
        </w:rPr>
      </w:pPr>
    </w:p>
    <w:p>
      <w:pPr>
        <w:jc w:val="both"/>
        <w:ind w:right="20" w:firstLine="510"/>
        <w:spacing w:after="0" w:line="255" w:lineRule="auto"/>
        <w:rPr>
          <w:sz w:val="20"/>
          <w:szCs w:val="20"/>
          <w:color w:val="auto"/>
        </w:rPr>
      </w:pPr>
      <w:r>
        <w:rPr>
          <w:rFonts w:ascii="Times New Roman" w:cs="Times New Roman" w:eastAsia="Times New Roman" w:hAnsi="Times New Roman"/>
          <w:sz w:val="21"/>
          <w:szCs w:val="21"/>
          <w:color w:val="auto"/>
        </w:rPr>
        <w:t>The accompanying table as of September 30, 2020 and December 31, 2019 displays the estimated impact on net interest income in the base scenario described above resulting from parallel changes in interest rates across repricing categories during the first modeling year.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SENSITIVITY OF NET INTEREST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CHANGES IN INTEREST RATES</w:t>
      </w:r>
    </w:p>
    <w:tbl>
      <w:tblPr>
        <w:tblLayout w:type="fixed"/>
        <w:tblInd w:w="0" w:type="dxa"/>
        <w:tblCellMar>
          <w:top w:w="0" w:type="dxa"/>
          <w:left w:w="0" w:type="dxa"/>
          <w:bottom w:w="0" w:type="dxa"/>
          <w:right w:w="0" w:type="dxa"/>
        </w:tblCellMar>
      </w:tblPr>
      <w:tr>
        <w:trPr>
          <w:trHeight w:val="134"/>
        </w:trPr>
        <w:tc>
          <w:tcPr>
            <w:tcW w:w="15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Calculated Increase (Decrease)</w:t>
            </w:r>
          </w:p>
        </w:tc>
      </w:tr>
      <w:tr>
        <w:trPr>
          <w:trHeight w:val="173"/>
        </w:trPr>
        <w:tc>
          <w:tcPr>
            <w:tcW w:w="15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Projected Net Interest Income</w:t>
            </w:r>
          </w:p>
        </w:tc>
        <w:tc>
          <w:tcPr>
            <w:tcW w:w="80" w:type="dxa"/>
            <w:vAlign w:val="bottom"/>
          </w:tcPr>
          <w:p>
            <w:pPr>
              <w:spacing w:after="0"/>
              <w:rPr>
                <w:sz w:val="15"/>
                <w:szCs w:val="15"/>
                <w:color w:val="auto"/>
              </w:rPr>
            </w:pPr>
          </w:p>
        </w:tc>
      </w:tr>
      <w:tr>
        <w:trPr>
          <w:trHeight w:val="217"/>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Changes in interest rates</w:t>
            </w:r>
          </w:p>
        </w:tc>
        <w:tc>
          <w:tcPr>
            <w:tcW w:w="100" w:type="dxa"/>
            <w:vAlign w:val="bottom"/>
          </w:tcPr>
          <w:p>
            <w:pPr>
              <w:spacing w:after="0"/>
              <w:rPr>
                <w:sz w:val="18"/>
                <w:szCs w:val="18"/>
                <w:color w:val="auto"/>
              </w:rPr>
            </w:pPr>
          </w:p>
        </w:tc>
        <w:tc>
          <w:tcPr>
            <w:tcW w:w="16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90"/>
        </w:trPr>
        <w:tc>
          <w:tcPr>
            <w:tcW w:w="1520" w:type="dxa"/>
            <w:vAlign w:val="bottom"/>
            <w:tcBorders>
              <w:top w:val="single" w:sz="8" w:color="auto"/>
            </w:tcBorders>
          </w:tcPr>
          <w:p>
            <w:pPr>
              <w:spacing w:after="0"/>
              <w:rPr>
                <w:sz w:val="16"/>
                <w:szCs w:val="16"/>
                <w:color w:val="auto"/>
              </w:rPr>
            </w:pPr>
          </w:p>
        </w:tc>
        <w:tc>
          <w:tcPr>
            <w:tcW w:w="39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r>
      <w:tr>
        <w:trPr>
          <w:trHeight w:val="269"/>
        </w:trPr>
        <w:tc>
          <w:tcPr>
            <w:tcW w:w="15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224,647</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45,345</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00" w:type="dxa"/>
            <w:vAlign w:val="bottom"/>
          </w:tcPr>
          <w:p>
            <w:pPr>
              <w:spacing w:after="0"/>
              <w:rPr>
                <w:sz w:val="19"/>
                <w:szCs w:val="19"/>
                <w:color w:val="auto"/>
              </w:rPr>
            </w:pPr>
          </w:p>
        </w:tc>
        <w:tc>
          <w:tcPr>
            <w:tcW w:w="160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127,554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35,838</w:t>
            </w:r>
          </w:p>
        </w:tc>
        <w:tc>
          <w:tcPr>
            <w:tcW w:w="80" w:type="dxa"/>
            <w:vAlign w:val="bottom"/>
          </w:tcPr>
          <w:p>
            <w:pPr>
              <w:spacing w:after="0"/>
              <w:rPr>
                <w:sz w:val="19"/>
                <w:szCs w:val="19"/>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(37,516)</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(94,616)</w:t>
            </w:r>
          </w:p>
        </w:tc>
      </w:tr>
    </w:tbl>
    <w:p>
      <w:pPr>
        <w:spacing w:after="0" w:line="89"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at or above zero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The sensitivity of net interest income to changes in interest rates has increased as of September 30, 2020 as compared with December 31, 2019 due to the lower interest rate environment and composition of the Company’s portfolios of earning assets and interest-bearing liabilities, in particular the increased balance of interest-bearing deposits at banks.</w:t>
      </w:r>
    </w:p>
    <w:p>
      <w:pPr>
        <w:spacing w:after="0" w:line="88" w:lineRule="exact"/>
        <w:rPr>
          <w:sz w:val="20"/>
          <w:szCs w:val="20"/>
          <w:color w:val="auto"/>
        </w:rPr>
      </w:pPr>
    </w:p>
    <w:p>
      <w:pPr>
        <w:jc w:val="both"/>
        <w:ind w:firstLine="510"/>
        <w:spacing w:after="0" w:line="274" w:lineRule="auto"/>
        <w:rPr>
          <w:sz w:val="20"/>
          <w:szCs w:val="20"/>
          <w:color w:val="auto"/>
        </w:rPr>
      </w:pPr>
      <w:r>
        <w:rPr>
          <w:rFonts w:ascii="Times New Roman" w:cs="Times New Roman" w:eastAsia="Times New Roman" w:hAnsi="Times New Roman"/>
          <w:sz w:val="20"/>
          <w:szCs w:val="20"/>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in notes 2 and 11 of Notes to Financial Statements.</w:t>
      </w:r>
    </w:p>
    <w:p>
      <w:pPr>
        <w:spacing w:after="0" w:line="4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The Company engages in limited trading account activities to meet the financial needs of customers and to fund the Company’s obligations under certain deferred compensation plans. Financial instruments utilized for trading account activities consist predominantly of interest rate contracts, such as interest rate swap agreements, and forward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5" w:name="page66"/>
    <w:bookmarkEnd w:id="65"/>
    <w:p>
      <w:pPr>
        <w:jc w:val="both"/>
        <w:spacing w:after="0" w:line="246" w:lineRule="auto"/>
        <w:rPr>
          <w:sz w:val="20"/>
          <w:szCs w:val="20"/>
          <w:color w:val="auto"/>
        </w:rPr>
      </w:pPr>
      <w:r>
        <w:rPr>
          <w:rFonts w:ascii="Times New Roman" w:cs="Times New Roman" w:eastAsia="Times New Roman" w:hAnsi="Times New Roman"/>
          <w:sz w:val="21"/>
          <w:szCs w:val="21"/>
          <w:color w:val="auto"/>
        </w:rPr>
        <w:t>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9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76" w:lineRule="exact"/>
        <w:rPr>
          <w:sz w:val="20"/>
          <w:szCs w:val="20"/>
          <w:color w:val="auto"/>
        </w:rPr>
      </w:pPr>
    </w:p>
    <w:p>
      <w:pPr>
        <w:jc w:val="both"/>
        <w:ind w:firstLine="510"/>
        <w:spacing w:after="0" w:line="242" w:lineRule="auto"/>
        <w:rPr>
          <w:sz w:val="20"/>
          <w:szCs w:val="20"/>
          <w:color w:val="auto"/>
        </w:rPr>
      </w:pPr>
      <w:r>
        <w:rPr>
          <w:rFonts w:ascii="Times New Roman" w:cs="Times New Roman" w:eastAsia="Times New Roman" w:hAnsi="Times New Roman"/>
          <w:sz w:val="21"/>
          <w:szCs w:val="21"/>
          <w:color w:val="auto"/>
        </w:rPr>
        <w:t>The notional amounts of interest rate contracts entered into for trading account purposes totaled $36.6 billion at September 30, 2020, $47.6 billion at September 30, 2019 and $48.6 billion at December 31, 2019. The notional amounts of foreign currency and other option and futures contracts entered into for trading account purposes were $877 million at September 30, 2020, compared with $843 million at September 30, 2019 and $1.2 billion at December 31, 2019.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were $1.2 billion and $123 million, respectively, at September 30, 2020 and $470 million and $80 million, respectively, at December 31, 2019. The fair value asset and liability amounts at September 30, 2020 have been reduced by contractual settlements of $3 million and $945 million, respectively, and at December 31, 2019 have been reduced by contractual settlements of $43 million and $281 million, respectively. The higher balance of trading account assets at September 30, 2020 as compared with December 31, 2019 was largely the result of increased values associated with interest rate swap agreements entered into with commercial customers that are not subject to periodic variation margin settlement payments. Included in trading account assets were assets related to deferred compensation plans aggregating $21 million at each of September 30, 2020, September 30, 2019 and December 31, 2019. Changes in the fair values of such assets are recorded as “trading account and foreign exchange gains” in the consolidated statement of income. Included in “other liabilities” in the consolidated balance sheet at September 30, 2020 were $24 million of liabilities related to deferred compensation plans, compared with $25 million at each of September 30, 2019 and December 31, 2019.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$29 million at September 30, 2020 and $28 million at each of September 30, 2019 and December 31, 2019.</w:t>
      </w:r>
    </w:p>
    <w:p>
      <w:pPr>
        <w:spacing w:after="0" w:line="98"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9 of Notes to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Provision for Credit Losses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As described in note 3 of Notes to Financial Statements, effective January 1, 2020 the Company adopted amended accounting guidance for the measurement of credit losses on financial instruments. That guidance requires an allowance for credit losses to be deducted from the amortized cost basis of financial assets to present the net carrying value that is expected to be collected over the contractual term of the assets considering relevant information about past events, current conditions, and reasonable and supportable forecasts that affect the collectibility of the reported amount. The new guidance replaces the previous incurred loss model for determining the allowance for credit losses. The adoption of the amended guidance resulted in a $132 million increase in the allowance for credit losses at January 1, 2020. Increases in the allowance for residential real estate loans and consumer loans, reflecting the longer-dated maturities of such portfolios, were offset somewhat by net decreases in the allowance for commercial loans resulting from lower loss estimates on demand loan products due to the assumption that the Company could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6" w:name="page67"/>
    <w:bookmarkEnd w:id="66"/>
    <w:p>
      <w:pPr>
        <w:jc w:val="both"/>
        <w:spacing w:after="0" w:line="270" w:lineRule="auto"/>
        <w:rPr>
          <w:sz w:val="20"/>
          <w:szCs w:val="20"/>
          <w:color w:val="auto"/>
        </w:rPr>
      </w:pPr>
      <w:r>
        <w:rPr>
          <w:rFonts w:ascii="Times New Roman" w:cs="Times New Roman" w:eastAsia="Times New Roman" w:hAnsi="Times New Roman"/>
          <w:sz w:val="21"/>
          <w:szCs w:val="21"/>
          <w:color w:val="auto"/>
        </w:rPr>
        <w:t>require full repayment of such loans in the near-term. The following table depicts the changes in the allowance for credit losses by loan category resulting from the adoption of the amended guidance.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IMPACT OF ADOPTION OF AMENDED ACCOUNTING GUIDANCE ON ALLOWANCE FOR CREDIT LOSSES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Impact of Adoption</w:t>
            </w:r>
          </w:p>
        </w:tc>
        <w:tc>
          <w:tcPr>
            <w:tcW w:w="14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73"/>
        </w:trPr>
        <w:tc>
          <w:tcPr>
            <w:tcW w:w="3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January 1, 2020</w:t>
            </w:r>
          </w:p>
        </w:tc>
      </w:tr>
      <w:tr>
        <w:trPr>
          <w:trHeight w:val="240"/>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45"/>
        </w:trPr>
        <w:tc>
          <w:tcPr>
            <w:tcW w:w="3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57"/>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Commercial, financial, leasing, etc.</w:t>
            </w:r>
          </w:p>
        </w:tc>
        <w:tc>
          <w:tcPr>
            <w:tcW w:w="10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21"/>
                <w:szCs w:val="2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366,094</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1"/>
                <w:szCs w:val="21"/>
                <w:color w:val="auto"/>
              </w:rPr>
              <w:t>(61,474)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304,620</w:t>
            </w:r>
          </w:p>
        </w:tc>
        <w:tc>
          <w:tcPr>
            <w:tcW w:w="80" w:type="dxa"/>
            <w:vAlign w:val="bottom"/>
            <w:shd w:val="clear" w:color="auto" w:fill="CFF0FC"/>
          </w:tcPr>
          <w:p>
            <w:pPr>
              <w:spacing w:after="0"/>
              <w:rPr>
                <w:sz w:val="22"/>
                <w:szCs w:val="22"/>
                <w:color w:val="auto"/>
              </w:rPr>
            </w:pP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21"/>
                <w:szCs w:val="21"/>
                <w:color w:val="auto"/>
              </w:rPr>
              <w:t>Commercial real estate</w:t>
            </w: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322,201</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23,656</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345,857</w:t>
            </w:r>
          </w:p>
        </w:tc>
        <w:tc>
          <w:tcPr>
            <w:tcW w:w="80" w:type="dxa"/>
            <w:vAlign w:val="bottom"/>
          </w:tcPr>
          <w:p>
            <w:pPr>
              <w:spacing w:after="0"/>
              <w:rPr>
                <w:sz w:val="22"/>
                <w:szCs w:val="22"/>
                <w:color w:val="auto"/>
              </w:rPr>
            </w:pPr>
          </w:p>
        </w:tc>
      </w:tr>
      <w:tr>
        <w:trPr>
          <w:trHeight w:val="257"/>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Residential real estate</w:t>
            </w:r>
          </w:p>
        </w:tc>
        <w:tc>
          <w:tcPr>
            <w:tcW w:w="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56,033</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53,896</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109,929</w:t>
            </w:r>
          </w:p>
        </w:tc>
        <w:tc>
          <w:tcPr>
            <w:tcW w:w="80" w:type="dxa"/>
            <w:vAlign w:val="bottom"/>
            <w:shd w:val="clear" w:color="auto" w:fill="CFF0FC"/>
          </w:tcPr>
          <w:p>
            <w:pPr>
              <w:spacing w:after="0"/>
              <w:rPr>
                <w:sz w:val="22"/>
                <w:szCs w:val="22"/>
                <w:color w:val="auto"/>
              </w:rPr>
            </w:pPr>
          </w:p>
        </w:tc>
      </w:tr>
      <w:tr>
        <w:trPr>
          <w:trHeight w:val="256"/>
        </w:trPr>
        <w:tc>
          <w:tcPr>
            <w:tcW w:w="3660" w:type="dxa"/>
            <w:vAlign w:val="bottom"/>
          </w:tcPr>
          <w:p>
            <w:pPr>
              <w:spacing w:after="0"/>
              <w:rPr>
                <w:sz w:val="20"/>
                <w:szCs w:val="20"/>
                <w:color w:val="auto"/>
              </w:rPr>
            </w:pPr>
            <w:r>
              <w:rPr>
                <w:rFonts w:ascii="Times New Roman" w:cs="Times New Roman" w:eastAsia="Times New Roman" w:hAnsi="Times New Roman"/>
                <w:sz w:val="21"/>
                <w:szCs w:val="21"/>
                <w:color w:val="auto"/>
              </w:rPr>
              <w:t>Consumer</w:t>
            </w: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229,118</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194,004</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423,122</w:t>
            </w:r>
          </w:p>
        </w:tc>
        <w:tc>
          <w:tcPr>
            <w:tcW w:w="80" w:type="dxa"/>
            <w:vAlign w:val="bottom"/>
          </w:tcPr>
          <w:p>
            <w:pPr>
              <w:spacing w:after="0"/>
              <w:rPr>
                <w:sz w:val="22"/>
                <w:szCs w:val="22"/>
                <w:color w:val="auto"/>
              </w:rPr>
            </w:pPr>
          </w:p>
        </w:tc>
      </w:tr>
      <w:tr>
        <w:trPr>
          <w:trHeight w:val="257"/>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Unallocated</w:t>
            </w:r>
          </w:p>
        </w:tc>
        <w:tc>
          <w:tcPr>
            <w:tcW w:w="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77,625</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1"/>
                <w:szCs w:val="21"/>
                <w:color w:val="auto"/>
              </w:rPr>
              <w:t>(77,625)</w:t>
            </w: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366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Total</w:t>
            </w:r>
          </w:p>
        </w:tc>
        <w:tc>
          <w:tcPr>
            <w:tcW w:w="7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1"/>
                <w:szCs w:val="21"/>
                <w:color w:val="auto"/>
                <w:w w:val="7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1,051,071</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132,457</w:t>
            </w:r>
          </w:p>
        </w:tc>
        <w:tc>
          <w:tcPr>
            <w:tcW w:w="2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1,183,528</w:t>
            </w:r>
          </w:p>
        </w:tc>
        <w:tc>
          <w:tcPr>
            <w:tcW w:w="80" w:type="dxa"/>
            <w:vAlign w:val="bottom"/>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The amended guidance requires estimated credit losses on loans acquired at a discount to be reflected in the allowance for credit losses. Previously, such losses were netted in the carrying value of the loans unless there was an increased loss expectation subsequent to their acquisition. The gross-up of the estimated losses on loans acquired at a discount that was previously not recognized in the allowance for credit losses was $18 million on January 1, 2020. Prior to January 1, 2020, the Company generally recognized interest income on loans acquired at a discount regardless of the borrowers’ repayment status. Effective with the adoption of the new accounting guidance, the Company’s nonaccrual loan policy now applies to loans acquired at a discount. Loans acquired at a discount at December 31, 2019 included $171 million of loans that, effective with the adoption of the new guidance, were classified as non-accrual loans on January 1, 2020.</w:t>
      </w:r>
    </w:p>
    <w:p>
      <w:pPr>
        <w:spacing w:after="0" w:line="80"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A provision for credit losses is recorded to adjust the level of the allowance as deemed necessary by management. The provision for credit losses in the third quarter of 2020 was $150 million, compared with $45 million in the year-earlier quarter and $325 million in the second quarter of 2020. As noted earlier, the significant increases in the provision in 2020 as compared with the third quarter of 2019 follow the adoption of new accounting guidance on January 1, 2020 and reflect updated economic assumptions and projections that considered the macroeconomic outlook associated with the COVID-19 pandemic as of the end of each quarter of 2020. The Company’s estimates of expected losses reflect the ongoing impacts of the COVID-19 pandemic on economic activity, generally, and in the hospitality and retail sectors, specifically, the uncertainty in Washington D.C. that existed at September 30, 2020 over providing additional stimulus to the economy, and concerns about commercial real estate values and the ultimate collectibility of commercial real estate loans where borrowers are requesting repayment forbearance. Net charge-offs of loans were $30 million in the recent quarter, $36 million in the third quarter of 2019 and $71 million in the second quarter of 2020. Net charge-offs as an annualized percentage of average loans and leases were .12% in the third quarter of 2020, .16% in the year-earlier quarter and .29% in the second 2020 quarter. Net charge-offs for the nine-month periods ended September 30, 2020 and 2019 were $150 million and $103 million, respectively, representing an annualized .21% and .15%, repectively, of average loans and leases. A summary of net charge-offs by loan type is presented in the table that follows.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color w:val="auto"/>
        </w:rPr>
        <w:t>NET CHARGE-OFFS (RECOVERIES)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LOAN/LEASE TYPE</w:t>
      </w:r>
    </w:p>
    <w:tbl>
      <w:tblPr>
        <w:tblLayout w:type="fixed"/>
        <w:tblInd w:w="0" w:type="dxa"/>
        <w:tblCellMar>
          <w:top w:w="0" w:type="dxa"/>
          <w:left w:w="0" w:type="dxa"/>
          <w:bottom w:w="0" w:type="dxa"/>
          <w:right w:w="0" w:type="dxa"/>
        </w:tblCellMar>
      </w:tblPr>
      <w:tr>
        <w:trPr>
          <w:trHeight w:val="159"/>
        </w:trPr>
        <w:tc>
          <w:tcPr>
            <w:tcW w:w="5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center"/>
              <w:ind w:left="518"/>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1"/>
        </w:trPr>
        <w:tc>
          <w:tcPr>
            <w:tcW w:w="5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w w:val="97"/>
              </w:rPr>
              <w:t>First</w:t>
            </w:r>
          </w:p>
        </w:tc>
        <w:tc>
          <w:tcPr>
            <w:tcW w:w="960" w:type="dxa"/>
            <w:vAlign w:val="bottom"/>
            <w:gridSpan w:val="4"/>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Second</w:t>
            </w:r>
          </w:p>
        </w:tc>
        <w:tc>
          <w:tcPr>
            <w:tcW w:w="900" w:type="dxa"/>
            <w:vAlign w:val="bottom"/>
            <w:gridSpan w:val="3"/>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Third</w:t>
            </w:r>
          </w:p>
        </w:tc>
        <w:tc>
          <w:tcPr>
            <w:tcW w:w="4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Year-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3"/>
        </w:trPr>
        <w:tc>
          <w:tcPr>
            <w:tcW w:w="5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0" w:type="dxa"/>
            <w:vAlign w:val="bottom"/>
          </w:tcPr>
          <w:p>
            <w:pPr>
              <w:spacing w:after="0"/>
              <w:rPr>
                <w:sz w:val="15"/>
                <w:szCs w:val="15"/>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to-date</w:t>
            </w:r>
          </w:p>
        </w:tc>
      </w:tr>
      <w:tr>
        <w:trPr>
          <w:trHeight w:val="240"/>
        </w:trPr>
        <w:tc>
          <w:tcPr>
            <w:tcW w:w="5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13,122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29,235</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52,316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16,458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3,428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31,778</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25,716</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74,766</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49,162</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71,130</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150,023</w:t>
            </w: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1"/>
        </w:trPr>
        <w:tc>
          <w:tcPr>
            <w:tcW w:w="5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1"/>
        </w:trPr>
        <w:tc>
          <w:tcPr>
            <w:tcW w:w="5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First</w:t>
            </w:r>
          </w:p>
        </w:tc>
        <w:tc>
          <w:tcPr>
            <w:tcW w:w="960" w:type="dxa"/>
            <w:vAlign w:val="bottom"/>
            <w:gridSpan w:val="4"/>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Second</w:t>
            </w:r>
          </w:p>
        </w:tc>
        <w:tc>
          <w:tcPr>
            <w:tcW w:w="900" w:type="dxa"/>
            <w:vAlign w:val="bottom"/>
            <w:gridSpan w:val="3"/>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Third</w:t>
            </w:r>
          </w:p>
        </w:tc>
        <w:tc>
          <w:tcPr>
            <w:tcW w:w="40" w:type="dxa"/>
            <w:vAlign w:val="bottom"/>
          </w:tcPr>
          <w:p>
            <w:pPr>
              <w:spacing w:after="0"/>
              <w:rPr>
                <w:sz w:val="11"/>
                <w:szCs w:val="11"/>
                <w:color w:val="auto"/>
              </w:rPr>
            </w:pPr>
          </w:p>
        </w:tc>
        <w:tc>
          <w:tcPr>
            <w:tcW w:w="70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Year-</w:t>
            </w:r>
          </w:p>
        </w:tc>
        <w:tc>
          <w:tcPr>
            <w:tcW w:w="60" w:type="dxa"/>
            <w:vAlign w:val="bottom"/>
          </w:tcPr>
          <w:p>
            <w:pPr>
              <w:spacing w:after="0"/>
              <w:rPr>
                <w:sz w:val="11"/>
                <w:szCs w:val="11"/>
                <w:color w:val="auto"/>
              </w:rPr>
            </w:pPr>
          </w:p>
        </w:tc>
      </w:tr>
      <w:tr>
        <w:trPr>
          <w:trHeight w:val="173"/>
        </w:trPr>
        <w:tc>
          <w:tcPr>
            <w:tcW w:w="5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0" w:type="dxa"/>
            <w:vAlign w:val="bottom"/>
          </w:tcPr>
          <w:p>
            <w:pPr>
              <w:spacing w:after="0"/>
              <w:rPr>
                <w:sz w:val="15"/>
                <w:szCs w:val="15"/>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to-date</w:t>
            </w:r>
          </w:p>
        </w:tc>
      </w:tr>
      <w:tr>
        <w:trPr>
          <w:trHeight w:val="226"/>
        </w:trPr>
        <w:tc>
          <w:tcPr>
            <w:tcW w:w="52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45"/>
        </w:trPr>
        <w:tc>
          <w:tcPr>
            <w:tcW w:w="52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19,756</w:t>
            </w:r>
          </w:p>
        </w:tc>
        <w:tc>
          <w:tcPr>
            <w:tcW w:w="6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(549)</w:t>
            </w: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8,108</w:t>
            </w:r>
          </w:p>
        </w:tc>
        <w:tc>
          <w:tcPr>
            <w:tcW w:w="6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4,501</w:t>
            </w:r>
          </w:p>
        </w:tc>
        <w:tc>
          <w:tcPr>
            <w:tcW w:w="6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26,821</w:t>
            </w:r>
          </w:p>
        </w:tc>
        <w:tc>
          <w:tcPr>
            <w:tcW w:w="2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70,642</w:t>
            </w:r>
          </w:p>
        </w:tc>
        <w:tc>
          <w:tcPr>
            <w:tcW w:w="6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103,007</w:t>
            </w:r>
          </w:p>
        </w:tc>
        <w:tc>
          <w:tcPr>
            <w:tcW w:w="6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Included in net charge-offs of consumer loans were net charge-offs of: automobile loans of $2 million in the recent quarter, $7 million in the third quarter of 2019 and $9 million in the second quarter of 2020; recreational finance loans of $5 million in the third quarter of 2020, $7 million in the year-earlier quarter and $5 million in the second 2020 quarter; and home equity loans and lines of credit secured by one-to-four family residential properties of less than $1 million in each of the two most recent quarters and $2 million in last year’s third quarter.</w:t>
      </w:r>
    </w:p>
    <w:p>
      <w:pPr>
        <w:spacing w:after="0" w:line="75"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Nonaccrual loans aggregated $1.24 billion or 1.26% of total loans and leases outstanding at September 30, 2020, compared with $1.16 billion or 1.18% at June 30, 2020 and $1.13 billion or 1.25% at January 1, 2020. The adoption of the new accounting guidance resulted in an increase in nonaccrual loans on January 1, 2020 of approximately $171 million. Previously such loans would have been classified as either purchased impaired loans or acquired accruing loans past due 90 days or more. Loans classified as nonaccrual at September 30, 2019 and December 31, 2019 totaled $1.01 billion and $963 million, respectively, or 1.12% and 1.06% of total loans outstanding.</w:t>
      </w:r>
    </w:p>
    <w:p>
      <w:pPr>
        <w:spacing w:after="0" w:line="75"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20"/>
          <w:szCs w:val="20"/>
          <w:color w:val="auto"/>
        </w:rPr>
        <w:t>Accruing loans past due 90 days or more were $527 million or .54% of loans and leases at September 30, 2020, compared with $536 million or .55% at June 30, 2020. Accruing loans past due 90 days or more (excluding loans acquired at a discount) were $461 million or .51% of total loans outstanding at September 30, 2019 and $519 million or .57% of outstanding loans at December 31, 2019. Accruing loans past due 90 days or more included loans guaranteed by government-related entities of $505 million, $434 million, $480 million and $454 million at September 30, 2020, September 30, 2019, December 31, 2019 and June 30, 2020, respectively.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$480 million at September 30, 2020, $410 million a year earlier, $452 million at December 31, 2019 and $428 million at June 30, 2020. The increase in such loans as compared with the prior dates resulted from higher levels of loans repurchased during the recent quarter. The remaining accruing loans past due 90 days or more not guaranteed by government-related entities were loans considered to be with creditworthy borrowers that were in the process of collection or renewal. In addition 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8" w:name="page69"/>
    <w:bookmarkEnd w:id="68"/>
    <w:p>
      <w:pPr>
        <w:jc w:val="both"/>
        <w:spacing w:after="0" w:line="251" w:lineRule="auto"/>
        <w:rPr>
          <w:sz w:val="20"/>
          <w:szCs w:val="20"/>
          <w:color w:val="auto"/>
        </w:rPr>
      </w:pPr>
      <w:r>
        <w:rPr>
          <w:rFonts w:ascii="Times New Roman" w:cs="Times New Roman" w:eastAsia="Times New Roman" w:hAnsi="Times New Roman"/>
          <w:sz w:val="21"/>
          <w:szCs w:val="21"/>
          <w:color w:val="auto"/>
        </w:rPr>
        <w:t>the past due loans, the Company has also repurchased $1.4 billion of government guaranteed residential mortgage loans in the recent quarter that are not considered delinquent because the borrower has requested and received a COVID-19 related payment deferral. Those loans were also repurchased to reduce associated servicing costs as described above and also remain covered by the insurance or guarantee of the applicable government-related entity.</w:t>
      </w:r>
    </w:p>
    <w:p>
      <w:pPr>
        <w:spacing w:after="0" w:line="70"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Loans that were 30-89 days past due were $874 million at September 30, 2020, compared with $1.2 billion at December 31, 2019 and $618 million at June 30, 2020. The lower levels of such past due loans at September 30 and June 30, 2020 were a result of loan paydowns, many of which resulted in return to current status, and migrations of loans to nonaccrual status. COVID-19 related payment deferral modifications resulted in such loans being classified as current in accordance with regulatory guidance and, as a result, did not contribute in incremental additions to loans categorized as 30-89 days past due.</w:t>
      </w:r>
    </w:p>
    <w:p>
      <w:pPr>
        <w:spacing w:after="0" w:line="75"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Prior to the adoption of the new accounting standard on January 1, 2020, the Company reported purchased impaired loans. Those loans were impaired at the date of acquisition, were recorded at estimated fair value and were generally delinquent in payments, but, in accordance with GAAP, the Company continued to accrue interest income on such loans based on the estimated expected cash flows associated with the loans. The amended accounting guidance requires estimated credit losses on loans acquired at a discount to now be reflected in the allowance for credit losses and effective with the adoption of the guidance, the Company’s nonaccrual loan policy now applies to such loans. The carrying amount of purchased impaired loans was $253 million at September 30, 2019 and $228 million at December 31, 2019.</w:t>
      </w:r>
    </w:p>
    <w:p>
      <w:pPr>
        <w:spacing w:after="0" w:line="76"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The United States has been operating under a state of emergency related to the COVID-19 pandemic since March 13, 2020. The direct and indirect effects of the COVID-19 pandemic resulted in a dramatic reduction in economic activity that severely hampered the ability of some businesses and consumers to meet their repayment obligations. The CARES Act, in addition to providing financial assistance to both businesses and consumers, created a forbearance program for federally-backed mortgage loans, protects borrowers from negative credit reporting due to loan accommodations related to the national emergency, and provides financial institutions the option to temporarily suspend certain requirements under GAAP related to troubled debt restructurings for a limited period of time to account for the effects of COVID-19. The banking regulatory agencies have likewise issued guidance encouraging financial institutions to work prudently with borrowers who are, or may be, unable to meet their contractual payment obligations because of the effects of COVID-19. That guidance, with concurrence of the Financial Accounting Standards Board and provisions of the CARES Act, allow modifications made on a good faith basis in response to COVID-19 to borrowers who were generally current with their payments prior to any relief, to not be treated as delinquent or as troubled debt restructurings. Modifications may include payment deferrals, fee waivers, extensions of repayment terms, or other delays in payment. The Company has worked with its customers affected by COVID-19 and, as previously noted, has granted a significant amount of modifications across many of its loan portfolios. To the extent that such modifications met the criteria previously described, such modifications have not been classified as delinquent or as troubled debt restructurings.</w:t>
      </w:r>
    </w:p>
    <w:p>
      <w:pPr>
        <w:spacing w:after="0" w:line="85"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The Company also modified the terms of select loans in an effort to assist borrowers that were not related to the COVID-19 pandemic.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The modified loans are included in impaired loans for purposes of determining the level of the allowance for credit losses. Information about modifications of loans that are considered troubled debt restructurings is included in note 3 of Notes to Financial Statements.</w:t>
      </w:r>
    </w:p>
    <w:p>
      <w:pPr>
        <w:spacing w:after="0" w:line="76"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Residential real estate loans modified under specified loss mitigation programs prescribed by government guarantors that were not related to the COVID-19 pandemic have not been included in renegotiated loans because the loan guarantee remains in full force and, accordingly, the Company has not granted a concession with respect to the ultimate collection of the original loan balance. Such loans aggregated $267 million, $177 million, and $203 million at September 30, 2020, September 30, 2019 and December 31, 2019,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9" w:name="page70"/>
    <w:bookmarkEnd w:id="69"/>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Commercial loans and leases classified as nonaccrual totaled $351 million, $383 million, $347 million, and $285 million at September 30, 2020, September 30, 2019, December 31, 2019, and June 30, 2020, respectively. Commercial real estate loans in nonaccrual status aggregated $292 million, $221 million, $195 million and $260 million at September 30, 2020, September 30, 2019, December 31, 2019, and June 30, 2020, respectively.</w:t>
      </w:r>
    </w:p>
    <w:p>
      <w:pPr>
        <w:spacing w:after="0" w:line="70"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Nonaccrual residential real estate loans totaled $413 million at September 30, 2020, compared with $305 million at September 30, 2019, $319 million at December 31, 2019 and $426 million at June 30, 2020. The increase at the two most recent quarter-ends as compared with the prior year dates is largely reflective of the impact of the adoption of the amended accounting guidance as noted earlier. Included in residential real estate loans classified as nonaccrual were limited documentation first mortgage loans of $116 million at September 30, 2020, compared with $82 million at September 30, 2019, $83 million at December 31, 2019 and $119 million at June 30, 2020.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(excluding loans acquired at a discount at the 2019 dates) aggregated $503 million at September 30, 2020, compared with $440 million at September 30, 2019, $487 million at December 31, 2019 and $479 million at June 30, 2020. A substantial portion of such amounts related to repurchased government-guaranteed loans, including the previously noted higher level of repurchases of loans associated with the Company’s loan servicing portfolio. However, loans that have been modified under COVID-19 forbearance are not considered to be past due in accordance with the previously noted regulatory guidance and provisions of the CARES Act. Information about the location of nonaccrual and charged-off residential real estate loans as of and for the quarter ended September 30, 2020 is presented in the accompanying table.</w:t>
      </w:r>
    </w:p>
    <w:p>
      <w:pPr>
        <w:spacing w:after="0" w:line="85"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Nonaccrual consumer loans were $184 million at September 30, 2020, compared with $96 million at September 30, 2019, $102 million at December 31, 2019 and $187 million at June 30, 2020. Included in nonaccrual consumer loans at September 30, 2020, September 30, 2019, December 31, 2019 and June 30, 2020 were: automobile loans of $42 million, $21 million, $21 million and $43 million, respectively; recreational finance loans of $24 million, $12 million, $14 million and $24 million, respectively; and outstanding balances of home equity loans and lines of credit of $79 million, $60 million, $63 million and $77 million, respectively. Information about the location of nonaccrual and charged-off home equity loans and lines of credit as of and for the quarter ended September 30, 2020 is presented in the accompanying table.</w:t>
      </w:r>
    </w:p>
    <w:p>
      <w:pPr>
        <w:spacing w:after="0" w:line="76" w:lineRule="exact"/>
        <w:rPr>
          <w:sz w:val="20"/>
          <w:szCs w:val="20"/>
          <w:color w:val="auto"/>
        </w:rPr>
      </w:pPr>
    </w:p>
    <w:p>
      <w:pPr>
        <w:jc w:val="both"/>
        <w:ind w:right="20" w:firstLine="510"/>
        <w:spacing w:after="0" w:line="270" w:lineRule="auto"/>
        <w:rPr>
          <w:sz w:val="20"/>
          <w:szCs w:val="20"/>
          <w:color w:val="auto"/>
        </w:rPr>
      </w:pPr>
      <w:r>
        <w:rPr>
          <w:rFonts w:ascii="Times New Roman" w:cs="Times New Roman" w:eastAsia="Times New Roman" w:hAnsi="Times New Roman"/>
          <w:sz w:val="21"/>
          <w:szCs w:val="21"/>
          <w:color w:val="auto"/>
        </w:rPr>
        <w:t>Information about past due and nonaccrual loans as of September 30, 2020 and December 31, 2019 is also included in note 3 of Notes to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1"/>
          <w:szCs w:val="21"/>
          <w:color w:val="auto"/>
        </w:rPr>
        <w:t>SELECTED RESIDENTIAL REAL ESTATE-RELATED LOAN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0" w:type="dxa"/>
            <w:vAlign w:val="bottom"/>
          </w:tcPr>
          <w:p>
            <w:pPr>
              <w:spacing w:after="0"/>
              <w:rPr>
                <w:sz w:val="1"/>
                <w:szCs w:val="1"/>
                <w:color w:val="auto"/>
              </w:rPr>
            </w:pPr>
          </w:p>
        </w:tc>
      </w:tr>
      <w:tr>
        <w:trPr>
          <w:trHeight w:val="165"/>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7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40" w:type="dxa"/>
            <w:vAlign w:val="bottom"/>
            <w:tcBorders>
              <w:top w:val="single" w:sz="8" w:color="auto"/>
              <w:bottom w:val="single" w:sz="8" w:color="auto"/>
            </w:tcBorders>
            <w:gridSpan w:val="3"/>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Net Charge-offs (Recoveries)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65"/>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100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Residential mortgages:</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5,153,998</w:t>
            </w: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112,001</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(199)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1,100,845</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11,013</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(55)</w:t>
            </w: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1,329,097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14,168</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2,879,628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76,381</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1,171,572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11,914</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3,200,975</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71,744</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3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14,836,115</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297,221</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7"/>
                <w:szCs w:val="17"/>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569</w:t>
            </w:r>
          </w:p>
        </w:tc>
        <w:tc>
          <w:tcPr>
            <w:tcW w:w="300" w:type="dxa"/>
            <w:vAlign w:val="bottom"/>
          </w:tcPr>
          <w:p>
            <w:pPr>
              <w:spacing w:after="0"/>
              <w:rPr>
                <w:sz w:val="17"/>
                <w:szCs w:val="17"/>
                <w:color w:val="auto"/>
              </w:rPr>
            </w:pPr>
          </w:p>
        </w:tc>
        <w:tc>
          <w:tcPr>
            <w:tcW w:w="10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3"/>
        </w:trPr>
        <w:tc>
          <w:tcPr>
            <w:tcW w:w="524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Residential construction loans:</w:t>
            </w: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24,376</w:t>
            </w: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14,418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7,361</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84,700</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415</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7"/>
                <w:szCs w:val="17"/>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3"/>
        </w:trPr>
        <w:tc>
          <w:tcPr>
            <w:tcW w:w="524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Limited documentation first mortgages:</w:t>
            </w: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794,475</w:t>
            </w: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53,031</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36,048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639,053</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34,744</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235,651</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20,519</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(21)</w:t>
            </w: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95"/>
        </w:trPr>
        <w:tc>
          <w:tcPr>
            <w:tcW w:w="5240" w:type="dxa"/>
            <w:vAlign w:val="bottom"/>
            <w:vMerge w:val="continue"/>
          </w:tcPr>
          <w:p>
            <w:pPr>
              <w:spacing w:after="0"/>
              <w:rPr>
                <w:sz w:val="17"/>
                <w:szCs w:val="17"/>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1,742,893</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115,783</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6.64%</w:t>
            </w:r>
          </w:p>
        </w:tc>
        <w:tc>
          <w:tcPr>
            <w:tcW w:w="100" w:type="dxa"/>
            <w:vAlign w:val="bottom"/>
            <w:vMerge w:val="continue"/>
          </w:tcPr>
          <w:p>
            <w:pPr>
              <w:spacing w:after="0"/>
              <w:rPr>
                <w:sz w:val="17"/>
                <w:szCs w:val="17"/>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300" w:type="dxa"/>
            <w:vAlign w:val="bottom"/>
            <w:vMerge w:val="continue"/>
          </w:tcPr>
          <w:p>
            <w:pPr>
              <w:spacing w:after="0"/>
              <w:rPr>
                <w:sz w:val="17"/>
                <w:szCs w:val="17"/>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24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First lien home equity loans and lines of credit:</w:t>
            </w: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1,035,060</w:t>
            </w: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18,494</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628,542</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10,269</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506,866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9,474</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69,039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(13)</w:t>
            </w: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177,886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31,539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40" w:type="dxa"/>
            <w:vAlign w:val="bottom"/>
            <w:vMerge w:val="continue"/>
          </w:tcPr>
          <w:p>
            <w:pPr>
              <w:spacing w:after="0"/>
              <w:rPr>
                <w:sz w:val="17"/>
                <w:szCs w:val="17"/>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2,448,932</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42,799</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1.75%</w:t>
            </w:r>
          </w:p>
        </w:tc>
        <w:tc>
          <w:tcPr>
            <w:tcW w:w="100" w:type="dxa"/>
            <w:vAlign w:val="bottom"/>
            <w:vMerge w:val="continue"/>
          </w:tcPr>
          <w:p>
            <w:pPr>
              <w:spacing w:after="0"/>
              <w:rPr>
                <w:sz w:val="17"/>
                <w:szCs w:val="17"/>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268</w:t>
            </w:r>
          </w:p>
        </w:tc>
        <w:tc>
          <w:tcPr>
            <w:tcW w:w="300" w:type="dxa"/>
            <w:vAlign w:val="bottom"/>
          </w:tcPr>
          <w:p>
            <w:pPr>
              <w:spacing w:after="0"/>
              <w:rPr>
                <w:sz w:val="17"/>
                <w:szCs w:val="17"/>
                <w:color w:val="auto"/>
              </w:rPr>
            </w:pPr>
          </w:p>
        </w:tc>
        <w:tc>
          <w:tcPr>
            <w:tcW w:w="10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3"/>
        </w:trPr>
        <w:tc>
          <w:tcPr>
            <w:tcW w:w="524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Junior lien home equity loans and lines of credit:</w:t>
            </w: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622,702</w:t>
            </w: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16,490</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223,789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(405)</w:t>
            </w: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456,416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9,818</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(240)</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92,542</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(233)</w:t>
            </w: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213,091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(353)</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39,754</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(139)</w:t>
            </w: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40" w:type="dxa"/>
            <w:vAlign w:val="bottom"/>
            <w:vMerge w:val="continue"/>
          </w:tcPr>
          <w:p>
            <w:pPr>
              <w:spacing w:after="0"/>
              <w:rPr>
                <w:sz w:val="17"/>
                <w:szCs w:val="17"/>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1,648,294</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35,829</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2.17%</w:t>
            </w:r>
          </w:p>
        </w:tc>
        <w:tc>
          <w:tcPr>
            <w:tcW w:w="100" w:type="dxa"/>
            <w:vAlign w:val="bottom"/>
            <w:vMerge w:val="continue"/>
          </w:tcPr>
          <w:p>
            <w:pPr>
              <w:spacing w:after="0"/>
              <w:rPr>
                <w:sz w:val="17"/>
                <w:szCs w:val="17"/>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(244)</w:t>
            </w:r>
          </w:p>
        </w:tc>
        <w:tc>
          <w:tcPr>
            <w:tcW w:w="300" w:type="dxa"/>
            <w:vAlign w:val="bottom"/>
            <w:vMerge w:val="continue"/>
          </w:tcPr>
          <w:p>
            <w:pPr>
              <w:spacing w:after="0"/>
              <w:rPr>
                <w:sz w:val="17"/>
                <w:szCs w:val="17"/>
                <w:color w:val="auto"/>
              </w:rPr>
            </w:pPr>
          </w:p>
        </w:tc>
        <w:tc>
          <w:tcPr>
            <w:tcW w:w="10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3"/>
        </w:trPr>
        <w:tc>
          <w:tcPr>
            <w:tcW w:w="524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Limited documentation junior lien:</w:t>
            </w: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40" w:type="dxa"/>
            <w:vAlign w:val="bottom"/>
            <w:vMerge w:val="continue"/>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4,632</w:t>
            </w:r>
          </w:p>
        </w:tc>
        <w:tc>
          <w:tcPr>
            <w:tcW w:w="300" w:type="dxa"/>
            <w:vAlign w:val="bottom"/>
            <w:vMerge w:val="continue"/>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192</w:t>
            </w:r>
          </w:p>
        </w:tc>
        <w:tc>
          <w:tcPr>
            <w:tcW w:w="320" w:type="dxa"/>
            <w:vAlign w:val="bottom"/>
          </w:tcPr>
          <w:p>
            <w:pPr>
              <w:spacing w:after="0"/>
              <w:rPr>
                <w:sz w:val="13"/>
                <w:szCs w:val="13"/>
                <w:color w:val="auto"/>
              </w:rPr>
            </w:pPr>
          </w:p>
        </w:tc>
        <w:tc>
          <w:tcPr>
            <w:tcW w:w="9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4.14%</w:t>
            </w:r>
          </w:p>
        </w:tc>
        <w:tc>
          <w:tcPr>
            <w:tcW w:w="10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(38)</w:t>
            </w:r>
          </w:p>
        </w:tc>
        <w:tc>
          <w:tcPr>
            <w:tcW w:w="300" w:type="dxa"/>
            <w:vAlign w:val="bottom"/>
            <w:vMerge w:val="continue"/>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700" w:hanging="692"/>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Includes Delaware, Virginia, West Virginia and the District of Columbia.</w:t>
      </w:r>
    </w:p>
    <w:p>
      <w:pPr>
        <w:spacing w:after="0" w:line="22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1" w:name="page72"/>
    <w:bookmarkEnd w:id="71"/>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Real estate and other foreclosed assets totaled $50 million at September 30, 2020, compared with $80 million at September 30, 2019, $86 million at December 31, 2019 and $67 million at June 30, 2020. Net gains or losses associated with real estate and other foreclosed assets were not material during the three-months ended September 30, 2020, September 30, 2019 and June 30, 2019. At September 30, 2020, the Company’s holdings of residential real estate-related properties comprised approximately 86% of foreclosed assets. During the COVID-19 pandemic, government authorities have restricted the ability of mortgage servicers to initiate foreclosure procedures.</w:t>
      </w:r>
    </w:p>
    <w:p>
      <w:pPr>
        <w:spacing w:after="0" w:line="75"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A comparative summary of nonperforming assets and certain past due, renegotiated and impaired loan data and credit quality ratios is presented in the accompanying table.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NONPERFORMING ASSET AND PAST DUE, RENEGOTIATED AND IMPAIRED LOAN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 Quarters</w:t>
            </w:r>
          </w:p>
        </w:tc>
        <w:tc>
          <w:tcPr>
            <w:tcW w:w="8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 Quarters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20" w:type="dxa"/>
            <w:vAlign w:val="bottom"/>
          </w:tcPr>
          <w:p>
            <w:pPr>
              <w:spacing w:after="0"/>
              <w:rPr>
                <w:sz w:val="24"/>
                <w:szCs w:val="24"/>
                <w:color w:val="auto"/>
              </w:rPr>
            </w:pPr>
          </w:p>
        </w:tc>
        <w:tc>
          <w:tcPr>
            <w:tcW w:w="124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1,239,972</w:t>
            </w: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1,156,650</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1,061,748</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963,112</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1,005,249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and other foreclosed assets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49,872</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66,763</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83,605</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85,646</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79,735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1,289,844</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1,223,413</w:t>
            </w:r>
          </w:p>
        </w:tc>
        <w:tc>
          <w:tcPr>
            <w:tcW w:w="38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1,145,353</w:t>
            </w:r>
          </w:p>
        </w:tc>
        <w:tc>
          <w:tcPr>
            <w:tcW w:w="38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1,048,758</w:t>
            </w:r>
          </w:p>
        </w:tc>
        <w:tc>
          <w:tcPr>
            <w:tcW w:w="38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1,084,984</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Accruing loans past due 90 days or more(a)</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527,258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535,755</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530,317</w:t>
            </w:r>
          </w:p>
        </w:tc>
        <w:tc>
          <w:tcPr>
            <w:tcW w:w="3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518,728</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461,162</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Government guaranteed loans included in totals above:</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Nonaccrual loans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45,975</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51,165</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50,561</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50,891</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Accruing loans past due 90 days or more</w:t>
            </w: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505,446</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454,269</w:t>
            </w:r>
          </w:p>
        </w:tc>
        <w:tc>
          <w:tcPr>
            <w:tcW w:w="38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464,243</w:t>
            </w:r>
          </w:p>
        </w:tc>
        <w:tc>
          <w:tcPr>
            <w:tcW w:w="380" w:type="dxa"/>
            <w:vAlign w:val="bottom"/>
            <w:tcBorders>
              <w:bottom w:val="single" w:sz="8" w:color="CFF0FC"/>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479,829</w:t>
            </w:r>
          </w:p>
        </w:tc>
        <w:tc>
          <w:tcPr>
            <w:tcW w:w="38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434,132</w:t>
            </w:r>
          </w:p>
        </w:tc>
        <w:tc>
          <w:tcPr>
            <w:tcW w:w="1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Renegotiated loans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242,581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234,768</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232,439</w:t>
            </w:r>
          </w:p>
        </w:tc>
        <w:tc>
          <w:tcPr>
            <w:tcW w:w="3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234,424</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240,781</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Acquired accruing loans past due 90 days or more(b)</w:t>
            </w: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FF0FC"/>
            </w:tcBorders>
            <w:vMerge w:val="continue"/>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CFF0FC"/>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CFF0FC"/>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39,632</w:t>
            </w:r>
          </w:p>
        </w:tc>
        <w:tc>
          <w:tcPr>
            <w:tcW w:w="380" w:type="dxa"/>
            <w:vAlign w:val="bottom"/>
            <w:tcBorders>
              <w:bottom w:val="single" w:sz="8" w:color="CFF0FC"/>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40,733</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impaired loans(c):</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Outstanding customer balance</w:t>
            </w: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12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415,413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Carrying amount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227,545</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253,496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Nonaccrual loans to total loans and leases, net of</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unearned discount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1360" w:type="dxa"/>
            <w:vAlign w:val="bottom"/>
            <w:gridSpan w:val="3"/>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1.18%</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assets to total net loans and leases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and other foreclosed assets</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136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1"/>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Accruing loans past due 90 days or more(a) to total</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and leases, net of unearned discount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360" w:type="dxa"/>
            <w:vAlign w:val="bottom"/>
            <w:gridSpan w:val="3"/>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700" w:hanging="692"/>
        <w:spacing w:after="0"/>
        <w:tabs>
          <w:tab w:leader="none" w:pos="70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Predominantly residential real estate loans. Prior to 2020, excludes loans acquired at a discount.</w:t>
      </w:r>
    </w:p>
    <w:p>
      <w:pPr>
        <w:spacing w:after="0" w:line="29" w:lineRule="exact"/>
        <w:rPr>
          <w:rFonts w:ascii="Times New Roman" w:cs="Times New Roman" w:eastAsia="Times New Roman" w:hAnsi="Times New Roman"/>
          <w:sz w:val="18"/>
          <w:szCs w:val="18"/>
          <w:i w:val="1"/>
          <w:iCs w:val="1"/>
          <w:color w:val="auto"/>
        </w:rPr>
      </w:pPr>
    </w:p>
    <w:p>
      <w:pPr>
        <w:ind w:left="560" w:hanging="552"/>
        <w:spacing w:after="0" w:line="250" w:lineRule="auto"/>
        <w:tabs>
          <w:tab w:leader="none" w:pos="5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Prior to 2020, loans acquired at a discount that were recorded at fair value at acquisition date. This category does not include purchased impaired loans that are presented separately.</w:t>
      </w:r>
    </w:p>
    <w:p>
      <w:pPr>
        <w:ind w:left="560" w:hanging="552"/>
        <w:spacing w:after="0"/>
        <w:tabs>
          <w:tab w:leader="none" w:pos="5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Prior to 2020, accruing loans acquired at a discount that were impaired at acquisition date and recorded at fair value.</w:t>
      </w:r>
    </w:p>
    <w:p>
      <w:pPr>
        <w:spacing w:after="0" w:line="98"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Beginning in 2020, management determines the allowance for credit losses under new accounting guidance that requires estimating the amount of current expected credit losses over the remaining contractual term of the loan and leases portfolio. A description of the methodologies used by the Company to estimate its allowance for credit losses in 2020 can be found in note 3 of Notes to Financial Statements contained in this quarterly report on Form 10-Q. For periods prior to 2020, a description of the methodologies used by the Company for determining the allowance for credit losses may be found in the Provision for Credit Losses section of Management’s Discussion and Analysis of Financial Condition and Results of Operations in M&amp;T’s Annual Report on Form 10-K for the year ended December 31, 2019.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2" w:name="page73"/>
    <w:bookmarkEnd w:id="72"/>
    <w:p>
      <w:pPr>
        <w:jc w:val="both"/>
        <w:ind w:firstLine="510"/>
        <w:spacing w:after="0" w:line="242" w:lineRule="auto"/>
        <w:rPr>
          <w:sz w:val="20"/>
          <w:szCs w:val="20"/>
          <w:color w:val="auto"/>
        </w:rPr>
      </w:pPr>
      <w:r>
        <w:rPr>
          <w:rFonts w:ascii="Times New Roman" w:cs="Times New Roman" w:eastAsia="Times New Roman" w:hAnsi="Times New Roman"/>
          <w:sz w:val="21"/>
          <w:szCs w:val="21"/>
          <w:color w:val="auto"/>
        </w:rPr>
        <w:t>In establishing the allowance for credit losses subsequent to December 31, 2019,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loan type. At the time of the Company’s analysis regarding the determination of the allowance for credit losses as of September 30, 2020, there existed substantial concerns about the national and regional economic decline related to the COVID-19 pandemic; the lack of additional economic stimulus being provided by the Federal government; the volatile nature of global markets, including the impact international economic conditions could have on the U.S. economy; Federal Reserve positioning of monetary policy; the extent to which additional repayment forbearance might be requested by borrowers, in particular commercial real estate borrowers; and continued stagnant population and economic growth in the upstate New York and central Pennsylvania regions (approximately 52% of the Company’s loans and leases are to customers in New York State and Pennsylvania) that could see lingering effects of the economic downturn. The Company utilizes a loan grading system to differentiate risk amongst its commercial loans and commercial real estate loans. Loans with a lower expectation of default are assigned one of ten possible “pass” loan grades and through the loss estimation modeling and other techniques used by the Company are generally considered to possess lower expected losses when determining the allowance for credit losses. Loans with an elevated level of credit risk are classified as “criticized” and are ascribed higher expected loss amounts when determining the allowance for credit losses. Criticized loans may be classified as “nonaccrual” if the Company no longer expects to collect all amounts according to the contractual terms of the loan agreement or the loan is delinquent 90 days or more. During 2020, the Company re-graded a significant portion of its commercial loans and commercial real estate loans, particularly those that were modified as a result of COVID-19 impacts. Criticized commercial loans and commercial real estate loans totaled $6.9 billion at September 30, 2020, compared with $2.6 billion at September 30, 2019, $2.5 billion at December 31, 2019, and $6.2 billion at June 30, 2020. The rise in criticized loans at the two most recent quarter-ends as compared to December 31, 2019 reflect the impact of the pandemic on borrowers’ financial condition and the re-grading of loans by the Company.</w:t>
      </w:r>
    </w:p>
    <w:p>
      <w:pPr>
        <w:spacing w:after="0" w:line="97"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The COVID-19 pandemic and related regulatory and governmental responses led to a significant reduction in economic activity that has been detrimental to many businesses across the Company’s geographic regions. Borrowers have been and will likely continue to be adversely impacted by the economic effects of the COVID-19 pandemic. Summaries of the commercial loan and lease and commercial real estate loan portfolios as of September 30, 2020 are provided below. Of the COVID-19 related modifications outstanding at September 30, 2020 provided in the table below, substantially all are scheduled to expire during 2020’s fourth quarter. Should those borrowers request further forbearance, the credit quality of such loans will be re-assessed to determine whether the Company expects to receive all contractual principal and interest payments.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01"/>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COVID-19</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26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2260" w:type="dxa"/>
            <w:vAlign w:val="bottom"/>
          </w:tcPr>
          <w:p>
            <w:pPr>
              <w:spacing w:after="0"/>
              <w:rPr>
                <w:sz w:val="18"/>
                <w:szCs w:val="18"/>
                <w:color w:val="auto"/>
              </w:rPr>
            </w:pPr>
          </w:p>
        </w:tc>
      </w:tr>
      <w:tr>
        <w:trPr>
          <w:trHeight w:val="198"/>
        </w:trPr>
        <w:tc>
          <w:tcPr>
            <w:tcW w:w="5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Commercial, financial, leasing , etc.</w:t>
            </w:r>
          </w:p>
        </w:tc>
        <w:tc>
          <w:tcPr>
            <w:tcW w:w="180" w:type="dxa"/>
            <w:vAlign w:val="bottom"/>
          </w:tcPr>
          <w:p>
            <w:pPr>
              <w:spacing w:after="0"/>
              <w:rPr>
                <w:sz w:val="17"/>
                <w:szCs w:val="17"/>
                <w:color w:val="auto"/>
              </w:rPr>
            </w:pPr>
          </w:p>
        </w:tc>
        <w:tc>
          <w:tcPr>
            <w:tcW w:w="74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351"/>
              <w:spacing w:after="0" w:line="198" w:lineRule="exact"/>
              <w:rPr>
                <w:sz w:val="20"/>
                <w:szCs w:val="20"/>
                <w:color w:val="auto"/>
              </w:rPr>
            </w:pPr>
            <w:r>
              <w:rPr>
                <w:rFonts w:ascii="Times New Roman" w:cs="Times New Roman" w:eastAsia="Times New Roman" w:hAnsi="Times New Roman"/>
                <w:sz w:val="18"/>
                <w:szCs w:val="18"/>
                <w:b w:val="1"/>
                <w:bCs w:val="1"/>
                <w:color w:val="auto"/>
              </w:rPr>
              <w:t>PPP</w:t>
            </w:r>
          </w:p>
        </w:tc>
        <w:tc>
          <w:tcPr>
            <w:tcW w:w="200" w:type="dxa"/>
            <w:vAlign w:val="bottom"/>
          </w:tcPr>
          <w:p>
            <w:pPr>
              <w:spacing w:after="0"/>
              <w:rPr>
                <w:sz w:val="17"/>
                <w:szCs w:val="17"/>
                <w:color w:val="auto"/>
              </w:rPr>
            </w:pPr>
          </w:p>
        </w:tc>
        <w:tc>
          <w:tcPr>
            <w:tcW w:w="1300" w:type="dxa"/>
            <w:vAlign w:val="bottom"/>
            <w:gridSpan w:val="3"/>
          </w:tcPr>
          <w:p>
            <w:pPr>
              <w:jc w:val="center"/>
              <w:ind w:right="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Modifications</w:t>
            </w:r>
          </w:p>
        </w:tc>
        <w:tc>
          <w:tcPr>
            <w:tcW w:w="2260" w:type="dxa"/>
            <w:vAlign w:val="bottom"/>
          </w:tcPr>
          <w:p>
            <w:pPr>
              <w:spacing w:after="0"/>
              <w:rPr>
                <w:sz w:val="17"/>
                <w:szCs w:val="17"/>
                <w:color w:val="auto"/>
              </w:rPr>
            </w:pPr>
          </w:p>
        </w:tc>
      </w:tr>
      <w:tr>
        <w:trPr>
          <w:trHeight w:val="20"/>
        </w:trPr>
        <w:tc>
          <w:tcPr>
            <w:tcW w:w="260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55"/>
        </w:trPr>
        <w:tc>
          <w:tcPr>
            <w:tcW w:w="26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Industry</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5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Motor vehicle and recreational finance dealers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5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Manufacturing</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Financial and insurance</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5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Health services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5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5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Transportation, communications, utilities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Real estate investors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5140" w:type="dxa"/>
            <w:vAlign w:val="bottom"/>
            <w:tcBorders>
              <w:bottom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r>
      <w:tr>
        <w:trPr>
          <w:trHeight w:val="223"/>
        </w:trPr>
        <w:tc>
          <w:tcPr>
            <w:tcW w:w="51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Borders>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26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6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r>
      <w:tr>
        <w:trPr>
          <w:trHeight w:val="201"/>
        </w:trPr>
        <w:tc>
          <w:tcPr>
            <w:tcW w:w="1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COVID-19</w:t>
            </w:r>
          </w:p>
        </w:tc>
        <w:tc>
          <w:tcPr>
            <w:tcW w:w="80" w:type="dxa"/>
            <w:vAlign w:val="bottom"/>
          </w:tcPr>
          <w:p>
            <w:pPr>
              <w:spacing w:after="0"/>
              <w:rPr>
                <w:sz w:val="17"/>
                <w:szCs w:val="17"/>
                <w:color w:val="auto"/>
              </w:rPr>
            </w:pPr>
          </w:p>
        </w:tc>
      </w:tr>
      <w:tr>
        <w:trPr>
          <w:trHeight w:val="216"/>
        </w:trPr>
        <w:tc>
          <w:tcPr>
            <w:tcW w:w="1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Related</w:t>
            </w:r>
          </w:p>
        </w:tc>
      </w:tr>
      <w:tr>
        <w:trPr>
          <w:trHeight w:val="198"/>
        </w:trPr>
        <w:tc>
          <w:tcPr>
            <w:tcW w:w="4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Commercial real estate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Modifications</w:t>
            </w:r>
          </w:p>
        </w:tc>
      </w:tr>
      <w:tr>
        <w:trPr>
          <w:trHeight w:val="20"/>
        </w:trPr>
        <w:tc>
          <w:tcPr>
            <w:tcW w:w="166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16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5"/>
          </w:tcPr>
          <w:p>
            <w:pPr>
              <w:jc w:val="center"/>
              <w:ind w:right="15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r>
      <w:tr>
        <w:trPr>
          <w:trHeight w:val="229"/>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Investor-owned</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Permanent finance by property type</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9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Retail/Service</w:t>
            </w:r>
          </w:p>
        </w:tc>
        <w:tc>
          <w:tcPr>
            <w:tcW w:w="1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2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Apartments/Multifamily</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9"/>
                <w:szCs w:val="19"/>
                <w:color w:val="auto"/>
              </w:rPr>
            </w:pPr>
          </w:p>
        </w:tc>
      </w:tr>
      <w:tr>
        <w:trPr>
          <w:trHeight w:val="230"/>
        </w:trPr>
        <w:tc>
          <w:tcPr>
            <w:tcW w:w="49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Office</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Hotel</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80" w:type="dxa"/>
            <w:vAlign w:val="bottom"/>
          </w:tcPr>
          <w:p>
            <w:pPr>
              <w:spacing w:after="0"/>
              <w:rPr>
                <w:sz w:val="19"/>
                <w:szCs w:val="19"/>
                <w:color w:val="auto"/>
              </w:rPr>
            </w:pPr>
          </w:p>
        </w:tc>
      </w:tr>
      <w:tr>
        <w:trPr>
          <w:trHeight w:val="229"/>
        </w:trPr>
        <w:tc>
          <w:tcPr>
            <w:tcW w:w="49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Health facilities</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Industrial/Warehouse</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r>
      <w:tr>
        <w:trPr>
          <w:trHeight w:val="229"/>
        </w:trPr>
        <w:tc>
          <w:tcPr>
            <w:tcW w:w="49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4900" w:type="dxa"/>
            <w:vAlign w:val="bottom"/>
            <w:tcBorders>
              <w:bottom w:val="single" w:sz="8" w:color="CFF0FC"/>
            </w:tcBorders>
            <w:gridSpan w:val="2"/>
          </w:tcPr>
          <w:p>
            <w:pPr>
              <w:ind w:left="620"/>
              <w:spacing w:after="0"/>
              <w:rPr>
                <w:sz w:val="20"/>
                <w:szCs w:val="20"/>
                <w:color w:val="auto"/>
              </w:rPr>
            </w:pPr>
            <w:r>
              <w:rPr>
                <w:rFonts w:ascii="Times New Roman" w:cs="Times New Roman" w:eastAsia="Times New Roman" w:hAnsi="Times New Roman"/>
                <w:sz w:val="18"/>
                <w:szCs w:val="18"/>
                <w:color w:val="auto"/>
              </w:rPr>
              <w:t>Total permanent</w:t>
            </w: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20,977</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80" w:type="dxa"/>
            <w:vAlign w:val="bottom"/>
            <w:tcBorders>
              <w:bottom w:val="single" w:sz="8" w:color="CFF0FC"/>
            </w:tcBorders>
          </w:tcPr>
          <w:p>
            <w:pPr>
              <w:spacing w:after="0"/>
              <w:rPr>
                <w:sz w:val="19"/>
                <w:szCs w:val="19"/>
                <w:color w:val="auto"/>
              </w:rPr>
            </w:pPr>
          </w:p>
        </w:tc>
      </w:tr>
      <w:tr>
        <w:trPr>
          <w:trHeight w:val="223"/>
        </w:trPr>
        <w:tc>
          <w:tcPr>
            <w:tcW w:w="49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construction/development</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FF0FC"/>
          </w:tcPr>
          <w:p>
            <w:pPr>
              <w:spacing w:after="0"/>
              <w:rPr>
                <w:sz w:val="19"/>
                <w:szCs w:val="19"/>
                <w:color w:val="auto"/>
              </w:rPr>
            </w:pPr>
          </w:p>
        </w:tc>
      </w:tr>
      <w:tr>
        <w:trPr>
          <w:trHeight w:val="223"/>
        </w:trPr>
        <w:tc>
          <w:tcPr>
            <w:tcW w:w="4900" w:type="dxa"/>
            <w:vAlign w:val="bottom"/>
            <w:tcBorders>
              <w:bottom w:val="single" w:sz="8" w:color="CFF0FC"/>
            </w:tcBorders>
            <w:gridSpan w:val="2"/>
          </w:tcPr>
          <w:p>
            <w:pPr>
              <w:ind w:left="620"/>
              <w:spacing w:after="0"/>
              <w:rPr>
                <w:sz w:val="20"/>
                <w:szCs w:val="20"/>
                <w:color w:val="auto"/>
              </w:rPr>
            </w:pPr>
            <w:r>
              <w:rPr>
                <w:rFonts w:ascii="Times New Roman" w:cs="Times New Roman" w:eastAsia="Times New Roman" w:hAnsi="Times New Roman"/>
                <w:sz w:val="18"/>
                <w:szCs w:val="18"/>
                <w:color w:val="auto"/>
              </w:rPr>
              <w:t>Total investor-owned</w:t>
            </w: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80" w:type="dxa"/>
            <w:vAlign w:val="bottom"/>
            <w:tcBorders>
              <w:bottom w:val="single" w:sz="8" w:color="CFF0FC"/>
            </w:tcBorders>
          </w:tcPr>
          <w:p>
            <w:pPr>
              <w:spacing w:after="0"/>
              <w:rPr>
                <w:sz w:val="19"/>
                <w:szCs w:val="19"/>
                <w:color w:val="auto"/>
              </w:rPr>
            </w:pPr>
          </w:p>
        </w:tc>
      </w:tr>
      <w:tr>
        <w:trPr>
          <w:trHeight w:val="223"/>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Owner-occupied by industry</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services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r>
      <w:tr>
        <w:trPr>
          <w:trHeight w:val="229"/>
        </w:trPr>
        <w:tc>
          <w:tcPr>
            <w:tcW w:w="49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Retail</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Motor vehicle and recreational finance dealers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r>
      <w:tr>
        <w:trPr>
          <w:trHeight w:val="229"/>
        </w:trPr>
        <w:tc>
          <w:tcPr>
            <w:tcW w:w="49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Health services</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Wholesale</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r>
      <w:tr>
        <w:trPr>
          <w:trHeight w:val="230"/>
        </w:trPr>
        <w:tc>
          <w:tcPr>
            <w:tcW w:w="49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Manufacturing</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Borders>
              <w:bottom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FF0FC"/>
            </w:tcBorders>
          </w:tcPr>
          <w:p>
            <w:pPr>
              <w:spacing w:after="0"/>
              <w:rPr>
                <w:sz w:val="19"/>
                <w:szCs w:val="19"/>
                <w:color w:val="auto"/>
              </w:rPr>
            </w:pPr>
          </w:p>
        </w:tc>
      </w:tr>
      <w:tr>
        <w:trPr>
          <w:trHeight w:val="223"/>
        </w:trPr>
        <w:tc>
          <w:tcPr>
            <w:tcW w:w="49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Total owner-occupied</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FF0FC"/>
          </w:tcPr>
          <w:p>
            <w:pPr>
              <w:spacing w:after="0"/>
              <w:rPr>
                <w:sz w:val="19"/>
                <w:szCs w:val="19"/>
                <w:color w:val="auto"/>
              </w:rPr>
            </w:pPr>
          </w:p>
        </w:tc>
      </w:tr>
      <w:tr>
        <w:trPr>
          <w:trHeight w:val="223"/>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8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The table below provides information on the residential real estate and consumer loan portfolios and outstanding COVID-19 related modifications outstanding at September 30, 2020.</w:t>
      </w:r>
    </w:p>
    <w:tbl>
      <w:tblPr>
        <w:tblLayout w:type="fixed"/>
        <w:tblInd w:w="0" w:type="dxa"/>
        <w:tblCellMar>
          <w:top w:w="0" w:type="dxa"/>
          <w:left w:w="0" w:type="dxa"/>
          <w:bottom w:w="0" w:type="dxa"/>
          <w:right w:w="0" w:type="dxa"/>
        </w:tblCellMar>
      </w:tblPr>
      <w:tr>
        <w:trPr>
          <w:trHeight w:val="235"/>
        </w:trPr>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r>
      <w:tr>
        <w:trPr>
          <w:trHeight w:val="201"/>
        </w:trPr>
        <w:tc>
          <w:tcPr>
            <w:tcW w:w="4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COVID-19</w:t>
            </w:r>
          </w:p>
        </w:tc>
        <w:tc>
          <w:tcPr>
            <w:tcW w:w="80" w:type="dxa"/>
            <w:vAlign w:val="bottom"/>
          </w:tcPr>
          <w:p>
            <w:pPr>
              <w:spacing w:after="0"/>
              <w:rPr>
                <w:sz w:val="17"/>
                <w:szCs w:val="17"/>
                <w:color w:val="auto"/>
              </w:rPr>
            </w:pPr>
          </w:p>
        </w:tc>
      </w:tr>
      <w:tr>
        <w:trPr>
          <w:trHeight w:val="216"/>
        </w:trPr>
        <w:tc>
          <w:tcPr>
            <w:tcW w:w="4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Related</w:t>
            </w:r>
          </w:p>
        </w:tc>
      </w:tr>
      <w:tr>
        <w:trPr>
          <w:trHeight w:val="238"/>
        </w:trPr>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Modifications</w:t>
            </w:r>
          </w:p>
        </w:tc>
        <w:tc>
          <w:tcPr>
            <w:tcW w:w="80" w:type="dxa"/>
            <w:vAlign w:val="bottom"/>
          </w:tcPr>
          <w:p>
            <w:pPr>
              <w:spacing w:after="0"/>
              <w:rPr>
                <w:sz w:val="20"/>
                <w:szCs w:val="20"/>
                <w:color w:val="auto"/>
              </w:rPr>
            </w:pPr>
          </w:p>
        </w:tc>
      </w:tr>
      <w:tr>
        <w:trPr>
          <w:trHeight w:val="254"/>
        </w:trPr>
        <w:tc>
          <w:tcPr>
            <w:tcW w:w="42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6"/>
        </w:trPr>
        <w:tc>
          <w:tcPr>
            <w:tcW w:w="4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2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3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Homes equity lines and loans</w:t>
            </w:r>
          </w:p>
        </w:tc>
        <w:tc>
          <w:tcPr>
            <w:tcW w:w="2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3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r>
      <w:tr>
        <w:trPr>
          <w:trHeight w:val="230"/>
        </w:trPr>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Recreational finance</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r>
      <w:tr>
        <w:trPr>
          <w:trHeight w:val="230"/>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Automobile</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r>
      <w:tr>
        <w:trPr>
          <w:trHeight w:val="230"/>
        </w:trPr>
        <w:tc>
          <w:tcPr>
            <w:tcW w:w="42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consumer</w:t>
            </w:r>
          </w:p>
        </w:tc>
        <w:tc>
          <w:tcPr>
            <w:tcW w:w="1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20"/>
          <w:szCs w:val="20"/>
          <w:color w:val="auto"/>
        </w:rPr>
        <w:t>As commercial loans and commercial real estate loans are approved for modifications related to COVID-19, loan officers and credit department personnel review and reassign loan grades. Investor-owned commercial real estate loans in the hotel and retail sectors have been significantly affected by the pandemic, and borrowers may seek further payment deferrals during the fourth quarter of 2020 as their initial payment deferrals expire. The Company will assess any further payment deferral requests considering collateral values, the financial condition of any guarantors, and the expected collectibility of contractual principal and interest payments. Loan-to-collateral values on these investor-owned loans are generally relatively low and oftentimes the loans include some form of recourse. To the extent borrowers with residential real estate loans begin to request COVID-19 related payment deferrals in the fourth quarter that will result in aggregate deferrals greater than 180 days, such loans will also be reviewed for expected collectibility.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74" w:name="page75"/>
    <w:bookmarkEnd w:id="74"/>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Loan officers in different geographic locations with the support of the Company’s credit department personnel review and reassign loan grades based on their detailed knowledge of individual borrowers and the regions in which they operate. The Company re-assessed its loan grades for those borrowers most impacted by COVID-19 in 2020 and expects that loans will continue to be re-graded in subsequent periods as more information becomes available. At least annually, however,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spacing w:after="0" w:line="78"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September 30, 2020, approximately 60% of the Company’s home equity portfolio consisted of first lien loans and lines of credit. Of the remaining junior lien loans in the portfolio, approximately 61% (or approximately 24%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September 30, 2020, approximately 84% of all outstanding balances of home equity lines of credit related to lines that were still in the draw period, the weighted-average remaining draw periods were approximately six years, and approximately 7% were making contractually allowed payments that do not include any repayment of principal.</w:t>
      </w:r>
    </w:p>
    <w:p>
      <w:pPr>
        <w:spacing w:after="0" w:line="78"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6"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September 30, 2020, June 30, 2020 and January 1, 2020 included utilizing macro-economic assumptions to project losses over a two-year reasonable and supportable forecast period. Subsequent to the forecast period, the Company reverted to longer-term historical loss experience, over a period of</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75" w:name="page76"/>
    <w:bookmarkEnd w:id="75"/>
    <w:p>
      <w:pPr>
        <w:jc w:val="both"/>
        <w:spacing w:after="0" w:line="243" w:lineRule="auto"/>
        <w:rPr>
          <w:sz w:val="20"/>
          <w:szCs w:val="20"/>
          <w:color w:val="auto"/>
        </w:rPr>
      </w:pPr>
      <w:r>
        <w:rPr>
          <w:rFonts w:ascii="Times New Roman" w:cs="Times New Roman" w:eastAsia="Times New Roman" w:hAnsi="Times New Roman"/>
          <w:sz w:val="21"/>
          <w:szCs w:val="21"/>
          <w:color w:val="auto"/>
        </w:rPr>
        <w:t>one year, to estimate expected credit losses over the remaining contractual life. Forward-looking estimates of certain macro-economic variables are determined by the M&amp;T Scenario Development Group, which is comprised of senior management business leaders and economists. Changes in the forecasted economic assumptions from January 1, 2020 to September 30, 2020 primarily reflect the projected impact of the COVID-19 pandemic. The assumptions utilized as of September 30, 2020 included an increase in the unemployment rate in the fourth quarter of 2020 to approximately 10% from 8% at the end of the third quarter of 2020, followed by a sustained high single-digit unemployment rate through 2022. The forecast also assumed gross domestic product to contract nearly 5.1% in 2020 and to then recover to pre-pandemic levels by the third quarter of 2022. Commercial real estate prices were assumed to decline by 17% in 2020, followed by improvement. Residential real estate prices were not assumed to fluctuate significantly. The assumptions utilized at June 30, 2020 include a decline in the unemployment rate in the third quarter of 2020 to approximately 9% from a peak of nearly 14% in the second quarter of 2020, followed by a sustained high single-digit unemployment rate through 2022. The forecast also assumed gross domestic product to contract nearly 7% in 2020 and then to recover to pre-pandemic levels by the second quarter of 2022. Residential real estate prices were not assumed to fluctuate significantly. The forecast at March 31, 2020 reflected a sharp contraction of economic activity in the second quarter of 2020 resulting in a projected unemployment rate of 9.3% and an annualized rate of decrease in gross domestic product as low as 26.1% with a decrease of 2.9% during 2020. The forecast utilized as of March 31 contemplated a significant economic recovery beginning in the third quarter of 2020. The assumptions utilized as of January 1, 2020 at the time of adoption of the expected credit loss accounting standard were significantly less severe. Those assumptions anticipated unemployment rates that averaged under 4% and steady growth in gross domestic product of 3.3% over the eight quarter forecast period. Forecasted changes in real estate prices as of that date were not significant. The assumptions utilized were based on information available to the Company at or near September 30, June 30, March 31 and January 1, 2020 at the time it was preparing its estimate of expected credit losses as of those dates.</w:t>
      </w:r>
    </w:p>
    <w:p>
      <w:pPr>
        <w:spacing w:after="0" w:line="78"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In establishing the allowance for credit losses the Company also considers the impact of portfolio concentrations, changes in underwriting practices, product expansions into new markets, imprecision in its economic forecasts, geopolitical conditions and other risk factors that influence its loss estimation process. Geopolitical conditions assessed at the end of each quarter in 2020 included the potential impact of COVID-19 on economic activity that could influence the ability of customers to repay loan amounts in accordance with their contractual obligations. With respect to economic forecasts the Company assessed the likelihood of alternative economic scenarios during the two-year reasonable and supportable time period and of more negative or positive outcomes on its allowance for credit losses. Economic forecasts have changed rapidly in the recent past due to the uncertain impacts of COVID-19. Generally, an increase in unemployment rate or a decrease in any of the rate of change in gross domestic product, commercial real estate prices or home prices would have an adverse impact on expected credit losses and would likely result in an increase to the allowance for credit losses.</w:t>
      </w:r>
    </w:p>
    <w:p>
      <w:pPr>
        <w:spacing w:after="0" w:line="83" w:lineRule="exact"/>
        <w:rPr>
          <w:sz w:val="20"/>
          <w:szCs w:val="20"/>
          <w:color w:val="auto"/>
        </w:rPr>
      </w:pPr>
    </w:p>
    <w:p>
      <w:pPr>
        <w:jc w:val="both"/>
        <w:ind w:right="20" w:firstLine="510"/>
        <w:spacing w:after="0" w:line="270" w:lineRule="auto"/>
        <w:rPr>
          <w:sz w:val="20"/>
          <w:szCs w:val="20"/>
          <w:color w:val="auto"/>
        </w:rPr>
      </w:pPr>
      <w:r>
        <w:rPr>
          <w:rFonts w:ascii="Times New Roman" w:cs="Times New Roman" w:eastAsia="Times New Roman" w:hAnsi="Times New Roman"/>
          <w:sz w:val="21"/>
          <w:szCs w:val="21"/>
          <w:color w:val="auto"/>
        </w:rPr>
        <w:t>Further information about the Company’s methodology to estimate expected credit losses is included in note 3 of Notes to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76" w:name="page77"/>
    <w:bookmarkEnd w:id="76"/>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Management believes that the allowance for credit losses at September 30, 2020 appropriately reflected expected credit losses inherent in the portfolio as of that date. The allowance for credit losses totaled $1.76 billion at September 30, 2020, compared with $1.18 billion on January 1, 2020 when the new accounting pronouncement became effective. The increases in the allowance for credit losses during each of the quarters of 2020 were primarily the result of forecasted economic conditions as a result of the COVID-19 pandemic and the expected impact of such conditions on borrowers’ abilities to repay loans. The allowance for credit losses totaled $1.04 billion at September 30, 2019, and $1.05 billion at December 31, 2019. As a percentage of loans and leases outstanding, the allowance was 1.79% at September 30, 2020, compared with 1.68% at June 30, 2020, 1.30% at January 1, 2020 and 1.16% at each of September 30, 2019 and December 31, 2019. Excluding the impact of $6.5 billion of government-guaranteed PPP loans originated by the Company in the second quarter of 2020, the allowance as a percentage of total loans and leases at September 30, 2020 was 1.91%. The level of the allowance reflects management’s evaluation of the loan and lease portfolio using the methodology and considering the factors previously referred to.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Income</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Other income totaled $521 million in the third quarter of 2020, compared with $528 million in the year-earlier quarter and $487 million in the second quarter of 2020. As compared with the third quarter of 2019, the recent quarter’s higher residential mortgage banking revenues and trust income were more than offset by lower service charges on deposit accounts and trading account and foreign exchange gains. The recent quarter’s improvement as compared with the second quarter of 2020 predominantly reflects higher service charges on deposit accounts, residential mortgage banking revenues and merchant discount and credit card fees.</w:t>
      </w:r>
    </w:p>
    <w:p>
      <w:pPr>
        <w:spacing w:after="0" w:line="75"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20"/>
          <w:szCs w:val="20"/>
          <w:color w:val="auto"/>
        </w:rPr>
        <w:t>Mortgage banking revenues were $153 million in the recent quarter, up from $137 million in the third quarter of 2019 and $145 million in the second 2020 quarter.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57"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$119 million in the third quarter of 2020, $88 million in the similar quarter of 2019 and $111 million in the second quarter of 2020. As compared with the earlier quarters, the higher residential mortgage banking revenues in the recent quarter resulted from increased gains associated with loans held for sale and related commitments, reflecting higher origination volumes and improved margins.</w:t>
      </w:r>
    </w:p>
    <w:p>
      <w:pPr>
        <w:spacing w:after="0" w:line="75"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New commitments to originate residential real estate loans to be sold were approximately $1.2 billion in the third quarter of 2020, compared with $835 million in the year-earlier quarter and $1.1 billion in the second quarter of 2020.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$64 million in the third quarter of 2020, $23 million in the corresponding period of 2019 and $52 million in 2020’s second quarter.</w:t>
      </w:r>
    </w:p>
    <w:p>
      <w:pPr>
        <w:spacing w:after="0" w:line="75" w:lineRule="exact"/>
        <w:rPr>
          <w:sz w:val="20"/>
          <w:szCs w:val="20"/>
          <w:color w:val="auto"/>
        </w:rPr>
      </w:pPr>
    </w:p>
    <w:p>
      <w:pPr>
        <w:jc w:val="both"/>
        <w:ind w:firstLine="510"/>
        <w:spacing w:after="0" w:line="262" w:lineRule="auto"/>
        <w:rPr>
          <w:sz w:val="20"/>
          <w:szCs w:val="20"/>
          <w:color w:val="auto"/>
        </w:rPr>
      </w:pPr>
      <w:r>
        <w:rPr>
          <w:rFonts w:ascii="Times New Roman" w:cs="Times New Roman" w:eastAsia="Times New Roman" w:hAnsi="Times New Roman"/>
          <w:sz w:val="20"/>
          <w:szCs w:val="20"/>
          <w:color w:val="auto"/>
        </w:rPr>
        <w:t>Loans held for sale that were secured by residential real estate aggregated $571 million at September 30, 2020, $391 million at September 30, 2019 and $414 million at December 31, 2019. Commitments to sell residential real estate loans and commitments to originate residential real estate loans for sale at pre-determined rates totaled $1.34 billion and $1.13 billion, respectively, at September 30, 2020, compared with $759 million and $530 million, respectively, at September 30, 2019 and $713 million and $423 million, respectively, at December 31, 2019. Net recognized unrealized gains on residential real estate loans held for sale, commitments to sell loans, and commitments to originate loans for sale were $59 million at September 30, 2020 and $12 million at each 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77" w:name="page78"/>
    <w:bookmarkEnd w:id="77"/>
    <w:p>
      <w:pPr>
        <w:jc w:val="both"/>
        <w:spacing w:after="0" w:line="255" w:lineRule="auto"/>
        <w:rPr>
          <w:sz w:val="20"/>
          <w:szCs w:val="20"/>
          <w:color w:val="auto"/>
        </w:rPr>
      </w:pPr>
      <w:r>
        <w:rPr>
          <w:rFonts w:ascii="Times New Roman" w:cs="Times New Roman" w:eastAsia="Times New Roman" w:hAnsi="Times New Roman"/>
          <w:sz w:val="21"/>
          <w:szCs w:val="21"/>
          <w:color w:val="auto"/>
        </w:rPr>
        <w:t>September 30, 2019 and December 31, 2019. Changes in net unrealized gains or losses are recorded in mortgage banking revenues and resulted in net increases in revenues of $15 million in the recent quarter, $2 million in the third quarter of 2019 and $26 million in the second quarter of 2020.</w:t>
      </w:r>
    </w:p>
    <w:p>
      <w:pPr>
        <w:spacing w:after="0" w:line="67"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Revenues from servicing residential real estate loans for others were $55 million during the quarter ended September 30, 2020, compared with $65 million and $59 million during the three months ended September 30, 2019 and June 30, 2020, respectively. Residential real estate loans serviced for others totaled $94.9 billion at September 30, 2020, $98.3 billion at September 30, 2019 and $95.1 billion at each of June 30, 2020 and December 31, 2019. Reflected in residential real estate loans serviced for others were loans sub-serviced for others of $67.0 billion, $65.1 billion, $62.8 billion and $64.7 billion at September 30, 2020, September 30, 2019, December 31, 2019 and June 30, 2020, respectively. Revenues earned for sub-servicing loans totaled $30 million during the recent quarter, $33 million in the third quarter of 2019 and $34 million in the second quarter of 2020. During 2020, the Company added loans to its residential mortgage loan sub-servicing portfolio totaling approximately $2.0 billion in the first quarter, $6.9 billion in the second quarter and $7.0 billion in the third quarter. The contractual servicing rights associated with loans sub-serviced by the Company were predominantly held by affiliates of BLG. Information about the Company’s relationship with BLG and its affiliates is included in note 14 of Notes to Financial Statements.</w:t>
      </w:r>
    </w:p>
    <w:p>
      <w:pPr>
        <w:spacing w:after="0" w:line="80"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Capitalized residential mortgage servicing assets totaled $202 million at September 30, 2020 (net of a $27 million valuation allowance), $226 million at September 30, 2019 (net of a $23 million valuation allowance), $237 million at December 31, 2019 (net of a $7 million valuation allowance) and $211 million at June 30, 2020 (net of a $27 million valuation allowance). Provisions for impairment of capitalized residential mortgage servicing rights of $10 million and $14 million were recorded in the second quarter of 2020 and the third quarter of 2019, respectively. Those provisions resulted from changes in the estimated fair value of capitalized mortgage servicing rights that reflected the impact of lower interest rates on the expected rate of residential mortgage loan prepayments. There was no similar provision in the third quarter of 2020.</w:t>
      </w:r>
    </w:p>
    <w:p>
      <w:pPr>
        <w:spacing w:after="0" w:line="76"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Commercial mortgage banking revenues totaled $34 million in each of the third and second quarters of 2020 and $49 million in the third quarter of 2019. Included in such amounts were revenues from loan origination and sales activities of $19 million in each of the two most recent quarters and $32 million in 2019’s third quarter. Commercial real estate loans originated for sale to other investors were approximately $785 million in the recent quarter, compared with $1.5 billion in the third quarter of 2019 and $729 million in the second quarter of 2020. Loan servicing revenues totaled $15 million in each of the third and second quarters of 2020, compared with $17 million in the third quarter of 2019. Capitalized commercial mortgage servicing assets were $129 million and $128 million at September 30, 2020 and 2019, respectively, and $131 million at December 31, 2019. Commercial real estate loans serviced for other investors totaled $21.7 billion at September 30, 2020, $20.5 billion at September 30, 2019 and $21.0 billion at December 31, 2019. Those servicing amounts included $3.9 billion at each of September 30, 2020 and December 31, 2019 and $3.8 billion at September 30, 2019 of loan balances for which investors had recourse to the Company if such balances are ultimately uncollectible. Commitments to sell commercial real estate loans and commitments to originate commercial real estate loans for sale were $552 million and $216 million, respectively, at September 30, 2020, $591 million and $393 million, respectively, at September 30, 2019 and $193 million and $164 million, respectively, at December 31, 2019. Commercial real estate loans held for sale at September 30, 2020, September 30, 2019 and December 31, 2019 were $336 million, $197 million and $28 million, respectively.</w:t>
      </w:r>
    </w:p>
    <w:p>
      <w:pPr>
        <w:spacing w:after="0" w:line="87"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Service charges on deposit accounts were $91 million and $111 million in the third quarters of 2020 and 2019, respectively, and $77 million in the second quarter of 2020. The declines in such service charges in the two most recent quarters as compared with the third quarter of 2019 resulted from lower consumer service charges, predominantly resulting from COVID-19 related fee waivers and lower customer transaction activity, and decreased commercial service charges, largely due to higher customer deposit levels that can be used by those customers to offset transaction-related fees. The improvement from the second to the third quarter of 2020 reflects increased customer transaction activity and the re-establishment of ATM fees.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78" w:name="page79"/>
    <w:bookmarkEnd w:id="78"/>
    <w:p>
      <w:pPr>
        <w:jc w:val="both"/>
        <w:ind w:firstLine="510"/>
        <w:spacing w:after="0" w:line="242" w:lineRule="auto"/>
        <w:rPr>
          <w:sz w:val="20"/>
          <w:szCs w:val="20"/>
          <w:color w:val="auto"/>
        </w:rPr>
      </w:pPr>
      <w:r>
        <w:rPr>
          <w:rFonts w:ascii="Times New Roman" w:cs="Times New Roman" w:eastAsia="Times New Roman" w:hAnsi="Times New Roman"/>
          <w:sz w:val="21"/>
          <w:szCs w:val="21"/>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offers personal trust, planning, fiduciary, asset management, family office and other services designed to help high net worth individuals and families grow, preserve and transfer wealth. A comprehensive array of wealth management services are offered, including asset management, fiduciary services and family office services. Trust income aggregated $150 million in the third quarter of 2020, compared with $144 million in the year-earlier quarter and $152 million in the second quarter of 2020. Revenues associated with the ICS business were approximately $87 million during the quarter ended September 30, 2020, compared with $79 million and $85 million during the quarters ended September 30, 2019 and June 30, 2020, respectively. The higher revenues in the two most recent quarters as compared with the third quarter of 2019 reflect the impact of higher sales activities and increased retirement services income resulting from growth in collective fund balances. Revenues attributable to WAS totaled approximately $57 million during each of the three-month periods ended September 30, 2020 and 2019 and $60 million for the three-month period ended June 30, 2020. The lower revenues in the recent quarter as compared with the 2020 second quarter were largely attributable to annual tax service fees in the second quarter earned for assisting customers with their tax filings. Trust assets under management were $123.4 billion, $107.0 billion, $114.4 billion and $113.0 billion at September 30, 2020, September 30, 2019, June 30, 2020 and December 31, 2019, respectively. Trust assets under management include the Company’s proprietary mutual funds’ assets of $12.5 billion, $12.3 billion, $12.6 billion and $12.5 billion at September 30, 2020, September 30, 2019, June 30, 2020 and December 31, 2019, respectively. Additional trust income from investment management activities was $6 million and $8 million in the third quarters of 2020 and 2019, respectively, and $7 million in the second 2020 quarter, and is predominantly comprised of fees earned from retail customer investment accounts.</w:t>
      </w:r>
    </w:p>
    <w:p>
      <w:pPr>
        <w:spacing w:after="0" w:line="98"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Brokerage services income, which includes revenues from the sale of mutual funds and annuities and securities brokerage fees, totaled $12 million in each of the third quarters of 2020 and 2019 and $10 million in the second quarter of 2020. Trading account and foreign exchange activity resulted in gains of $4 million, $16 million and $8 million during the quarters ended September 30, 2020, September 30, 2019 and June 30, 2020, respectively. The lower gains in the two most recent quarters as compared with the third quarter of 2019 were predominantly due to decreased activity related to interest rate swap agreements executed on behalf of commercial customers.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9 of Notes to Financial Statements and herein under the heading “Taxable-equivalent Net Interest Income.”</w:t>
      </w:r>
    </w:p>
    <w:p>
      <w:pPr>
        <w:spacing w:after="0" w:line="83"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The Company recognized net gains on investment securities of $3 million in the recent quarter, $4 million in the third quarter of 2019 and $7 million in the second quarter of 2020. The gains represented unrealized gains on investments in Fannie Mae and Freddie Mac preferred stock.</w:t>
      </w:r>
    </w:p>
    <w:p>
      <w:pPr>
        <w:spacing w:after="0" w:line="67"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Other revenues from operations were $108 million in the third quarter of 2020, compared with $104 million in the corresponding 2019 period and $87 million in the second quarter of 2020. Contributing to the increase in such revenues in the recent quarter as compared with the immediately preceding quarter were higher transaction-based merchant discount and credit card fees, credit-related fees, and other miscellaneous income. Included in other revenues from operations were the following significant components. Letter of credit and other credit-related fees aggregated $27 million in the recent quarter, $28 million in the year-earlier quarter and $25 million in the second quarter of 2020. Revenues from merchant discount and credit card fees were $28 million in the third quarter of 2020, compared with $31 million in the year-earlier quarter and $23 million in the second 2020 quarter. Tax-exempt income from bank owned life insurance, which includes increases in the cash surrender value of life insurance policies and benefits received, totaled $12 million in each of the third quarters of 2020 and 2019 and $13 million in the second quarter of 2020. Insurance-related sales commissions and other revenues totaled $11 million in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1"/>
          <w:szCs w:val="21"/>
          <w:color w:val="auto"/>
        </w:rPr>
        <w:t>quarter ended September 30, 2020, compared with $10 million in each of 2019’s third quarter and the second quarter of 2020.</w:t>
      </w:r>
    </w:p>
    <w:p>
      <w:pPr>
        <w:spacing w:after="0" w:line="110"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Other income totaled $1.54 billion during each of the first nine months of 2020 and 2019. Higher mortgage banking revenues and trust income in 2020 were offset by decreases in service charges on deposit accounts, trading account and foreign exchange gains, income from BLG and merchant discount and credit card fees, and unrealized losses on investment securities.</w:t>
      </w:r>
    </w:p>
    <w:p>
      <w:pPr>
        <w:spacing w:after="0" w:line="67"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Mortgage banking revenues totaled $426 million during the first nine months of 2020, compared with $340 million during the similar period in 2019. Residential mortgage banking revenues aggregated $329 million and $226 million during the nine-month periods ended September 30, 2020 and 2019, respectively. New commitments to originate residential real estate loans to be sold aggregated $3.3 billion and $2.0 billion in the initial nine months of 2020 and 2019, respectively. Realized gains from sales of residential real estate loans and loan servicing rights and recognized unrealized gains and losses on residential real estate loans held for sale, commitments to originate loans for sale and commitments to sell loans aggregated to gains of $148 million and $46 million in the nine-month periods ended September 30, 2020 and 2019, respectively. Revenues from servicing residential real estate loans for others were $181 million in the first nine months of 2020 and $180 million in the corresponding 2019 period. Included in servicing revenues were sub-servicing revenues aggregating $101 million and $90 million in the first nine months of 2020 and 2019, respectively. For the nine months ended September 30, commercial mortgage banking revenues were $98 million and $114 million in 2020 and 2019, respectively. Commercial real estate loans originated for sale to other investors totaled $2.2 billion and $3.3 billion during the nine-month periods ended September 30, 2020 and 2019, respectively.</w:t>
      </w:r>
    </w:p>
    <w:p>
      <w:pPr>
        <w:spacing w:after="0" w:line="78"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Service charges on deposit accounts aggregated $275 million during the first nine month of 2020, compared with $322 million in the year-earlier period. That decline was predominantly due to lower consumer service charges resulting from the impact of the pandemic, reflecting waived fees and lower customer transaction activity. Trust income totaled $451 million and $421 million during the first nine months of 2020 and 2019, respectively. The increase in trust income in 2020 as compared with 2019 was largely due to higher revenues from the ICS business, reflecting both sales activities and higher retirement services income from growth in collective fund balances. Brokerage services income totaled $35 million in the first nine months of 2020, compared with $37 million in the nine-month period ended September 30, 2019. Trading account and foreign exchange activity resulted in gains of $33 million and $45 million in the first nine months of 2020 and 2019, respectively. The lower gains in 2020 were predominantly due to decreased activity related to interest rate swap agreements executed on behalf of commercial customers.</w:t>
      </w:r>
    </w:p>
    <w:p>
      <w:pPr>
        <w:spacing w:after="0" w:line="76"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Net unrealized losses on investment securities totaling $11 million were recognized during the first nine months of 2020, compared with net unrealized gains of $24 million in the corresponding 2019 period.</w:t>
      </w:r>
    </w:p>
    <w:p>
      <w:pPr>
        <w:spacing w:after="0" w:line="51"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Other revenues from operations totaled $328 million in the first nine months of 2020, compared with $351 million in the year-earlier period. Other revenues from operations include the following significant components. Letter of credit and other credit-related fees aggregated $83 million and $81 million in 2020 and 2019, respectively. Income from bank owned life insurance totaled $37 million in the first nine months of 2020, compared with $38 million in the corresponding 2019 period. Merchant discount and credit card fees were $80 million and $89 million in the first nine months of 2020 and 2019, respectively. Insurance-related commissions and other revenues aggregated $36 million in each of 2020 and 2019. M&amp;T’s investment in BLG resulted in income of $23 million in the first nine months of 2020 and $37 million in the similar 2019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1"/>
          <w:szCs w:val="21"/>
          <w:b w:val="1"/>
          <w:bCs w:val="1"/>
          <w:color w:val="auto"/>
        </w:rPr>
        <w:t>Other Expense</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Other expense totaled $827 million in the third quarter of 2020, compared with $878 million in the year-earlier quarter and $807 million in the second quarter of 2020. Included in those amounts are expenses considered to be “nonoperating” in nature consisting of amortization of core deposit and other intangible assets of $4 million in each of the two most recent quarters and $5 million in the third quarter of 2019. Exclusive of those nonoperating expenses, noninterest operating expenses were $823 million in the recent quarter, compared with $873 million in the third quarter of 2019 and $803 million in the second 2020 quarter. The lower level of expenses in the recent quarter as compared with the third quarter of 2019 was largely attributable to lower costs for professional and outside services, advertising and marketing, and travel and entertainment. The last two categories reflect reduced business activities associated with the COVID-19 pandemic. Additionally, the third quarter of 2019 included a $14 million addition to the valuation allowance for capitalized mortgage servicing rights. There was no similar expense in the recent quarter. As compared with the second quarter of 2020, higher salaries and employee benefits in the recent quarter contributed to the increased expenses, partially offset by a $10 million addition to the valuation allowance for capitalized mortgage servicing rights recognized in the second quarter of 2020. Table 2 provides a reconciliation of other expense to noninterest operating expense.</w:t>
      </w:r>
    </w:p>
    <w:p>
      <w:pPr>
        <w:spacing w:after="0" w:line="78"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Other expense for the first nine months of 2020 totaled $2.54 billion, compared with $2.64 billion in the year-earlier period. Included in those amounts are expenses considered to be “nonoperating” in nature consisting of amortization of core deposit and other intangible assets of $12 million and $15 million in the nine-month periods ended September 30, 2020 and 2019, respectively. Exclusive of those nonoperating expenses, noninterest operating expenses for the first three quarters of 2020 were $2.53 billion, compared with $2.63 billion in the similar 2019 period. The decline in noninterest operating expenses was largely attributable to a $48 million charge recorded in the second quarter of 2019 to reduce the carrying value of an investment in an asset manager that had been accounted for using the equity method of accounting to its estimated realizable value. The sale of that investment was completed in September 2019. Also contributing to the decline were lower costs for legal-related matters and professional and outside services, partially offset by higher salaries and employee benefits expenses in the 2020 period.</w:t>
      </w:r>
    </w:p>
    <w:p>
      <w:pPr>
        <w:spacing w:after="0" w:line="76"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Salaries and employee benefits expense totaled $479 million in the third quarter of 2020, compared with $477 million in the year-earlier quarter and $459 million in the second quarter of 2020. The increase in salaries and employee benefits expense in the recent quarter as compared with the second quarter of 2020 was predominantly due to higher incentive compensation, resulting in part from increased business activities and one more business day. During the first nine months of 2020 and 2019, salaries and employee benefits expense aggregated $1.47 billion and $1.43 billion, respectively. The higher expense level in 2020 largely reflects the impact of merit and other increases for employees and increased employee benefit costs, partially offset by lower incentive compensation costs. Salaries and employee benefits expense included stock-based compensation of $12 million in each of the three-month periods ended September 30, 2020 and September 30, 2019 and $13 million in the three-month period ended June 30, 2020, and $69 million and $65 million during the nine-month periods ended September 30, 2020 and 2019, respectively. The number of full-time equivalent employees was 16,980 at September 30, 2020, compared with 17,536 and 17,098 at September 30, 2019 and June 30, 2020, respectively.</w:t>
      </w:r>
    </w:p>
    <w:p>
      <w:pPr>
        <w:spacing w:after="0" w:line="80"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Excluding the nonoperating expense items described earlier from each quarter, nonpersonnel operating expenses were $344 million in each of the quarters ended September 30, 2020 and June 30, 2020 and $396 million in the quarter ended September 30, 2019. On that same basis, such expenses were $1.05 billion and $1.20 billion in the nine-month periods ended September 30, 2020 and 2019, respectively. The decline in nonpersonnel expenses in the recent quarter as compared with the third quarter of 2019 reflects lower costs for professional and outside services, advertising and marketing, and travel and entertainment. The decline in nonpersonnel operating expenses in the first nine months of 2020 as compared with the similar 2019 period reflected the $48 million charge related to the asset manager investment in the second quarter of 2019 and reduced costs for legal-related matters, professional services, advertising and marketing, and travel and entertainment.</w:t>
      </w:r>
    </w:p>
    <w:p>
      <w:pPr>
        <w:spacing w:after="0" w:line="80"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The efficiency ratio measures the relationship of noninterest operating expenses to revenues. The Company’s efficiency ratio was 56.2% during the recent quarter, compared with 56.0% and 55.7% in the third quarter of 2019</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1" w:name="page82"/>
    <w:bookmarkEnd w:id="81"/>
    <w:p>
      <w:pPr>
        <w:jc w:val="both"/>
        <w:spacing w:after="0" w:line="270" w:lineRule="auto"/>
        <w:rPr>
          <w:sz w:val="20"/>
          <w:szCs w:val="20"/>
          <w:color w:val="auto"/>
        </w:rPr>
      </w:pPr>
      <w:r>
        <w:rPr>
          <w:rFonts w:ascii="Times New Roman" w:cs="Times New Roman" w:eastAsia="Times New Roman" w:hAnsi="Times New Roman"/>
          <w:sz w:val="21"/>
          <w:szCs w:val="21"/>
          <w:color w:val="auto"/>
        </w:rPr>
        <w:t>and second quarter of 2020, respectively. The efficiency ratios for the nine-month periods ended September 30, 2020 and 2019 were 57.0% and 56.5%, respectively. The calculation of the efficiency ratio is presented in Table 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Income Taxes</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provision for income taxes was $115 million in the third quarter of 2020, compared with $155 million and $71 million in the year-earlier quarter and the second quarter of 2020, respectively. For the nine-month periods ended September 30, 2020 and 2019, the provisions for income taxes were $267 million and $459 million, respectively. The effective tax rates were 23.6%, 24.4% and 22.8% for the quarters ended September 30, 2020, September 30, 2019 and June 30, 2020, respectively, and 23.2% and 24.2% for the nine-month periods ended September 30, 2020 and 2019, respectively.</w:t>
      </w:r>
    </w:p>
    <w:p>
      <w:pPr>
        <w:spacing w:after="0" w:line="75"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Capital</w:t>
      </w:r>
    </w:p>
    <w:p>
      <w:pPr>
        <w:spacing w:after="0" w:line="11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Shareholders’ equity was $16.1 billion at September 30, 2020, representing 11.61% of total assets, compared with $15.8 billion or 12.57% a year earlier and $15.7 billion or 13.11% at December 31, 2019.</w:t>
      </w:r>
    </w:p>
    <w:p>
      <w:pPr>
        <w:spacing w:after="0" w:line="5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Included in shareholders’ equity was preferred stock with financial statement carrying values of $1.25 billion at each of September 30, 2020, September 30, 2019 and December 31, 2019.</w:t>
      </w:r>
    </w:p>
    <w:p>
      <w:pPr>
        <w:spacing w:after="0" w:line="51"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Common shareholders’ equity was $14.9 billion, or $115.75 per share, at September 30, 2020, compared with $14.5 billion, or $109.84 per share, a year earlier and $14.5 billion, or $110.78 per share, at December 31, 2019. Tangible equity per common share, which excludes goodwill and core deposit and other intangible assets and applicable deferred tax balances, was $79.85 at the end of the recent quarter, compared with $74.93 at September 30, 2019 and $75.44 at December 31, 2019. The Company’s ratio of tangible common equity to tangible assets was 7.64% at September 30, 2020, compared with 8.20% a year earlier and 8.55% at December 31, 2019. Reconciliations of total common shareholders’ equity and tangible common equity and total assets and tangible assets as of each of those respective dates are presented in table 2.</w:t>
      </w:r>
    </w:p>
    <w:p>
      <w:pPr>
        <w:spacing w:after="0" w:line="76"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Shareholders’ equity reflects accumulated other comprehensive income or loss, which includes the net after-tax impact of unrealized gains or losses on investment securities classified as available for sale, remaining unrealized losses on held-to-maturity securities transferred from available for sale that have not yet been amortized,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reflected in shareholders’ equity, net of applicable tax effect, were $152 million, or $1.18 per common share, at September 30, 2020, $30 million, or $.22 per common share, at September 30, 2019 and $37 million, or $.29 per common share, at December 31, 2019. Changes in unrealized gains and losses on investment securities are predominantly reflective of the impact of changes in interest rates on the values of such securities. Information about unrealized gains and losses as of September 30, 2020 and December 31, 2019 is included in note 2 of Notes to Financial Statements.</w:t>
      </w:r>
    </w:p>
    <w:p>
      <w:pPr>
        <w:spacing w:after="0" w:line="83"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Reflected in the carrying amount of available-for-sale investment securities at September 30, 2020 were pre-tax effect unrealized gains of $223 million on securities with an amortized cost of $4.9 billion and pre-tax effect unrealized losses of $11 million on securities with an amortized cost of $159 million. Information concerning the Company’s fair valuations of investment securities is provided in notes 2 and 11 of Notes to Financial Statements.</w:t>
      </w:r>
    </w:p>
    <w:p>
      <w:pPr>
        <w:spacing w:after="0" w:line="70"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Each reporting period the Company reviews its available-for-sale investment securities for declines in value that might be indicative of credit-related losses through an analysis of the creditworthiness of the issuer or the credit performance of the underlying collateral supporting the bond. If the Company does not expect to recover the entire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82" w:name="page83"/>
    <w:bookmarkEnd w:id="82"/>
    <w:p>
      <w:pPr>
        <w:jc w:val="both"/>
        <w:spacing w:after="0" w:line="248" w:lineRule="auto"/>
        <w:rPr>
          <w:sz w:val="20"/>
          <w:szCs w:val="20"/>
          <w:color w:val="auto"/>
        </w:rPr>
      </w:pPr>
      <w:r>
        <w:rPr>
          <w:rFonts w:ascii="Times New Roman" w:cs="Times New Roman" w:eastAsia="Times New Roman" w:hAnsi="Times New Roman"/>
          <w:sz w:val="21"/>
          <w:szCs w:val="21"/>
          <w:color w:val="auto"/>
        </w:rPr>
        <w:t>amortized cost basis of a debt security a credit loss is recognized and such loss would be recognized in the consolidated statement of income. Beginning January 1, 2020, an allowance for credit losses would reduce the carrying value of available-for-sale investment securities. Previously if a credit-related loss was deemed to have occurred, the investment security’s cost basis was adjusted, as appropriate for the circumstances. A loss is also recognized in the consolidated statement of income if the Company intends to sell a bond or it more likely than not will be required to sell a bond before recovery of the amortized cost basis.</w:t>
      </w:r>
    </w:p>
    <w:p>
      <w:pPr>
        <w:spacing w:after="0" w:line="75"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20"/>
          <w:szCs w:val="20"/>
          <w:color w:val="auto"/>
        </w:rPr>
        <w:t>As of September 30, 2020, based on a review of each of the securities in the available-for-sale investment securities portfolio, the Company concluded that it expected to realize the amortized cost basis of each security. As of September 30, 2020, the Company did not intend to sell nor is it anticipated that it would be required to sell any securities for which fair value was less than the amortized cost basis of the security. The Company intends to continue to closely monitor the performance of its securities because changes in their underlying credit performance or other events could cause the amortized cost basis of those securities to become uncollectible.</w:t>
      </w:r>
    </w:p>
    <w:p>
      <w:pPr>
        <w:spacing w:after="0" w:line="58"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20"/>
          <w:szCs w:val="20"/>
          <w:color w:val="auto"/>
        </w:rPr>
        <w:t>On January 1, 2020 the Company adopted amended accounting guidance that requires investment securities held to maturity to be presented at their net carrying value that is expected to be collected over their contractual term. The Company estimated no material allowance for credit losses for its investment securities classified as held-to-maturity at January 1, 2020 and September 30, 2020 as the substantial majority of such investment securities were obligations backed by the U.S. government or its agencies. The Company assessed the potential for expected credit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September 30, 2020 and December 31, 2019, the Company had in its held-to-maturity portfolio privately issued mortgage-backed securities with an amortized cost basis of $80 million and $93 million, respectively, and a fair value of $73 million and $87 million, respectively. At September 30, 2020, 82% of the mortgage-backed securities were in the most senior tranche of the securitization structure with 14% being independently rated as investment grade. The mortgage-backed securities are generally collateralized by residential and small-balance commercial real estate loans originated between 2004 and 2008. Given the securitization structure, some of the bonds held by the Company may defer interest payments in certain circumstances, but after considering the repayment structure and estimated future collateral cash flows of each individual bond, the Company has concluded that as of September 30, 2020, it expected to recover the amortized cost basis of those privately issued mortgage-backed securities. Nevertheless, it is possible that adverse changes in the estimated future performance of mortgage loan collateral underlying such securities could impact the Company’s conclusions.</w:t>
      </w:r>
    </w:p>
    <w:p>
      <w:pPr>
        <w:spacing w:after="0" w:line="6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Adjustments to reflect the funded status of defined benefit pension and other postretirement plans, net of applicable tax effect, reduced accumulated other comprehensive income by $315 million, or $2.46 per common share, at September 30, 2020, $252 million, or $1.91 per common share, at September 30, 2019 and $342 million, or $2.62 per common share, at December 31, 2019.</w:t>
      </w:r>
    </w:p>
    <w:p>
      <w:pPr>
        <w:spacing w:after="0" w:line="67"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Pursuant to previously approved capital plans and authorizations by M&amp;T’s Board of Directors, M&amp;T repurchased 2,577,000 shares of its common stock for $374 million in the first quarter of 2020. There were no repurchases of common stock in either of the two most recent quarters. In light of the COVID-19 pandemic impact on overall economic conditions and consistent with regulatory guidance, M&amp;T has ceased repurchasing its common stock for the time being and does not anticipate repurchasing any shares during the fourth quarter of 2020. M&amp;T repurchased 1,933,000 shares of its common stock for $300 million in the third quarter of 2019 and 6,533,000 shares for $1.07 billion during the first nine months of 2019.</w:t>
      </w:r>
    </w:p>
    <w:p>
      <w:pPr>
        <w:spacing w:after="0" w:line="75" w:lineRule="exact"/>
        <w:rPr>
          <w:sz w:val="20"/>
          <w:szCs w:val="20"/>
          <w:color w:val="auto"/>
        </w:rPr>
      </w:pPr>
    </w:p>
    <w:p>
      <w:pPr>
        <w:jc w:val="both"/>
        <w:ind w:firstLine="468"/>
        <w:spacing w:after="0" w:line="247" w:lineRule="auto"/>
        <w:rPr>
          <w:sz w:val="20"/>
          <w:szCs w:val="20"/>
          <w:color w:val="auto"/>
        </w:rPr>
      </w:pPr>
      <w:r>
        <w:rPr>
          <w:rFonts w:ascii="Times New Roman" w:cs="Times New Roman" w:eastAsia="Times New Roman" w:hAnsi="Times New Roman"/>
          <w:sz w:val="21"/>
          <w:szCs w:val="21"/>
          <w:color w:val="auto"/>
        </w:rPr>
        <w:t>M&amp;T’s Board of Directors authorized an increase in the quarterly common stock dividend to $1.10 per common share in the fourth quarter of 2019, up from the previous rate of $1.00 per common share. Cash dividends declared on M&amp;T’s common stock totaled $142 million during each of the quarters ended September 30, 2020 and June 30, 2020 and $133 million in the third quarter of 2019. Common stock dividends during the nine-month periods ended September 30, 2020 and 2019 were $427 million and $407 million, respectively. Cash dividends declared on preferred stock aggregated $17 million in each of the two most recent quarters and $19 million in the third quarter of</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1"/>
          <w:szCs w:val="21"/>
          <w:color w:val="auto"/>
        </w:rPr>
        <w:t>2019. Cash dividends on preferred stock totaled $51 million and $55 million during the nine months ended September 30, 2020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2019, respectively.</w:t>
      </w:r>
    </w:p>
    <w:p>
      <w:pPr>
        <w:spacing w:after="0" w:line="86" w:lineRule="exact"/>
        <w:rPr>
          <w:sz w:val="20"/>
          <w:szCs w:val="20"/>
          <w:color w:val="auto"/>
        </w:rPr>
      </w:pPr>
    </w:p>
    <w:p>
      <w:pPr>
        <w:ind w:firstLine="562"/>
        <w:spacing w:after="0" w:line="270" w:lineRule="auto"/>
        <w:rPr>
          <w:sz w:val="20"/>
          <w:szCs w:val="20"/>
          <w:color w:val="auto"/>
        </w:rPr>
      </w:pPr>
      <w:r>
        <w:rPr>
          <w:rFonts w:ascii="Times New Roman" w:cs="Times New Roman" w:eastAsia="Times New Roman" w:hAnsi="Times New Roman"/>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51" w:lineRule="exact"/>
        <w:rPr>
          <w:sz w:val="20"/>
          <w:szCs w:val="20"/>
          <w:color w:val="auto"/>
        </w:rPr>
      </w:pPr>
    </w:p>
    <w:p>
      <w:pPr>
        <w:ind w:left="740" w:hanging="368"/>
        <w:spacing w:after="0"/>
        <w:tabs>
          <w:tab w:leader="none" w:pos="7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 Common Equity Tier 1 (“CET1”) to risk-weighted assets (each as defined in the capital regulations);</w:t>
      </w:r>
    </w:p>
    <w:p>
      <w:pPr>
        <w:spacing w:after="0" w:line="109" w:lineRule="exact"/>
        <w:rPr>
          <w:rFonts w:ascii="Times New Roman" w:cs="Times New Roman" w:eastAsia="Times New Roman" w:hAnsi="Times New Roman"/>
          <w:sz w:val="21"/>
          <w:szCs w:val="21"/>
          <w:color w:val="auto"/>
        </w:rPr>
      </w:pPr>
    </w:p>
    <w:p>
      <w:pPr>
        <w:ind w:left="740" w:hanging="368"/>
        <w:spacing w:after="0" w:line="270" w:lineRule="auto"/>
        <w:tabs>
          <w:tab w:leader="none" w:pos="7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6.0% Tier 1 capital (that is, CET1 plus Additional Tier 1 capital) to risk-weighted assets (each as defined in the capital regulations);</w:t>
      </w:r>
    </w:p>
    <w:p>
      <w:pPr>
        <w:spacing w:after="0" w:line="50" w:lineRule="exact"/>
        <w:rPr>
          <w:rFonts w:ascii="Times New Roman" w:cs="Times New Roman" w:eastAsia="Times New Roman" w:hAnsi="Times New Roman"/>
          <w:sz w:val="21"/>
          <w:szCs w:val="21"/>
          <w:color w:val="auto"/>
        </w:rPr>
      </w:pPr>
    </w:p>
    <w:p>
      <w:pPr>
        <w:ind w:left="740" w:right="20" w:hanging="368"/>
        <w:spacing w:after="0" w:line="270" w:lineRule="auto"/>
        <w:tabs>
          <w:tab w:leader="none" w:pos="7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8.0% Total capital (that is, Tier 1 capital plus Tier 2 capital) to risk-weighted assets (each as defined in the capital regulations); and</w:t>
      </w:r>
    </w:p>
    <w:p>
      <w:pPr>
        <w:spacing w:after="0" w:line="50" w:lineRule="exact"/>
        <w:rPr>
          <w:rFonts w:ascii="Times New Roman" w:cs="Times New Roman" w:eastAsia="Times New Roman" w:hAnsi="Times New Roman"/>
          <w:sz w:val="21"/>
          <w:szCs w:val="21"/>
          <w:color w:val="auto"/>
        </w:rPr>
      </w:pPr>
    </w:p>
    <w:p>
      <w:pPr>
        <w:ind w:left="740" w:hanging="368"/>
        <w:spacing w:after="0" w:line="270" w:lineRule="auto"/>
        <w:tabs>
          <w:tab w:leader="none" w:pos="7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 Tier 1 capital to average consolidated assets as reported on consolidated financial statements (known as the “leverage ratio”), as defined in the capital regulations.</w:t>
      </w:r>
    </w:p>
    <w:p>
      <w:pPr>
        <w:spacing w:after="0" w:line="51" w:lineRule="exact"/>
        <w:rPr>
          <w:sz w:val="20"/>
          <w:szCs w:val="20"/>
          <w:color w:val="auto"/>
        </w:rPr>
      </w:pPr>
    </w:p>
    <w:p>
      <w:pPr>
        <w:jc w:val="both"/>
        <w:ind w:right="20" w:firstLine="510"/>
        <w:spacing w:after="0" w:line="270" w:lineRule="auto"/>
        <w:rPr>
          <w:sz w:val="20"/>
          <w:szCs w:val="20"/>
          <w:color w:val="auto"/>
        </w:rPr>
      </w:pPr>
      <w:r>
        <w:rPr>
          <w:rFonts w:ascii="Times New Roman" w:cs="Times New Roman" w:eastAsia="Times New Roman" w:hAnsi="Times New Roman"/>
          <w:sz w:val="21"/>
          <w:szCs w:val="21"/>
          <w:color w:val="auto"/>
        </w:rPr>
        <w:t>In addition, capital regulations require a “capital conservation buffer” of 2.5% composed entirely of CET1 on top of the minimum risk-weighted asset ratios.</w:t>
      </w:r>
    </w:p>
    <w:p>
      <w:pPr>
        <w:spacing w:after="0" w:line="51"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federal bank regulatory agencies have issued rules that allow banks and bank holding companies to phase -in the impact of adopting the expected credit loss accounting model on regulatory capital. Those rules allow banks and bank holding companies to delay for two years the day one impact on retained earnings of adopting the expected loss accounting standard and 25% of the cumulative change in the reported allowance for credit losses subsequent to the initial adoption, followed by a three-year transition period. M&amp;T and its subsidiary banks have elected to adopt these rules and the impact is reflected in the regulatory capital ratios presented below.</w:t>
      </w:r>
    </w:p>
    <w:p>
      <w:pPr>
        <w:spacing w:after="0" w:line="75"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The regulatory capital ratios of the Company and its bank subsidiaries, M&amp;T Bank and Wilmington Trust, N.A., as of September 30, 2020 are presented in the accompanying table.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REGULATORY CAPITAL RATIOS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September 30, 2020</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M&amp;T</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Wilmington</w:t>
            </w:r>
          </w:p>
        </w:tc>
      </w:tr>
      <w:tr>
        <w:trPr>
          <w:trHeight w:val="173"/>
        </w:trPr>
        <w:tc>
          <w:tcPr>
            <w:tcW w:w="524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Bank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Trust, N.A.</w:t>
            </w:r>
          </w:p>
        </w:tc>
      </w:tr>
      <w:tr>
        <w:trPr>
          <w:trHeight w:val="45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1</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9.81%</w:t>
            </w:r>
          </w:p>
        </w:tc>
        <w:tc>
          <w:tcPr>
            <w:tcW w:w="26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10.78%</w:t>
            </w:r>
          </w:p>
        </w:tc>
        <w:tc>
          <w:tcPr>
            <w:tcW w:w="280" w:type="dxa"/>
            <w:vAlign w:val="bottom"/>
          </w:tcPr>
          <w:p>
            <w:pPr>
              <w:spacing w:after="0"/>
              <w:rPr>
                <w:sz w:val="24"/>
                <w:szCs w:val="24"/>
                <w:color w:val="auto"/>
              </w:rPr>
            </w:pPr>
          </w:p>
        </w:tc>
        <w:tc>
          <w:tcPr>
            <w:tcW w:w="10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61.96%</w:t>
            </w:r>
          </w:p>
        </w:tc>
        <w:tc>
          <w:tcPr>
            <w:tcW w:w="80" w:type="dxa"/>
            <w:vAlign w:val="bottom"/>
          </w:tcPr>
          <w:p>
            <w:pPr>
              <w:spacing w:after="0"/>
              <w:rPr>
                <w:sz w:val="24"/>
                <w:szCs w:val="24"/>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capital</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11.01%</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10.78%</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61.96%</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13.31%</w:t>
            </w:r>
          </w:p>
        </w:tc>
        <w:tc>
          <w:tcPr>
            <w:tcW w:w="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12.60%</w:t>
            </w:r>
          </w:p>
        </w:tc>
        <w:tc>
          <w:tcPr>
            <w:tcW w:w="280" w:type="dxa"/>
            <w:vAlign w:val="bottom"/>
          </w:tcPr>
          <w:p>
            <w:pPr>
              <w:spacing w:after="0"/>
              <w:rPr>
                <w:sz w:val="19"/>
                <w:szCs w:val="19"/>
                <w:color w:val="auto"/>
              </w:rPr>
            </w:pP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62.17%</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8.51%</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8.34%</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shd w:val="clear" w:color="auto" w:fill="CFF0FC"/>
          </w:tcPr>
          <w:p>
            <w:pPr>
              <w:spacing w:after="0"/>
              <w:rPr>
                <w:sz w:val="19"/>
                <w:szCs w:val="19"/>
                <w:color w:val="auto"/>
              </w:rPr>
            </w:pPr>
          </w:p>
        </w:tc>
      </w:tr>
    </w:tbl>
    <w:p>
      <w:pPr>
        <w:spacing w:after="0" w:line="197" w:lineRule="exact"/>
        <w:rPr>
          <w:sz w:val="20"/>
          <w:szCs w:val="20"/>
          <w:color w:val="auto"/>
        </w:rPr>
      </w:pPr>
    </w:p>
    <w:p>
      <w:pPr>
        <w:jc w:val="both"/>
        <w:ind w:firstLine="464"/>
        <w:spacing w:after="0" w:line="245" w:lineRule="auto"/>
        <w:rPr>
          <w:sz w:val="20"/>
          <w:szCs w:val="20"/>
          <w:color w:val="auto"/>
        </w:rPr>
      </w:pPr>
      <w:r>
        <w:rPr>
          <w:rFonts w:ascii="Times New Roman" w:cs="Times New Roman" w:eastAsia="Times New Roman" w:hAnsi="Times New Roman"/>
          <w:sz w:val="21"/>
          <w:szCs w:val="21"/>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2019.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1"/>
          <w:szCs w:val="21"/>
          <w:b w:val="1"/>
          <w:bCs w:val="1"/>
          <w:color w:val="auto"/>
        </w:rPr>
        <w:t>Segment Information</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Company's reportable segments have been determined based upon its internal profitability reporting system, which is organized by strategic business unit. Financial information about the Company's segments is presented in note 13 of Notes to Financial Statements. The reportable segments are Business Banking, Commercial Banking, Commercial Real Estate, Discretionary Portfolio, Residential Mortgage Banking and Retail Banking.</w:t>
      </w:r>
    </w:p>
    <w:p>
      <w:pPr>
        <w:spacing w:after="0" w:line="70"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20"/>
          <w:szCs w:val="20"/>
          <w:color w:val="auto"/>
        </w:rPr>
        <w:t>The Business Banking segment recorded net income of $36 million in the third quarter of 2020, down from $46 million in the third quarter of 2019 and $38 million in the second quarter of 2020. As compared with 2019’s third quarter, the recent quarter’s lower net income primarily reflected declines of $8 million in net interest income and $4 million in service charges on deposit accounts. The decrease in net interest income resulted largely from a narrowing of the net interest margin on deposits and loans of 111 basis points and 74 basis points, respectively, partially offset by higher average outstanding balances of deposits and loans of $4.1 billion and $3.4 billion, respectively. The lower service charges on deposit accounts reflect the impact of the COVID-19 pandemic that has resulted in waived fees and lower customer transaction activity. The modest decrease in net income in the recent quarter as compared with the second quarter of 2020 reflected a $9 million decline in net interest income, resulting largely from a 48 basis point narrowing of the net interest margin on deposits. Partially offsetting that unfavorable factor were a $4 million decrease in the provision for credit losses, due to lower net charge-offs, and higher merchant discount and credit card fees of $2 million. Net income for the Business Banking segment totaled $106 million during the first nine months of 2020, compared with $132 million in the corresponding 2019 period. That 19% decrease was predominantly attributable to an $11 million increase in the provision for credit losses, due largely to higher net charge-offs, $7 million of declines in each of net interest income and service charges on deposit accounts, and a $6 million increase in salaries and employee benefits expenses. The lower net interest income reflected a narrowing of the net interest margin on deposits and loans of 83 basis points and 43 basis points, respectively, partially offset by an increase in average outstanding deposit and loan balances of $2.6 billion and $2.1 billion, respectively. The decrease in service charges on deposit accounts reflected the impact of the pandemic that has resulted in waived fees and reduced customer transaction activity.</w:t>
      </w:r>
    </w:p>
    <w:p>
      <w:pPr>
        <w:spacing w:after="0" w:line="69"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20"/>
          <w:szCs w:val="20"/>
          <w:color w:val="auto"/>
        </w:rPr>
        <w:t>Net income earned by the Commercial Banking segment totaled $131 million during the recent quarter, down slightly from $133 million in the year-earlier quarter, but up from $111 million in the second quarter of 2020. As compared with the third quarter of 2019, unfavorable factors in the recent quarter included a $4 million decrease in net interest income that reflected a 101 basis point narrowing of the net interest margin on deposits, partially offset by higher average outstanding deposits of $7.8 billion, and a $4 million decline in trading account and foreign exchange gains that resulted from decreased activity related to interest rate swap agreements executed on behalf of commercial customers. Those unfavorable factors were partially offset by increased gains on the sale of equipment previously leased to customers of $5 million. The 18% rise in net income in the recent quarter as compared with the second quarter of 2020 was driven by a $38 million decrease in the provision for credit losses, due to lower loan balances and net charge-offs, $5 million of gains on the sale of previously leased equipment in the recent quarter and a $9 million write-down of equipment leased to customers under operating leases during the second 2020 quarter. Partially offsetting those positive factors was a decrease in net interest income of $23 million, reflecting a 57 basis point narrowing of the net interest margin on deposits. Through the first nine months of the year, net income for the Commercial Banking segment totaled $386 million in 2020, little changed from $388 million in 2019. The largely offsetting factors contributing to the slight decline were a $34 million increase in the provision for credit losses, due to higher loan balances and net charge-offs, and a $9 million write-down of equipment in 2020 that was leased to customers, offset by a $26 million increase in net interest income, a $7 million increase in credit-related fees, and increased gains on the sale of equipment previously leased to customers of $5 million. The higher net interest income reflected higher average outstanding deposit and loan balances of $5.3 billion and $2.3 billion, respectively, partially offset by a 76 basis point narrowing of the net interest margin on deposits.</w:t>
      </w:r>
    </w:p>
    <w:p>
      <w:pPr>
        <w:spacing w:after="0" w:line="69" w:lineRule="exact"/>
        <w:rPr>
          <w:sz w:val="20"/>
          <w:szCs w:val="20"/>
          <w:color w:val="auto"/>
        </w:rPr>
      </w:pPr>
    </w:p>
    <w:p>
      <w:pPr>
        <w:jc w:val="both"/>
        <w:ind w:firstLine="464"/>
        <w:spacing w:after="0" w:line="251" w:lineRule="auto"/>
        <w:rPr>
          <w:sz w:val="20"/>
          <w:szCs w:val="20"/>
          <w:color w:val="auto"/>
        </w:rPr>
      </w:pPr>
      <w:r>
        <w:rPr>
          <w:rFonts w:ascii="Times New Roman" w:cs="Times New Roman" w:eastAsia="Times New Roman" w:hAnsi="Times New Roman"/>
          <w:sz w:val="21"/>
          <w:szCs w:val="21"/>
          <w:color w:val="auto"/>
        </w:rPr>
        <w:t>The Commercial Real Estate segment contributed net income of $87 million in the third quarter of 2020, down from $131 million in the similar 2019 period and $107 million in the second quarter of 2020. The 34% decline in net income as compared with the third quarter of 2019 reflected a $19 million increase in the provision for credit losses, due to higher net charge-offs and loan growth, a $14 million decrease in net interest income, a $12 million decline 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85" w:name="page86"/>
    <w:bookmarkEnd w:id="85"/>
    <w:p>
      <w:pPr>
        <w:jc w:val="both"/>
        <w:spacing w:after="0" w:line="243" w:lineRule="auto"/>
        <w:rPr>
          <w:sz w:val="20"/>
          <w:szCs w:val="20"/>
          <w:color w:val="auto"/>
        </w:rPr>
      </w:pPr>
      <w:r>
        <w:rPr>
          <w:rFonts w:ascii="Times New Roman" w:cs="Times New Roman" w:eastAsia="Times New Roman" w:hAnsi="Times New Roman"/>
          <w:sz w:val="21"/>
          <w:szCs w:val="21"/>
          <w:color w:val="auto"/>
        </w:rPr>
        <w:t>mortgage banking revenues reflecting decreased gains on loans originated for sale, and lower trading account and foreign exchange gains of $7 million. The decrease in net interest income reflected a narrowing of the net interest margin on deposits and loans of 99 basis points and 26 basis points, respectively, partially offset by a $1.7 billion increase in average outstanding loan balances. The $20 million decrease in the recent quarter’s net income as compared with the immediately preceding quarter was largely the result of a $22 million decline in net interest income and a $7 million increase in salaries and employee benefits, partially offset by a $4 million decrease in the provision for credit losses, mainly due to lower net charge-offs. The decrease in net interest income resulted from a 30 basis point narrowing of the net interest margin on loans. Net income for the Commercial Real Estate segment was $312 million during the nine-month period ended September 30, 2020, down 16% from $370 million in the corresponding 2019 period. That decline resulted from a $41 million increase in the provision for credit losses, due to higher net charge-offs and loan growth, lower net interest income of $11 million, a $10 million decrease in mortgage banking revenues reflecting decreased gains on loans originated for sale, and higher FDIC assessments of $5 million. The decrease in net interest income resulted from a narrowing of the net interest margin on deposits and loans of 71 basis points and 13 basis points, respectively, partially offset by higher average outstanding loan balances of $1.5 billion.</w:t>
      </w:r>
    </w:p>
    <w:p>
      <w:pPr>
        <w:spacing w:after="0" w:line="88" w:lineRule="exact"/>
        <w:rPr>
          <w:sz w:val="20"/>
          <w:szCs w:val="20"/>
          <w:color w:val="auto"/>
        </w:rPr>
      </w:pPr>
    </w:p>
    <w:p>
      <w:pPr>
        <w:jc w:val="both"/>
        <w:ind w:firstLine="464"/>
        <w:spacing w:after="0" w:line="244" w:lineRule="auto"/>
        <w:rPr>
          <w:sz w:val="20"/>
          <w:szCs w:val="20"/>
          <w:color w:val="auto"/>
        </w:rPr>
      </w:pPr>
      <w:r>
        <w:rPr>
          <w:rFonts w:ascii="Times New Roman" w:cs="Times New Roman" w:eastAsia="Times New Roman" w:hAnsi="Times New Roman"/>
          <w:sz w:val="21"/>
          <w:szCs w:val="21"/>
          <w:color w:val="auto"/>
        </w:rPr>
        <w:t>Net income recorded by the Discretionary Portfolio segment aggregated $97 million during the three-month period ended September 30, 2020, compared with $30 million in the year-earlier period and $96 million in the second quarter of 2020. The significant rise in the recent quarter’s net income as compared with the third quarter of 2019 was due primarily to an $86 million increase in net interest income that reflects higher income from interest rate swap agreements. The slight improvement in net income in the recent quarter as compared with the immediately preceding quarter reflected an increase in net interest income of $5 million, partially offset by a $4 million decrease in valuation gains associated with marketable equity securities. Net income for this segment for the first nine months totaled $219 million in 2020 and $107 million in 2019. The primary factor contributing to that increase was a $191 million rise in net interest income, reflecting additional income from interest rate swap agreements utilized as part of the Company’s management of interest rate risk. Partially offsetting that factor were valuation losses associated with marketable equity securities (compared with gains in the 2019 period) representing a change of $35 million and higher centrally-allocated costs of $7 million associated with data processing, risk management and other support services provided to the Discretionary Portfolio segment.</w:t>
      </w:r>
    </w:p>
    <w:p>
      <w:pPr>
        <w:spacing w:after="0" w:line="80" w:lineRule="exact"/>
        <w:rPr>
          <w:sz w:val="20"/>
          <w:szCs w:val="20"/>
          <w:color w:val="auto"/>
        </w:rPr>
      </w:pPr>
    </w:p>
    <w:p>
      <w:pPr>
        <w:jc w:val="both"/>
        <w:ind w:firstLine="464"/>
        <w:spacing w:after="0" w:line="243" w:lineRule="auto"/>
        <w:rPr>
          <w:sz w:val="20"/>
          <w:szCs w:val="20"/>
          <w:color w:val="auto"/>
        </w:rPr>
      </w:pPr>
      <w:r>
        <w:rPr>
          <w:rFonts w:ascii="Times New Roman" w:cs="Times New Roman" w:eastAsia="Times New Roman" w:hAnsi="Times New Roman"/>
          <w:sz w:val="21"/>
          <w:szCs w:val="21"/>
          <w:color w:val="auto"/>
        </w:rPr>
        <w:t>The Residential Mortgage Banking segment contributed net income of $45 million in the recent quarter, compared with $16 million in the third quarter of 2019 and $37 million in the second quarter of 2020. The recent quarter improvement from the third quarter of 2019 was largely driven by a $43 million increase in revenues associated with mortgage origination and sales activities (including intersegment revenues) and a $12 million increase in net interest income, reflecting an increase in average outstanding loan balances of $1.4 billion that was predominantly the result of repurchases of previously sold government guaranteed loans of $1.6 billion during the third quarter. Offsetting those favorable factors were lower servicing-related fees (including intersegment costs) of $11 million and a $10 million rise in centrally-allocated costs associated with data processing, risk management and other support services provided to the Residential Mortgage Banking segment. As compared with the second quarter of 2020, the higher net income in the recent quarter reflected a $12 million increase in revenues associated with mortgage origination and sales activities (including intersegment revenues) and a $10 million increase in net interest income that reflected an increase in average outstanding loan balances of $1.4 billion, partially offset by a $6 million rise in centrally-allocated costs associated with data processing, risk management and other support services provided to this segment and lower revenues from servicing residential real estate loans (including intersegment revenues) of $4 million. The Residential Mortgage Banking segment earned $107 million in the first nine months of 2020, compared with $36 million in the similar period of 2019. Higher revenues associated with mortgage origination and sales activities (including intersegment revenues) of $113 million and a $17 million increase in net interest income, reflecting an increase in average outstanding loan balances of $713 million, were partially offset by a $16 million increase in personnel-related costs largely associated with increased origination activities and a $10 million rise in centrally-allocated costs associated with data processing, risk management and other support services provided to the Residential Mortgage Banking segment.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86" w:name="page87"/>
    <w:bookmarkEnd w:id="86"/>
    <w:p>
      <w:pPr>
        <w:jc w:val="both"/>
        <w:ind w:firstLine="464"/>
        <w:spacing w:after="0" w:line="255" w:lineRule="auto"/>
        <w:rPr>
          <w:sz w:val="20"/>
          <w:szCs w:val="20"/>
          <w:color w:val="auto"/>
        </w:rPr>
      </w:pPr>
      <w:r>
        <w:rPr>
          <w:rFonts w:ascii="Times New Roman" w:cs="Times New Roman" w:eastAsia="Times New Roman" w:hAnsi="Times New Roman"/>
          <w:sz w:val="20"/>
          <w:szCs w:val="20"/>
          <w:color w:val="auto"/>
        </w:rPr>
        <w:t>Net income for the Retail Banking segment totaled $85 million in the third quarter of 2020, compared with $132 million in the corresponding quarter of 2019 and $86 million in the second quarter of 2020. The decline as compared with the third quarter of 2019 reflected a $62 million decrease in net interest income, a $15 million decline in service charges on deposit accounts and a $10 million increase in centrally-allocated costs associated with data processing, risk management and other support services provided to the Retail Banking segment. The lower net interest income reflected a 92 basis point narrowing of the net interest margin on deposits, partially offset by higher average outstanding deposit balances of $3.7 billion. The decline in service charges reflected fee waivers and lower customer transaction activity as a result of the COVID-19 pandemic. Partially offsetting those factors were a $10 million decrease in the provision for credit losses, reflecting lower net charge-offs, a $5 million decline in advertising and marketing expense, and lower salaries and employee benefits of $4 million. The modest decline in net income in the recent quarter as compared with the second quarter of 2020 reflected a decrease in net interest income of $20 million and a $6 million rise in centrally-allocated costs associated with data processing, risk management and other support services provided to the Retail Banking segment, partially offset by increased consumer service charges on deposit accounts of $13 million and lower personnel-related costs of $9 million. The decrease in net interest income reflected a narrowing of the net interest margin on deposits of 33 basis points, partially offset by higher average deposit balances of $1.1 billion. The increased consumer service charges on deposit accounts reflect lower fee waivers and increased customer transaction activity. The Retail Banking segment recorded net income of $282 million and $417 million in the first nine months of 2020 and 2019, respectively. The decline from 2019 reflected lower net interest income of $137 million, a $39 million decrease in consumer service charges on deposit accounts, and an $8 million increase in salaries and employee benefits expenses. The decrease in net interest income reflected a 71 basis point narrowing of the net interest margin on deposits, offset, in part, by higher average outstanding deposit and loan balances of $1.7 billion and $1.4 billion, respectively. The lower consumer service charges on deposit accounts reflect fee waivers and lower customer transaction activity as a result of the COVID-19 pandemic. Lower advertising and promotional expenses of $8 million and a $7 million decrease in the provision for credit losses partially offset the unfavorable factors.</w:t>
      </w:r>
    </w:p>
    <w:p>
      <w:pPr>
        <w:spacing w:after="0" w:line="80" w:lineRule="exact"/>
        <w:rPr>
          <w:sz w:val="20"/>
          <w:szCs w:val="20"/>
          <w:color w:val="auto"/>
        </w:rPr>
      </w:pPr>
    </w:p>
    <w:p>
      <w:pPr>
        <w:jc w:val="both"/>
        <w:ind w:firstLine="464"/>
        <w:spacing w:after="0" w:line="242" w:lineRule="auto"/>
        <w:rPr>
          <w:sz w:val="20"/>
          <w:szCs w:val="20"/>
          <w:color w:val="auto"/>
        </w:rPr>
      </w:pPr>
      <w:r>
        <w:rPr>
          <w:rFonts w:ascii="Times New Roman" w:cs="Times New Roman" w:eastAsia="Times New Roman" w:hAnsi="Times New Roman"/>
          <w:sz w:val="21"/>
          <w:szCs w:val="21"/>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distributed income from BLG, merger-related expenses resulting from acquisitions (when incurred)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losses totaling $110 million for the quarter ended September 30, 2020, $7 million in the year-earlier quarter and $234 million in the second quarter of 2020. As compared with the third quarter of 2019, the increased net loss in the recent quarter resulted from an increase in the provision for credit losses of $96 million and the unfavorable impact from the Company’s allocation methodologies for internal transfers for funding charges and credits associated with earning assets and interest-bearing liabilities of the Company’s reportable segments. Those unfavorable factors were partially offset by decreased costs for legal and professional services of $36 million. As compared with the second quarter of 2020, a $130 million decrease in the provision for credit losses and the favorable impact from the Company’s allocation methodologies for internal transfers for funding charges and credits associated with earning assets and interest-bearing liabilities of the Company’s reportable segments were partially offset by higher personnel-related costs of $16 million. The “All Other” category had net losses of $530 million and $15 million for the nine-month periods ended September 30, 2020 and 2019, respectively. The increased net loss in the current year reflected an increase in the provision for credit losses of $526 million, the unfavorable impact from the Company’s allocation methodologies for internal transfers for funding charges and credits associated with earning assets and interest-bearing liabilities of the Company’s reportable segments, a $22 million increase in outside data processing and software expenses, and higher personnel-related costs of $19 million. Partially offsetting those factors was a $77 million decrease in professional services costs, a $48 million charge in the second quarter of 2019 to reduce the carrying value of an investment in an asset manager, and higher trust income of $30 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1"/>
          <w:szCs w:val="21"/>
          <w:b w:val="1"/>
          <w:bCs w:val="1"/>
          <w:color w:val="auto"/>
        </w:rPr>
        <w:t>Recent Accounting Developments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discussion of recent accounting developments is included in note 15 of Notes to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Any statement that does not describe historical or current facts is a forward-looking statement, including statements regarding the potential effects of the COVID-19 pandemic on the Company’s business, financial condition, liquidity and results of operations.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80" w:lineRule="exact"/>
        <w:rPr>
          <w:sz w:val="20"/>
          <w:szCs w:val="20"/>
          <w:color w:val="auto"/>
        </w:rPr>
      </w:pPr>
    </w:p>
    <w:p>
      <w:pPr>
        <w:jc w:val="both"/>
        <w:ind w:firstLine="468"/>
        <w:spacing w:after="0" w:line="243" w:lineRule="auto"/>
        <w:rPr>
          <w:sz w:val="20"/>
          <w:szCs w:val="20"/>
          <w:color w:val="auto"/>
        </w:rPr>
      </w:pPr>
      <w:r>
        <w:rPr>
          <w:rFonts w:ascii="Times New Roman" w:cs="Times New Roman" w:eastAsia="Times New Roman" w:hAnsi="Times New Roman"/>
          <w:sz w:val="21"/>
          <w:szCs w:val="21"/>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risks and uncertainties relating to the impact of the COVID-19 pandemic;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Financial Accounting Standards Board, regulatory agencies or legislation;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84" w:lineRule="exact"/>
        <w:rPr>
          <w:sz w:val="20"/>
          <w:szCs w:val="20"/>
          <w:color w:val="auto"/>
        </w:rPr>
      </w:pPr>
    </w:p>
    <w:p>
      <w:pPr>
        <w:jc w:val="both"/>
        <w:ind w:firstLine="468"/>
        <w:spacing w:after="0" w:line="251" w:lineRule="auto"/>
        <w:rPr>
          <w:sz w:val="20"/>
          <w:szCs w:val="20"/>
          <w:color w:val="auto"/>
        </w:rPr>
      </w:pPr>
      <w:r>
        <w:rPr>
          <w:rFonts w:ascii="Times New Roman" w:cs="Times New Roman" w:eastAsia="Times New Roman" w:hAnsi="Times New Roman"/>
          <w:sz w:val="21"/>
          <w:szCs w:val="21"/>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70" w:lineRule="exact"/>
        <w:rPr>
          <w:sz w:val="20"/>
          <w:szCs w:val="20"/>
          <w:color w:val="auto"/>
        </w:rPr>
      </w:pPr>
    </w:p>
    <w:p>
      <w:pPr>
        <w:jc w:val="both"/>
        <w:ind w:firstLine="468"/>
        <w:spacing w:after="0" w:line="247" w:lineRule="auto"/>
        <w:rPr>
          <w:sz w:val="20"/>
          <w:szCs w:val="20"/>
          <w:color w:val="auto"/>
        </w:rPr>
      </w:pPr>
      <w:r>
        <w:rPr>
          <w:rFonts w:ascii="Times New Roman" w:cs="Times New Roman" w:eastAsia="Times New Roman" w:hAnsi="Times New Roman"/>
          <w:sz w:val="21"/>
          <w:szCs w:val="21"/>
          <w:color w:val="auto"/>
        </w:rPr>
        <w:t>Further, statements about the potential effects of the COVID-19 pandemic on the Company’s business, financial condition, liquidity and results of operations may constitute forward-looking statements and are subject to the risk that the actual effects may differ, possibly materially, from what is reflected in those forward-looking statements due to factors and future developments that are uncertain, unpredictable and in many cases beyond the Company’s control, including the scope and duration of the pandemic, actions taken by governmental authorities in response to the pandemic, and the direct and indirect impact of the pandemic on customers, clients, third parties and the Company.</w:t>
      </w:r>
    </w:p>
    <w:p>
      <w:pPr>
        <w:spacing w:after="0" w:line="75" w:lineRule="exact"/>
        <w:rPr>
          <w:sz w:val="20"/>
          <w:szCs w:val="20"/>
          <w:color w:val="auto"/>
        </w:rPr>
      </w:pPr>
    </w:p>
    <w:p>
      <w:pPr>
        <w:jc w:val="both"/>
        <w:ind w:firstLine="468"/>
        <w:spacing w:after="0" w:line="270" w:lineRule="auto"/>
        <w:rPr>
          <w:sz w:val="20"/>
          <w:szCs w:val="20"/>
          <w:color w:val="auto"/>
        </w:rPr>
      </w:pPr>
      <w:r>
        <w:rPr>
          <w:rFonts w:ascii="Times New Roman" w:cs="Times New Roman" w:eastAsia="Times New Roman" w:hAnsi="Times New Roman"/>
          <w:sz w:val="21"/>
          <w:szCs w:val="21"/>
          <w:color w:val="auto"/>
        </w:rPr>
        <w:t>M&amp;T provides further detail regarding these risks, uncertainties and other factors elsewhere in this quarterly report and in other public filings, including the risk factors described in Form 10-K for the year ended December 31, 2019 and this quarterly report.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QUARTERLY TRENDS</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1</w:t>
            </w:r>
          </w:p>
        </w:tc>
        <w:tc>
          <w:tcPr>
            <w:tcW w:w="0" w:type="dxa"/>
            <w:vAlign w:val="bottom"/>
          </w:tcPr>
          <w:p>
            <w:pPr>
              <w:spacing w:after="0"/>
              <w:rPr>
                <w:sz w:val="1"/>
                <w:szCs w:val="1"/>
                <w:color w:val="auto"/>
              </w:rPr>
            </w:pPr>
          </w:p>
        </w:tc>
      </w:tr>
      <w:tr>
        <w:trPr>
          <w:trHeight w:val="208"/>
        </w:trPr>
        <w:tc>
          <w:tcPr>
            <w:tcW w:w="4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46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2020 Quarters</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2019 Quarters</w:t>
            </w: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Third</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20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First</w:t>
            </w:r>
          </w:p>
        </w:tc>
        <w:tc>
          <w:tcPr>
            <w:tcW w:w="30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300" w:type="dxa"/>
            <w:vAlign w:val="bottom"/>
          </w:tcPr>
          <w:p>
            <w:pPr>
              <w:spacing w:after="0"/>
              <w:rPr>
                <w:sz w:val="13"/>
                <w:szCs w:val="13"/>
                <w:color w:val="auto"/>
              </w:rPr>
            </w:pP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Third</w:t>
            </w:r>
          </w:p>
        </w:tc>
        <w:tc>
          <w:tcPr>
            <w:tcW w:w="30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300" w:type="dxa"/>
            <w:vAlign w:val="bottom"/>
          </w:tcPr>
          <w:p>
            <w:pPr>
              <w:spacing w:after="0"/>
              <w:rPr>
                <w:sz w:val="13"/>
                <w:szCs w:val="13"/>
                <w:color w:val="auto"/>
              </w:rPr>
            </w:pPr>
          </w:p>
        </w:tc>
        <w:tc>
          <w:tcPr>
            <w:tcW w:w="66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First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Earnings and dividends</w:t>
            </w:r>
          </w:p>
        </w:tc>
        <w:tc>
          <w:tcPr>
            <w:tcW w:w="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Amounts in thousands, except per share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income (taxable-equivalent basis)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1,005,180</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1,036,476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1,125,482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1,191,295</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1,235,048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1,243,838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1,232,276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58,066</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75,105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143,614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177,070</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199,579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196,432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176,249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Net interest income</w:t>
            </w:r>
          </w:p>
        </w:tc>
        <w:tc>
          <w:tcPr>
            <w:tcW w:w="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947,114</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961,371</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981,868</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1,014,225</w:t>
            </w:r>
          </w:p>
        </w:tc>
        <w:tc>
          <w:tcPr>
            <w:tcW w:w="3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1,035,469</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1,047,406</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1,056,027</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Less: provision for credit losses</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325,000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54,000</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520,561</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487,273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529,360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521,040</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527,779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512,095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500,765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Less: other expense</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826,774</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807,042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906,416</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823,683</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877,619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873,032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894,348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Income before income taxes</w:t>
            </w:r>
          </w:p>
        </w:tc>
        <w:tc>
          <w:tcPr>
            <w:tcW w:w="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490,901</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316,602</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354,812</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657,582</w:t>
            </w:r>
          </w:p>
        </w:tc>
        <w:tc>
          <w:tcPr>
            <w:tcW w:w="3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640,629</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631,469</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640,444</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Applicable income taxes</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114,746</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71,314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80,927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159,124</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154,969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152,284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151,735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Taxable-equivalent adjustment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4,019</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4,234</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5,392</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0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372,136</w:t>
            </w: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241,054</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268,822</w:t>
            </w:r>
          </w:p>
        </w:tc>
        <w:tc>
          <w:tcPr>
            <w:tcW w:w="3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493,066</w:t>
            </w:r>
          </w:p>
        </w:tc>
        <w:tc>
          <w:tcPr>
            <w:tcW w:w="300" w:type="dxa"/>
            <w:vAlign w:val="bottom"/>
            <w:tcBorders>
              <w:bottom w:val="single" w:sz="8" w:color="CFF0FC"/>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480,081</w:t>
            </w:r>
          </w:p>
        </w:tc>
        <w:tc>
          <w:tcPr>
            <w:tcW w:w="3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473,260</w:t>
            </w:r>
          </w:p>
        </w:tc>
        <w:tc>
          <w:tcPr>
            <w:tcW w:w="3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482,742</w:t>
            </w:r>
          </w:p>
        </w:tc>
        <w:tc>
          <w:tcPr>
            <w:tcW w:w="3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income available to common shareholders-diluted</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353,400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223,099</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250,701</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473,372</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461,410</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452,633</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462,086</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Per common share data</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Basic earnings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Diluted earnings</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Cash dividends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Average common shares outstanding</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Basic</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128,285</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128,275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129,696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131,512</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132,965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135,433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137,889</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Diluted</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128,355</w:t>
            </w:r>
          </w:p>
        </w:tc>
        <w:tc>
          <w:tcPr>
            <w:tcW w:w="2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128,333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129,755</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131,549</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132,999</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135,464</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137,920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60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Performance ratios, annualized</w:t>
            </w: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Return on</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Average assets</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Average common shareholders’ equity</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100" w:type="dxa"/>
            <w:vAlign w:val="bottom"/>
          </w:tcPr>
          <w:p>
            <w:pPr>
              <w:spacing w:after="0"/>
              <w:rPr>
                <w:sz w:val="12"/>
                <w:szCs w:val="12"/>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46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Net interest margin on average earning assets</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(taxable-equivalent basis)</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46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Nonaccrual loans to total loans and leases, net of</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unearned discount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6"/>
                <w:szCs w:val="16"/>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460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operating (tangible) results (a)</w:t>
            </w: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Net operating income (in thousands)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375,029</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243,958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271,705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496,237</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483,830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477,001</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486,440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Diluted net operating income per common share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Annualized return on</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Average tangible assets</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Average tangible common shareholders’ equity</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00" w:type="dxa"/>
            <w:vAlign w:val="bottom"/>
          </w:tcPr>
          <w:p>
            <w:pPr>
              <w:spacing w:after="0"/>
              <w:rPr>
                <w:sz w:val="12"/>
                <w:szCs w:val="12"/>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w:t>
            </w:r>
          </w:p>
        </w:tc>
        <w:tc>
          <w:tcPr>
            <w:tcW w:w="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18.85</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18.83</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19.56</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Efficiency ratio (b)</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56.17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58.91</w:t>
            </w:r>
          </w:p>
        </w:tc>
        <w:tc>
          <w:tcPr>
            <w:tcW w:w="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53.15</w:t>
            </w:r>
          </w:p>
        </w:tc>
        <w:tc>
          <w:tcPr>
            <w:tcW w:w="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55.95</w:t>
            </w:r>
          </w:p>
        </w:tc>
        <w:tc>
          <w:tcPr>
            <w:tcW w:w="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55.98</w:t>
            </w:r>
          </w:p>
        </w:tc>
        <w:tc>
          <w:tcPr>
            <w:tcW w:w="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57.56</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 share</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Average balances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assets (c)</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140,181</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136,446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120,585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122,554</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120,388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118,487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116,839</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tangible assets (c)</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135,574</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131,836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115,972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117,938</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115,769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113,864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112,213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Earning assets</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127,689</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123,492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108,226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110,581</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108,643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107,511</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106,096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Investment securities</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7,876</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10,044</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Loans and leases, net of unearned discount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98,210</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97,797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91,706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90,244</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90,078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89,150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88,477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Deposits</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116,306</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111,795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96,166</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96,903</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94,095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91,371</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89,733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Common shareholders’ equity (c)</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14,823</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14,703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14,470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14,582</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14,464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14,398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14,337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10,216</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10,093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9,966</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At end of quarter</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assets (c)</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138,627</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139,537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124,578</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119,873</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125,501</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121,555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120,025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tangible assets (c)</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134,021</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134,928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119,966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115,258</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120,883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116,934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115,400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Earning assets</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126,418</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127,149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112,046</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107,673</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113,067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110,323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108,849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Investment securities</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7,723</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8,454</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8,957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9,497</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10,678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11,580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12,537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Loans and leases, net of unearned discount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98,447</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97,758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94,142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90,923</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89,823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89,878</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88,640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Deposits</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115,163</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114,968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100,183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94,770</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95,114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91,681</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90,470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0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Common shareholders’ equity, net of undeclared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cumulative preferred dividends (c)</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14,851</w:t>
            </w:r>
          </w:p>
        </w:tc>
        <w:tc>
          <w:tcPr>
            <w:tcW w:w="2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14,695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14,566</w:t>
            </w: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14,467</w:t>
            </w: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14,530</w:t>
            </w: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14,457</w:t>
            </w: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10,245</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9,954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9,852</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9,912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9,836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9,728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Equity per common share</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115.75</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114.54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110.78</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Tangible equity per common share</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79.85</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78.62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77.60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75.44</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74.93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73.29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71.19</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500" w:hanging="492"/>
        <w:spacing w:after="0" w:line="229" w:lineRule="auto"/>
        <w:tabs>
          <w:tab w:leader="none" w:pos="500" w:val="left"/>
        </w:tabs>
        <w:numPr>
          <w:ilvl w:val="0"/>
          <w:numId w:val="2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00" w:hanging="492"/>
        <w:spacing w:after="0" w:line="216" w:lineRule="auto"/>
        <w:tabs>
          <w:tab w:leader="none" w:pos="500" w:val="left"/>
        </w:tabs>
        <w:numPr>
          <w:ilvl w:val="0"/>
          <w:numId w:val="2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impact of merger-related expenses and net securities transactions.</w:t>
      </w:r>
    </w:p>
    <w:p>
      <w:pPr>
        <w:ind w:left="500" w:hanging="492"/>
        <w:spacing w:after="0" w:line="228" w:lineRule="auto"/>
        <w:tabs>
          <w:tab w:leader="none" w:pos="500" w:val="left"/>
        </w:tabs>
        <w:numPr>
          <w:ilvl w:val="0"/>
          <w:numId w:val="2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87" w:lineRule="exact"/>
        <w:rPr>
          <w:rFonts w:ascii="Times New Roman" w:cs="Times New Roman" w:eastAsia="Times New Roman" w:hAnsi="Times New Roman"/>
          <w:sz w:val="13"/>
          <w:szCs w:val="13"/>
          <w:i w:val="1"/>
          <w:iCs w:val="1"/>
          <w:color w:val="auto"/>
        </w:rPr>
      </w:pPr>
    </w:p>
    <w:p>
      <w:pPr>
        <w:ind w:left="5540" w:hanging="111"/>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2</w:t>
            </w:r>
          </w:p>
        </w:tc>
        <w:tc>
          <w:tcPr>
            <w:tcW w:w="0" w:type="dxa"/>
            <w:vAlign w:val="bottom"/>
          </w:tcPr>
          <w:p>
            <w:pPr>
              <w:spacing w:after="0"/>
              <w:rPr>
                <w:sz w:val="1"/>
                <w:szCs w:val="1"/>
                <w:color w:val="auto"/>
              </w:rPr>
            </w:pPr>
          </w:p>
        </w:tc>
      </w:tr>
      <w:tr>
        <w:trPr>
          <w:trHeight w:val="316"/>
        </w:trPr>
        <w:tc>
          <w:tcPr>
            <w:tcW w:w="686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RECONCILIATION OF QUARTERLY GAAP TO NON-GAAP MEASURES</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7"/>
              </w:rPr>
              <w:t>2020 Quarters</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2019 Quarters</w:t>
            </w:r>
          </w:p>
        </w:tc>
        <w:tc>
          <w:tcPr>
            <w:tcW w:w="8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3"/>
                <w:szCs w:val="13"/>
                <w:b w:val="1"/>
                <w:bCs w:val="1"/>
                <w:color w:val="auto"/>
              </w:rPr>
              <w:t>Third</w:t>
            </w:r>
          </w:p>
        </w:tc>
        <w:tc>
          <w:tcPr>
            <w:tcW w:w="110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3"/>
                <w:szCs w:val="13"/>
                <w:b w:val="1"/>
                <w:bCs w:val="1"/>
                <w:color w:val="auto"/>
              </w:rPr>
              <w:t>Second</w:t>
            </w:r>
          </w:p>
        </w:tc>
        <w:tc>
          <w:tcPr>
            <w:tcW w:w="82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3"/>
                <w:szCs w:val="13"/>
                <w:b w:val="1"/>
                <w:bCs w:val="1"/>
                <w:color w:val="auto"/>
              </w:rPr>
              <w:t>First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3"/>
                <w:szCs w:val="13"/>
                <w:b w:val="1"/>
                <w:bCs w:val="1"/>
                <w:color w:val="auto"/>
              </w:rPr>
              <w:t>Fourth</w:t>
            </w:r>
          </w:p>
        </w:tc>
        <w:tc>
          <w:tcPr>
            <w:tcW w:w="110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3"/>
                <w:szCs w:val="13"/>
                <w:b w:val="1"/>
                <w:bCs w:val="1"/>
                <w:color w:val="auto"/>
              </w:rPr>
              <w:t>Third</w:t>
            </w:r>
          </w:p>
        </w:tc>
        <w:tc>
          <w:tcPr>
            <w:tcW w:w="108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3"/>
                <w:szCs w:val="13"/>
                <w:b w:val="1"/>
                <w:bCs w:val="1"/>
                <w:color w:val="auto"/>
              </w:rPr>
              <w:t>Second</w:t>
            </w:r>
          </w:p>
        </w:tc>
        <w:tc>
          <w:tcPr>
            <w:tcW w:w="82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3"/>
                <w:szCs w:val="13"/>
                <w:b w:val="1"/>
                <w:bCs w:val="1"/>
                <w:color w:val="auto"/>
              </w:rPr>
              <w:t>First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Income statement data (in thousands, except per share)</w:t>
            </w:r>
          </w:p>
        </w:tc>
        <w:tc>
          <w:tcPr>
            <w:tcW w:w="3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372,136</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241,054</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268,822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493,066</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480,081</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473,260</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482,742</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Amortization of core deposit and other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3"/>
                <w:szCs w:val="13"/>
                <w:color w:val="auto"/>
              </w:rPr>
              <w:t>intangible assets (a)</w:t>
            </w: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2,893</w:t>
            </w:r>
          </w:p>
        </w:tc>
        <w:tc>
          <w:tcPr>
            <w:tcW w:w="2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2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2,883</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3,171</w:t>
            </w:r>
          </w:p>
        </w:tc>
        <w:tc>
          <w:tcPr>
            <w:tcW w:w="2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3,749</w:t>
            </w:r>
          </w:p>
        </w:tc>
        <w:tc>
          <w:tcPr>
            <w:tcW w:w="2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3,741</w:t>
            </w:r>
          </w:p>
        </w:tc>
        <w:tc>
          <w:tcPr>
            <w:tcW w:w="2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3,698</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Net operating income</w:t>
            </w:r>
          </w:p>
        </w:tc>
        <w:tc>
          <w:tcPr>
            <w:tcW w:w="3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375,029</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243,958</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271,705</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496,237</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483,830</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477,001</w:t>
            </w:r>
          </w:p>
        </w:tc>
        <w:tc>
          <w:tcPr>
            <w:tcW w:w="2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486,440</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Amortization of core deposit and other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3"/>
                <w:szCs w:val="13"/>
                <w:color w:val="auto"/>
              </w:rPr>
              <w:t>intangible assets (a)</w:t>
            </w: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Diluted net operating earnings per common share</w:t>
            </w:r>
          </w:p>
        </w:tc>
        <w:tc>
          <w:tcPr>
            <w:tcW w:w="3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2.77</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1.76</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1.95</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3.62</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3.50</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3.37</w:t>
            </w:r>
          </w:p>
        </w:tc>
        <w:tc>
          <w:tcPr>
            <w:tcW w:w="2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3.38</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 expense</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expense</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826,774</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807,042</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906,416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823,683</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877,619</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873,032</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894,348</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Amortization of core deposit and other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intangible assets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(3,914)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(3,913)</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(3,913)</w:t>
            </w: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(4,305)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(5,088)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(5,077)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(5,020)</w:t>
            </w:r>
          </w:p>
        </w:tc>
        <w:tc>
          <w:tcPr>
            <w:tcW w:w="0" w:type="dxa"/>
            <w:vAlign w:val="bottom"/>
          </w:tcPr>
          <w:p>
            <w:pPr>
              <w:spacing w:after="0"/>
              <w:rPr>
                <w:sz w:val="1"/>
                <w:szCs w:val="1"/>
                <w:color w:val="auto"/>
              </w:rPr>
            </w:pPr>
          </w:p>
        </w:tc>
      </w:tr>
      <w:tr>
        <w:trPr>
          <w:trHeight w:val="142"/>
        </w:trPr>
        <w:tc>
          <w:tcPr>
            <w:tcW w:w="3280" w:type="dxa"/>
            <w:vAlign w:val="bottom"/>
            <w:tcBorders>
              <w:top w:val="single" w:sz="8" w:color="CFF0FC"/>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Noninterest operating expense</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822,860</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803,129</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902,503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819,378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872,531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867,955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889,328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Efficiency ratio</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Noninterest operating expense (numerator)</w:t>
            </w:r>
          </w:p>
        </w:tc>
        <w:tc>
          <w:tcPr>
            <w:tcW w:w="3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822,860</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803,129</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902,503</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819,378</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872,531</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867,955</w:t>
            </w:r>
          </w:p>
        </w:tc>
        <w:tc>
          <w:tcPr>
            <w:tcW w:w="2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889,328</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Taxable-equivalent net interest income</w:t>
            </w: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947,114</w:t>
            </w:r>
          </w:p>
        </w:tc>
        <w:tc>
          <w:tcPr>
            <w:tcW w:w="28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961,371</w:t>
            </w:r>
          </w:p>
        </w:tc>
        <w:tc>
          <w:tcPr>
            <w:tcW w:w="28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981,868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1,014,225</w:t>
            </w:r>
          </w:p>
        </w:tc>
        <w:tc>
          <w:tcPr>
            <w:tcW w:w="28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1,035,469</w:t>
            </w:r>
          </w:p>
        </w:tc>
        <w:tc>
          <w:tcPr>
            <w:tcW w:w="28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1,047,406</w:t>
            </w:r>
          </w:p>
        </w:tc>
        <w:tc>
          <w:tcPr>
            <w:tcW w:w="26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1,056,027</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520,561</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487,273</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529,360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521,040</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527,779</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512,095</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500,765</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Less: Gain (loss) on bank investment securities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6,969</w:t>
            </w:r>
          </w:p>
        </w:tc>
        <w:tc>
          <w:tcPr>
            <w:tcW w:w="28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(20,782)</w:t>
            </w:r>
          </w:p>
        </w:tc>
        <w:tc>
          <w:tcPr>
            <w:tcW w:w="1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(6,452)</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3,737</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8,911</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CFF0FC"/>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Denominator</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1,464,902</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1,441,675</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1,532,010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1,541,717</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1,559,511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1,550,590</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1,544,951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Efficiency ratio</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56.17%</w:t>
            </w:r>
          </w:p>
        </w:tc>
        <w:tc>
          <w:tcPr>
            <w:tcW w:w="11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55.71%</w:t>
            </w:r>
          </w:p>
        </w:tc>
        <w:tc>
          <w:tcPr>
            <w:tcW w:w="94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58.91%</w:t>
            </w:r>
          </w:p>
        </w:tc>
        <w:tc>
          <w:tcPr>
            <w:tcW w:w="140" w:type="dxa"/>
            <w:vAlign w:val="bottom"/>
          </w:tcPr>
          <w:p>
            <w:pPr>
              <w:spacing w:after="0"/>
              <w:rPr>
                <w:sz w:val="14"/>
                <w:szCs w:val="14"/>
                <w:color w:val="auto"/>
              </w:rPr>
            </w:pPr>
          </w:p>
        </w:tc>
        <w:tc>
          <w:tcPr>
            <w:tcW w:w="110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53.15%</w:t>
            </w:r>
          </w:p>
        </w:tc>
        <w:tc>
          <w:tcPr>
            <w:tcW w:w="11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55.95%</w:t>
            </w:r>
          </w:p>
        </w:tc>
        <w:tc>
          <w:tcPr>
            <w:tcW w:w="108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55.98%</w:t>
            </w:r>
          </w:p>
        </w:tc>
        <w:tc>
          <w:tcPr>
            <w:tcW w:w="110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57.56%</w:t>
            </w:r>
          </w:p>
        </w:tc>
        <w:tc>
          <w:tcPr>
            <w:tcW w:w="0" w:type="dxa"/>
            <w:vAlign w:val="bottom"/>
          </w:tcPr>
          <w:p>
            <w:pPr>
              <w:spacing w:after="0"/>
              <w:rPr>
                <w:sz w:val="1"/>
                <w:szCs w:val="1"/>
                <w:color w:val="auto"/>
              </w:rPr>
            </w:pPr>
          </w:p>
        </w:tc>
      </w:tr>
      <w:tr>
        <w:trPr>
          <w:trHeight w:val="129"/>
        </w:trPr>
        <w:tc>
          <w:tcPr>
            <w:tcW w:w="328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sheet data (in millions)</w:t>
            </w:r>
          </w:p>
        </w:tc>
        <w:tc>
          <w:tcPr>
            <w:tcW w:w="30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Average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Average assets</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140,181</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136,446</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120,585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122,554</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120,388</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118,487</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116,839</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(4,593)</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(4,593)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(19)</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(23)</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(31)</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(36)</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(41)</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48"/>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Deferred taxes</w:t>
            </w:r>
          </w:p>
        </w:tc>
        <w:tc>
          <w:tcPr>
            <w:tcW w:w="3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Average tangible assets</w:t>
            </w:r>
          </w:p>
        </w:tc>
        <w:tc>
          <w:tcPr>
            <w:tcW w:w="3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135,574</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131,836</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115,972</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117,938</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115,769</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113,864</w:t>
            </w:r>
          </w:p>
        </w:tc>
        <w:tc>
          <w:tcPr>
            <w:tcW w:w="2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112,213</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Average common equity</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Average total equity</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16,073</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15,953</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15,720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15,832</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15,837</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15,630</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15,569</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(1,250)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(1,250)</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1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(1,250)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(1,373)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(1,232)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(1,232)</w:t>
            </w:r>
          </w:p>
        </w:tc>
        <w:tc>
          <w:tcPr>
            <w:tcW w:w="0" w:type="dxa"/>
            <w:vAlign w:val="bottom"/>
          </w:tcPr>
          <w:p>
            <w:pPr>
              <w:spacing w:after="0"/>
              <w:rPr>
                <w:sz w:val="1"/>
                <w:szCs w:val="1"/>
                <w:color w:val="auto"/>
              </w:rPr>
            </w:pPr>
          </w:p>
        </w:tc>
      </w:tr>
      <w:tr>
        <w:trPr>
          <w:trHeight w:val="142"/>
        </w:trPr>
        <w:tc>
          <w:tcPr>
            <w:tcW w:w="3280" w:type="dxa"/>
            <w:vAlign w:val="bottom"/>
            <w:tcBorders>
              <w:top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Average common equity</w:t>
            </w:r>
          </w:p>
        </w:tc>
        <w:tc>
          <w:tcPr>
            <w:tcW w:w="3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14,823</w:t>
            </w: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14,703</w:t>
            </w: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14,470</w:t>
            </w: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14,582</w:t>
            </w: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14,464</w:t>
            </w: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14,398</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14,337</w:t>
            </w:r>
          </w:p>
        </w:tc>
        <w:tc>
          <w:tcPr>
            <w:tcW w:w="2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(4,593)</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(4,593)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(19)</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(23)</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(31)</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(36)</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(41)</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49"/>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Deferred taxes</w:t>
            </w:r>
          </w:p>
        </w:tc>
        <w:tc>
          <w:tcPr>
            <w:tcW w:w="3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Average tangible common equity</w:t>
            </w:r>
          </w:p>
        </w:tc>
        <w:tc>
          <w:tcPr>
            <w:tcW w:w="3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10,216</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10,093</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9,857</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9,966</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9,845</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9,775</w:t>
            </w:r>
          </w:p>
        </w:tc>
        <w:tc>
          <w:tcPr>
            <w:tcW w:w="2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9,711</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At end of quarter</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138,627</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139,537</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124,578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119,873</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125,501</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121,555</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120,025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Goodwill</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(4,593)</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(4,593)</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(17)</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(21)</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(29)</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taxes</w:t>
            </w:r>
          </w:p>
        </w:tc>
        <w:tc>
          <w:tcPr>
            <w:tcW w:w="30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8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8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6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Borders>
              <w:bottom w:val="single" w:sz="8" w:color="CFF0FC"/>
            </w:tcBorders>
          </w:tcPr>
          <w:p>
            <w:pPr>
              <w:ind w:left="260"/>
              <w:spacing w:after="0" w:line="142" w:lineRule="exact"/>
              <w:rPr>
                <w:sz w:val="20"/>
                <w:szCs w:val="20"/>
                <w:color w:val="auto"/>
              </w:rPr>
            </w:pPr>
            <w:r>
              <w:rPr>
                <w:rFonts w:ascii="Times New Roman" w:cs="Times New Roman" w:eastAsia="Times New Roman" w:hAnsi="Times New Roman"/>
                <w:sz w:val="13"/>
                <w:szCs w:val="13"/>
                <w:color w:val="auto"/>
              </w:rPr>
              <w:t>Total tangible assets</w:t>
            </w:r>
          </w:p>
        </w:tc>
        <w:tc>
          <w:tcPr>
            <w:tcW w:w="3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134,021</w:t>
            </w:r>
          </w:p>
        </w:tc>
        <w:tc>
          <w:tcPr>
            <w:tcW w:w="28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134,928</w:t>
            </w:r>
          </w:p>
        </w:tc>
        <w:tc>
          <w:tcPr>
            <w:tcW w:w="28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119,966</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115,258</w:t>
            </w:r>
          </w:p>
        </w:tc>
        <w:tc>
          <w:tcPr>
            <w:tcW w:w="28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120,883</w:t>
            </w:r>
          </w:p>
        </w:tc>
        <w:tc>
          <w:tcPr>
            <w:tcW w:w="28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116,934</w:t>
            </w:r>
          </w:p>
        </w:tc>
        <w:tc>
          <w:tcPr>
            <w:tcW w:w="26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115,400</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common equity</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Total equity</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16,101</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15,945</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15,717</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15,780</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15,692</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(1,250)</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(1,250)</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1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(1,250)</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(1,250)</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(1,232)</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(1,232)</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Undeclared dividends - cumulative preferred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24"/>
        </w:trPr>
        <w:tc>
          <w:tcPr>
            <w:tcW w:w="3280" w:type="dxa"/>
            <w:vAlign w:val="bottom"/>
            <w:tcBorders>
              <w:top w:val="single" w:sz="8" w:color="CFF0FC"/>
            </w:tcBorders>
            <w:shd w:val="clear" w:color="auto" w:fill="CFF0FC"/>
          </w:tcPr>
          <w:p>
            <w:pPr>
              <w:ind w:left="260"/>
              <w:spacing w:after="0" w:line="124" w:lineRule="exact"/>
              <w:rPr>
                <w:sz w:val="20"/>
                <w:szCs w:val="20"/>
                <w:color w:val="auto"/>
              </w:rPr>
            </w:pPr>
            <w:r>
              <w:rPr>
                <w:rFonts w:ascii="Times New Roman" w:cs="Times New Roman" w:eastAsia="Times New Roman" w:hAnsi="Times New Roman"/>
                <w:sz w:val="13"/>
                <w:szCs w:val="13"/>
                <w:color w:val="auto"/>
              </w:rPr>
              <w:t>Common equity, net of undeclared</w:t>
            </w:r>
          </w:p>
        </w:tc>
        <w:tc>
          <w:tcPr>
            <w:tcW w:w="30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cumulative preferred dividends</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14,851</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14,695</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14,566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14,467</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14,530</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14,457</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2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(4,593)</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(4,593)</w:t>
            </w:r>
          </w:p>
        </w:tc>
        <w:tc>
          <w:tcPr>
            <w:tcW w:w="1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(4,593)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(17)</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(21)</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(29)</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(33)</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(38)</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48"/>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Deferred taxes</w:t>
            </w:r>
          </w:p>
        </w:tc>
        <w:tc>
          <w:tcPr>
            <w:tcW w:w="3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Total tangible common equity</w:t>
            </w:r>
          </w:p>
        </w:tc>
        <w:tc>
          <w:tcPr>
            <w:tcW w:w="3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10,245</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10,086</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9,954</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9,852</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9,912</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9,836</w:t>
            </w:r>
          </w:p>
        </w:tc>
        <w:tc>
          <w:tcPr>
            <w:tcW w:w="2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9,728</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4"/>
          <w:szCs w:val="14"/>
          <w:i w:val="1"/>
          <w:iCs w:val="1"/>
          <w:color w:val="auto"/>
        </w:rPr>
        <w:t>a)</w:t>
      </w:r>
      <w:r>
        <w:rPr>
          <w:sz w:val="20"/>
          <w:szCs w:val="20"/>
          <w:color w:val="auto"/>
        </w:rPr>
        <w:tab/>
      </w:r>
      <w:r>
        <w:rPr>
          <w:rFonts w:ascii="Times New Roman" w:cs="Times New Roman" w:eastAsia="Times New Roman" w:hAnsi="Times New Roman"/>
          <w:sz w:val="14"/>
          <w:szCs w:val="14"/>
          <w:i w:val="1"/>
          <w:iCs w:val="1"/>
          <w:color w:val="auto"/>
        </w:rPr>
        <w:t>After any related tax effect.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3</w:t>
            </w:r>
          </w:p>
        </w:tc>
        <w:tc>
          <w:tcPr>
            <w:tcW w:w="0" w:type="dxa"/>
            <w:vAlign w:val="bottom"/>
          </w:tcPr>
          <w:p>
            <w:pPr>
              <w:spacing w:after="0"/>
              <w:rPr>
                <w:sz w:val="1"/>
                <w:szCs w:val="1"/>
                <w:color w:val="auto"/>
              </w:rPr>
            </w:pPr>
          </w:p>
        </w:tc>
      </w:tr>
      <w:tr>
        <w:trPr>
          <w:trHeight w:val="316"/>
        </w:trPr>
        <w:tc>
          <w:tcPr>
            <w:tcW w:w="762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AVERAGE BALANCE SHEETS AND ANNUALIZED TAXABLE-EQUIVALENT RATES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5"/>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2020 Third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5"/>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2020 Second Quarter</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2020 First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0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20" w:type="dxa"/>
            <w:vAlign w:val="bottom"/>
            <w:gridSpan w:val="3"/>
            <w:vMerge w:val="continue"/>
          </w:tcPr>
          <w:p>
            <w:pPr>
              <w:spacing w:after="0"/>
              <w:rPr>
                <w:sz w:val="15"/>
                <w:szCs w:val="15"/>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5"/>
                <w:szCs w:val="15"/>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8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Average balance in millions; interest</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Loans and leases, net of unearned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discount (a)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financial, etc.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217,171</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29,733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229,058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24,290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247,344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Real estate – commercial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398,619</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412,362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440,291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Real estate – consumer</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152,594</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156,135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160,650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192,223</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187,041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203,546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loans and leases, net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98,210</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960,607</w:t>
            </w:r>
          </w:p>
        </w:tc>
        <w:tc>
          <w:tcPr>
            <w:tcW w:w="2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97,797</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984,596</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91,706</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1,051,831</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18,966</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funds sold and agreements</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resell securities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Trading account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37,157</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43,889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45,449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Obligations of states and political</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subdivisions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4,704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7,876</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38,594</w:t>
            </w:r>
          </w:p>
        </w:tc>
        <w:tc>
          <w:tcPr>
            <w:tcW w:w="2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47,256</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9,102</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50,194</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8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Total earning assets</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127,689</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1,005,180</w:t>
            </w:r>
          </w:p>
        </w:tc>
        <w:tc>
          <w:tcPr>
            <w:tcW w:w="20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123,492</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1,036,476</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108,226</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1,125,482</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12,252</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98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140,181</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136,446</w:t>
            </w:r>
          </w:p>
        </w:tc>
        <w:tc>
          <w:tcPr>
            <w:tcW w:w="22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120,585</w:t>
            </w:r>
          </w:p>
        </w:tc>
        <w:tc>
          <w:tcPr>
            <w:tcW w:w="20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Savings and interest-checking</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22,403</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62,927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56,366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78,002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deposits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14,519</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19,883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21,872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Deposits at Cayman Islands office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71,520</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37,163</w:t>
            </w:r>
          </w:p>
        </w:tc>
        <w:tc>
          <w:tcPr>
            <w:tcW w:w="2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69,298</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46,498</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63,710</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103,293</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20,902</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28,605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40,298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98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77,081</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58,066</w:t>
            </w:r>
          </w:p>
        </w:tc>
        <w:tc>
          <w:tcPr>
            <w:tcW w:w="200" w:type="dxa"/>
            <w:vAlign w:val="bottom"/>
            <w:tcBorders>
              <w:bottom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Borders>
              <w:bottom w:val="single" w:sz="8" w:color="CFF0FC"/>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75,550</w:t>
            </w:r>
          </w:p>
        </w:tc>
        <w:tc>
          <w:tcPr>
            <w:tcW w:w="220" w:type="dxa"/>
            <w:vAlign w:val="bottom"/>
            <w:tcBorders>
              <w:bottom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75,105</w:t>
            </w:r>
          </w:p>
        </w:tc>
        <w:tc>
          <w:tcPr>
            <w:tcW w:w="220" w:type="dxa"/>
            <w:vAlign w:val="bottom"/>
            <w:tcBorders>
              <w:bottom w:val="single" w:sz="8" w:color="CFF0FC"/>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tcBorders>
              <w:bottom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70,008</w:t>
            </w:r>
          </w:p>
        </w:tc>
        <w:tc>
          <w:tcPr>
            <w:tcW w:w="200" w:type="dxa"/>
            <w:vAlign w:val="bottom"/>
            <w:tcBorders>
              <w:bottom w:val="single" w:sz="8" w:color="CFF0FC"/>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143,614</w:t>
            </w:r>
          </w:p>
        </w:tc>
        <w:tc>
          <w:tcPr>
            <w:tcW w:w="220" w:type="dxa"/>
            <w:vAlign w:val="bottom"/>
            <w:tcBorders>
              <w:bottom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44,786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42,497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32,456</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124,108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120,493</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104,865</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16,073</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15,953</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15,720</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FF0FC"/>
            </w:tcBorders>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140,181</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136,446</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120,585</w:t>
            </w: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interest income/margin on</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earning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947,114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961,371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981,868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nonaccrual loans.</w:t>
      </w:r>
    </w:p>
    <w:p>
      <w:pPr>
        <w:spacing w:after="0" w:line="29" w:lineRule="exact"/>
        <w:rPr>
          <w:rFonts w:ascii="Times New Roman" w:cs="Times New Roman" w:eastAsia="Times New Roman" w:hAnsi="Times New Roman"/>
          <w:sz w:val="18"/>
          <w:szCs w:val="18"/>
          <w:i w:val="1"/>
          <w:iCs w:val="1"/>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available-for-sale securities at amortized cost.</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Table 3 (continued)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AVERAGE BALANCE SHEETS AND ANNUALIZED TAXABLE-EQUIVALENT RATES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2019 Fourth Quarter</w:t>
            </w:r>
          </w:p>
        </w:tc>
        <w:tc>
          <w:tcPr>
            <w:tcW w:w="7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6"/>
                <w:szCs w:val="16"/>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2019 Third Quarter</w:t>
            </w:r>
          </w:p>
        </w:tc>
        <w:tc>
          <w:tcPr>
            <w:tcW w:w="74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94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Average balance in millions; interest in thousands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Loans and leases, net of unearned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discount (a)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financial, etc.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23,548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258,969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23,326</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283,291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Real estate – commercial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452,752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35,200</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462,759</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Real estate – consumer</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16,330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169,371</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16,673</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175,098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203,205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14,879</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204,097</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loans and leases, net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90,244</w:t>
            </w:r>
          </w:p>
        </w:tc>
        <w:tc>
          <w:tcPr>
            <w:tcW w:w="3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1,084,297</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90,078</w:t>
            </w: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1,125,245</w:t>
            </w: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37,277</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40,388</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funds sold and agreements</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resell securities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Trading account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57,123</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10,271</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62,506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6,593</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3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63,551</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69,173</w:t>
            </w: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Total earning assets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110,581</w:t>
            </w:r>
          </w:p>
        </w:tc>
        <w:tc>
          <w:tcPr>
            <w:tcW w:w="3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1,191,295</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108,643</w:t>
            </w:r>
          </w:p>
        </w:tc>
        <w:tc>
          <w:tcPr>
            <w:tcW w:w="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1,235,048</w:t>
            </w: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11,715</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11,476</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9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122,554</w:t>
            </w:r>
          </w:p>
        </w:tc>
        <w:tc>
          <w:tcPr>
            <w:tcW w:w="3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120,388</w:t>
            </w:r>
          </w:p>
        </w:tc>
        <w:tc>
          <w:tcPr>
            <w:tcW w:w="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Savings and interest-checking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95,585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55,680</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104,724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6,015</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23,958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6,343</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25,456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Deposits at Cayman Islands office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64,834</w:t>
            </w:r>
          </w:p>
        </w:tc>
        <w:tc>
          <w:tcPr>
            <w:tcW w:w="3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124,465</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63,545</w:t>
            </w: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136,398</w:t>
            </w: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49,437</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7,121</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56,214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72,450</w:t>
            </w:r>
          </w:p>
        </w:tc>
        <w:tc>
          <w:tcPr>
            <w:tcW w:w="3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177,070</w:t>
            </w:r>
          </w:p>
        </w:tc>
        <w:tc>
          <w:tcPr>
            <w:tcW w:w="320" w:type="dxa"/>
            <w:vAlign w:val="bottom"/>
            <w:tcBorders>
              <w:bottom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tcBorders>
              <w:bottom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71,878</w:t>
            </w:r>
          </w:p>
        </w:tc>
        <w:tc>
          <w:tcPr>
            <w:tcW w:w="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199,579</w:t>
            </w:r>
          </w:p>
        </w:tc>
        <w:tc>
          <w:tcPr>
            <w:tcW w:w="30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32,069</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30,550</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3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106,722</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104,551</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15,832</w:t>
            </w:r>
          </w:p>
        </w:tc>
        <w:tc>
          <w:tcPr>
            <w:tcW w:w="3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15,837</w:t>
            </w:r>
          </w:p>
        </w:tc>
        <w:tc>
          <w:tcPr>
            <w:tcW w:w="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122,554</w:t>
            </w:r>
          </w:p>
        </w:tc>
        <w:tc>
          <w:tcPr>
            <w:tcW w:w="3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120,388</w:t>
            </w: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income/margin on earning assets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1,014,225</w:t>
            </w:r>
          </w:p>
        </w:tc>
        <w:tc>
          <w:tcPr>
            <w:tcW w:w="3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1,035,469</w:t>
            </w:r>
          </w:p>
        </w:tc>
        <w:tc>
          <w:tcPr>
            <w:tcW w:w="3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nonaccrual loans.</w:t>
      </w:r>
    </w:p>
    <w:p>
      <w:pPr>
        <w:spacing w:after="0" w:line="29" w:lineRule="exact"/>
        <w:rPr>
          <w:rFonts w:ascii="Times New Roman" w:cs="Times New Roman" w:eastAsia="Times New Roman" w:hAnsi="Times New Roman"/>
          <w:sz w:val="18"/>
          <w:szCs w:val="18"/>
          <w:i w:val="1"/>
          <w:iCs w:val="1"/>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p>
    <w:p>
      <w:pPr>
        <w:spacing w:after="0" w:line="110" w:lineRule="exact"/>
        <w:rPr>
          <w:sz w:val="20"/>
          <w:szCs w:val="20"/>
          <w:color w:val="auto"/>
        </w:rPr>
      </w:pPr>
    </w:p>
    <w:p>
      <w:pPr>
        <w:ind w:firstLine="468"/>
        <w:spacing w:after="0" w:line="270" w:lineRule="auto"/>
        <w:rPr>
          <w:sz w:val="20"/>
          <w:szCs w:val="20"/>
          <w:color w:val="auto"/>
        </w:rPr>
      </w:pPr>
      <w:r>
        <w:rPr>
          <w:rFonts w:ascii="Times New Roman" w:cs="Times New Roman" w:eastAsia="Times New Roman" w:hAnsi="Times New Roman"/>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8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Controls and Procedures.</w:t>
      </w:r>
    </w:p>
    <w:p>
      <w:pPr>
        <w:spacing w:after="0" w:line="110" w:lineRule="exact"/>
        <w:rPr>
          <w:sz w:val="20"/>
          <w:szCs w:val="20"/>
          <w:color w:val="auto"/>
        </w:rPr>
      </w:pPr>
    </w:p>
    <w:p>
      <w:pPr>
        <w:jc w:val="both"/>
        <w:ind w:firstLine="476"/>
        <w:spacing w:after="0" w:line="251" w:lineRule="auto"/>
        <w:tabs>
          <w:tab w:leader="none" w:pos="78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September 30, 2020.</w:t>
      </w:r>
    </w:p>
    <w:p>
      <w:pPr>
        <w:spacing w:after="0" w:line="204" w:lineRule="exact"/>
        <w:rPr>
          <w:rFonts w:ascii="Times New Roman" w:cs="Times New Roman" w:eastAsia="Times New Roman" w:hAnsi="Times New Roman"/>
          <w:sz w:val="21"/>
          <w:szCs w:val="21"/>
          <w:color w:val="auto"/>
        </w:rPr>
      </w:pPr>
    </w:p>
    <w:p>
      <w:pPr>
        <w:jc w:val="both"/>
        <w:ind w:firstLine="476"/>
        <w:spacing w:after="0" w:line="248" w:lineRule="auto"/>
        <w:tabs>
          <w:tab w:leader="none" w:pos="80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2020 that have materially affected, or are reasonably likely to materially affect, M&amp;T’s internal control over financial reporting.</w:t>
      </w:r>
    </w:p>
    <w:p>
      <w:pPr>
        <w:spacing w:after="0" w:line="210"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21"/>
          <w:szCs w:val="21"/>
          <w:color w:val="auto"/>
        </w:rPr>
        <w:t>The emergence of the COVID-19 pandemic during the first quarter of 2020 necessitated the execution of several M&amp;T contingency plans. Beginning in March 2020 and continuing through this filing date, the Company had a substantial number of its employees working remotely under such contingency plans.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PART II. OTHER INFORMATION</w:t>
      </w:r>
    </w:p>
    <w:p>
      <w:pPr>
        <w:spacing w:after="0" w:line="24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1.</w:t>
      </w:r>
      <w:r>
        <w:rPr>
          <w:sz w:val="20"/>
          <w:szCs w:val="20"/>
          <w:color w:val="auto"/>
        </w:rPr>
        <w:tab/>
      </w:r>
      <w:r>
        <w:rPr>
          <w:rFonts w:ascii="Times New Roman" w:cs="Times New Roman" w:eastAsia="Times New Roman" w:hAnsi="Times New Roman"/>
          <w:sz w:val="20"/>
          <w:szCs w:val="20"/>
          <w:color w:val="auto"/>
        </w:rPr>
        <w:t>Legal Proceedings.</w:t>
      </w:r>
    </w:p>
    <w:p>
      <w:pPr>
        <w:spacing w:after="0" w:line="110" w:lineRule="exact"/>
        <w:rPr>
          <w:sz w:val="20"/>
          <w:szCs w:val="20"/>
          <w:color w:val="auto"/>
        </w:rPr>
      </w:pPr>
    </w:p>
    <w:p>
      <w:pPr>
        <w:jc w:val="both"/>
        <w:ind w:firstLine="568"/>
        <w:spacing w:after="0" w:line="244"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21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1A.</w:t>
      </w:r>
      <w:r>
        <w:rPr>
          <w:sz w:val="20"/>
          <w:szCs w:val="20"/>
          <w:color w:val="auto"/>
        </w:rPr>
        <w:tab/>
      </w:r>
      <w:r>
        <w:rPr>
          <w:rFonts w:ascii="Times New Roman" w:cs="Times New Roman" w:eastAsia="Times New Roman" w:hAnsi="Times New Roman"/>
          <w:sz w:val="20"/>
          <w:szCs w:val="20"/>
          <w:color w:val="auto"/>
        </w:rPr>
        <w:t>Risk Factors.</w:t>
      </w:r>
    </w:p>
    <w:p>
      <w:pPr>
        <w:spacing w:after="0" w:line="110" w:lineRule="exact"/>
        <w:rPr>
          <w:sz w:val="20"/>
          <w:szCs w:val="20"/>
          <w:color w:val="auto"/>
        </w:rPr>
      </w:pPr>
    </w:p>
    <w:p>
      <w:pPr>
        <w:jc w:val="both"/>
        <w:ind w:right="20" w:firstLine="562"/>
        <w:spacing w:after="0" w:line="270" w:lineRule="auto"/>
        <w:rPr>
          <w:sz w:val="20"/>
          <w:szCs w:val="20"/>
          <w:color w:val="auto"/>
        </w:rPr>
      </w:pPr>
      <w:r>
        <w:rPr>
          <w:rFonts w:ascii="Times New Roman" w:cs="Times New Roman" w:eastAsia="Times New Roman" w:hAnsi="Times New Roman"/>
          <w:sz w:val="21"/>
          <w:szCs w:val="21"/>
          <w:color w:val="auto"/>
        </w:rPr>
        <w:t>In addition to the risk factors relating to M&amp;T as disclosed in response to Item 1A. to Part I of Form 10-K for the year ended December 31, 2019, a supplemental risk factor is presented below.</w:t>
      </w:r>
    </w:p>
    <w:p>
      <w:pPr>
        <w:spacing w:after="0" w:line="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i w:val="1"/>
          <w:iCs w:val="1"/>
          <w:color w:val="auto"/>
        </w:rPr>
        <w:t>M&amp;T’s business, financial condition, liquidity, capital and results of operations have been, and will likely continue to be, adversely affected by the COVID-19 pandemic.</w:t>
      </w:r>
    </w:p>
    <w:p>
      <w:pPr>
        <w:spacing w:after="0" w:line="49" w:lineRule="exact"/>
        <w:rPr>
          <w:sz w:val="20"/>
          <w:szCs w:val="20"/>
          <w:color w:val="auto"/>
        </w:rPr>
      </w:pPr>
    </w:p>
    <w:p>
      <w:pPr>
        <w:jc w:val="both"/>
        <w:ind w:firstLine="568"/>
        <w:spacing w:after="0" w:line="255" w:lineRule="auto"/>
        <w:rPr>
          <w:sz w:val="20"/>
          <w:szCs w:val="20"/>
          <w:color w:val="auto"/>
        </w:rPr>
      </w:pPr>
      <w:r>
        <w:rPr>
          <w:rFonts w:ascii="Times New Roman" w:cs="Times New Roman" w:eastAsia="Times New Roman" w:hAnsi="Times New Roman"/>
          <w:sz w:val="21"/>
          <w:szCs w:val="21"/>
          <w:color w:val="auto"/>
        </w:rPr>
        <w:t>The Coronavirus Disease 2019 (“COVID-19”) pandemic has caused severe disruption to the U.S. and global economy and created significant volatility in the financial markets. The duration of this disruption and impact cannot be reasonably estimated at this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3" w:name="page94"/>
    <w:bookmarkEnd w:id="93"/>
    <w:p>
      <w:pPr>
        <w:jc w:val="both"/>
        <w:ind w:firstLine="568"/>
        <w:spacing w:after="0" w:line="246" w:lineRule="auto"/>
        <w:rPr>
          <w:sz w:val="20"/>
          <w:szCs w:val="20"/>
          <w:color w:val="auto"/>
        </w:rPr>
      </w:pPr>
      <w:r>
        <w:rPr>
          <w:rFonts w:ascii="Times New Roman" w:cs="Times New Roman" w:eastAsia="Times New Roman" w:hAnsi="Times New Roman"/>
          <w:sz w:val="21"/>
          <w:szCs w:val="21"/>
          <w:color w:val="auto"/>
        </w:rPr>
        <w:t>The pandemic has created economic and financial disruptions that have adversely affected, and are likely to continue to adversely affect, the Company’s business, financial condition, liquidity, capital and results of operations. The extent to which the COVID-19 pandemic will continue to negatively affect the Company’s business, financial condition, liquidity, capital and results of operations will depend on future developments (including the scope and duration of the pandemic, the continued effectiveness of M&amp;T’s business continuity plans, the direct and indirect impact of the pandemic on the Company’s employees, customers, clients, counterparties, vendors, service providers and other market participants, and actions taken by governmental authorities and other third parties in response to the pandemic), which are highly uncertain and cannot be reasonably predicted.</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The COVID-19 pandemic contributed to:</w:t>
      </w:r>
    </w:p>
    <w:p>
      <w:pPr>
        <w:spacing w:after="0" w:line="110" w:lineRule="exact"/>
        <w:rPr>
          <w:sz w:val="20"/>
          <w:szCs w:val="20"/>
          <w:color w:val="auto"/>
        </w:rPr>
      </w:pPr>
    </w:p>
    <w:p>
      <w:pPr>
        <w:ind w:left="740" w:right="240" w:hanging="273"/>
        <w:spacing w:after="0" w:line="253" w:lineRule="auto"/>
        <w:tabs>
          <w:tab w:leader="none" w:pos="7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Increased unemployment levels, interrupted income of consumers and decreased consumer confidence generally, leading to an increased risk of delinquencies, defaults and foreclosures;</w:t>
      </w:r>
    </w:p>
    <w:p>
      <w:pPr>
        <w:ind w:left="740" w:right="20" w:hanging="273"/>
        <w:spacing w:after="0" w:line="241" w:lineRule="auto"/>
        <w:tabs>
          <w:tab w:leader="none" w:pos="7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Increased disruption to businesses, permanent or temporary closure of businesses and decreased business confidence generally, leading to increased risk of delinquencies, defaults and bankruptcies;</w:t>
      </w:r>
    </w:p>
    <w:p>
      <w:pPr>
        <w:spacing w:after="0" w:line="1" w:lineRule="exact"/>
        <w:rPr>
          <w:rFonts w:ascii="Times New Roman" w:cs="Times New Roman" w:eastAsia="Times New Roman" w:hAnsi="Times New Roman"/>
          <w:sz w:val="21"/>
          <w:szCs w:val="21"/>
          <w:color w:val="auto"/>
        </w:rPr>
      </w:pPr>
    </w:p>
    <w:p>
      <w:pPr>
        <w:ind w:left="740" w:hanging="273"/>
        <w:spacing w:after="0" w:line="241" w:lineRule="auto"/>
        <w:tabs>
          <w:tab w:leader="none" w:pos="7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sudden and significant reduction in the valuation of the equity, fixed-income and commodity markets and the significant increase in the volatility of those markets;</w:t>
      </w:r>
    </w:p>
    <w:p>
      <w:pPr>
        <w:spacing w:after="0" w:line="1" w:lineRule="exact"/>
        <w:rPr>
          <w:rFonts w:ascii="Times New Roman" w:cs="Times New Roman" w:eastAsia="Times New Roman" w:hAnsi="Times New Roman"/>
          <w:sz w:val="21"/>
          <w:szCs w:val="21"/>
          <w:color w:val="auto"/>
        </w:rPr>
      </w:pPr>
    </w:p>
    <w:p>
      <w:pPr>
        <w:ind w:left="740" w:hanging="273"/>
        <w:spacing w:after="0" w:line="241" w:lineRule="auto"/>
        <w:tabs>
          <w:tab w:leader="none" w:pos="7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decrease in the rates and yields on U.S. Treasury securities, which has negatively impacted the Company’s net interest income and margin;</w:t>
      </w:r>
    </w:p>
    <w:p>
      <w:pPr>
        <w:spacing w:after="0" w:line="1" w:lineRule="exact"/>
        <w:rPr>
          <w:rFonts w:ascii="Times New Roman" w:cs="Times New Roman" w:eastAsia="Times New Roman" w:hAnsi="Times New Roman"/>
          <w:sz w:val="21"/>
          <w:szCs w:val="21"/>
          <w:color w:val="auto"/>
        </w:rPr>
      </w:pPr>
    </w:p>
    <w:p>
      <w:pPr>
        <w:ind w:left="740" w:hanging="273"/>
        <w:spacing w:after="0"/>
        <w:tabs>
          <w:tab w:leader="none" w:pos="7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Declines in collateral values;</w:t>
      </w:r>
    </w:p>
    <w:p>
      <w:pPr>
        <w:spacing w:after="0" w:line="1" w:lineRule="exact"/>
        <w:rPr>
          <w:rFonts w:ascii="Times New Roman" w:cs="Times New Roman" w:eastAsia="Times New Roman" w:hAnsi="Times New Roman"/>
          <w:sz w:val="21"/>
          <w:szCs w:val="21"/>
          <w:color w:val="auto"/>
        </w:rPr>
      </w:pPr>
    </w:p>
    <w:p>
      <w:pPr>
        <w:ind w:left="740" w:hanging="273"/>
        <w:spacing w:after="0"/>
        <w:tabs>
          <w:tab w:leader="none" w:pos="7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Increased demands on capital and liquidity, leading M&amp;T to cease repurchases of its common stock for the time being;</w:t>
      </w:r>
    </w:p>
    <w:p>
      <w:pPr>
        <w:spacing w:after="0" w:line="1" w:lineRule="exact"/>
        <w:rPr>
          <w:rFonts w:ascii="Times New Roman" w:cs="Times New Roman" w:eastAsia="Times New Roman" w:hAnsi="Times New Roman"/>
          <w:sz w:val="21"/>
          <w:szCs w:val="21"/>
          <w:color w:val="auto"/>
        </w:rPr>
      </w:pPr>
    </w:p>
    <w:p>
      <w:pPr>
        <w:ind w:left="740" w:hanging="273"/>
        <w:spacing w:after="0" w:line="241" w:lineRule="auto"/>
        <w:tabs>
          <w:tab w:leader="none" w:pos="7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the value of the assets that the Company manages or otherwise administers or services for customers, affecting related fee income and demand for the Company’s services;</w:t>
      </w:r>
    </w:p>
    <w:p>
      <w:pPr>
        <w:spacing w:after="0" w:line="1" w:lineRule="exact"/>
        <w:rPr>
          <w:rFonts w:ascii="Times New Roman" w:cs="Times New Roman" w:eastAsia="Times New Roman" w:hAnsi="Times New Roman"/>
          <w:sz w:val="21"/>
          <w:szCs w:val="21"/>
          <w:color w:val="auto"/>
        </w:rPr>
      </w:pPr>
    </w:p>
    <w:p>
      <w:pPr>
        <w:ind w:left="740" w:hanging="273"/>
        <w:spacing w:after="0" w:line="241" w:lineRule="auto"/>
        <w:tabs>
          <w:tab w:leader="none" w:pos="7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Heightened cybersecurity, information security and operational risks to the Company, including as a result of work-from-home arrangements;</w:t>
      </w:r>
    </w:p>
    <w:p>
      <w:pPr>
        <w:spacing w:after="0" w:line="1" w:lineRule="exact"/>
        <w:rPr>
          <w:rFonts w:ascii="Times New Roman" w:cs="Times New Roman" w:eastAsia="Times New Roman" w:hAnsi="Times New Roman"/>
          <w:sz w:val="21"/>
          <w:szCs w:val="21"/>
          <w:color w:val="auto"/>
        </w:rPr>
      </w:pPr>
    </w:p>
    <w:p>
      <w:pPr>
        <w:ind w:left="740" w:hanging="273"/>
        <w:spacing w:after="0" w:line="241" w:lineRule="auto"/>
        <w:tabs>
          <w:tab w:leader="none" w:pos="7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Disruptions to the business operations of the Company, including disruptions to branch and office openings, supply chains and employee travel and working arrangements; and</w:t>
      </w:r>
    </w:p>
    <w:p>
      <w:pPr>
        <w:spacing w:after="0" w:line="1" w:lineRule="exact"/>
        <w:rPr>
          <w:rFonts w:ascii="Times New Roman" w:cs="Times New Roman" w:eastAsia="Times New Roman" w:hAnsi="Times New Roman"/>
          <w:sz w:val="21"/>
          <w:szCs w:val="21"/>
          <w:color w:val="auto"/>
        </w:rPr>
      </w:pPr>
    </w:p>
    <w:p>
      <w:pPr>
        <w:ind w:left="740" w:hanging="273"/>
        <w:spacing w:after="0"/>
        <w:tabs>
          <w:tab w:leader="none" w:pos="7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Disruptions to business operations at counterparties, vendors and other service providers.</w:t>
      </w:r>
    </w:p>
    <w:p>
      <w:pPr>
        <w:spacing w:after="0" w:line="221" w:lineRule="exact"/>
        <w:rPr>
          <w:sz w:val="20"/>
          <w:szCs w:val="20"/>
          <w:color w:val="auto"/>
        </w:rPr>
      </w:pPr>
    </w:p>
    <w:p>
      <w:pPr>
        <w:jc w:val="both"/>
        <w:ind w:firstLine="562"/>
        <w:spacing w:after="0" w:line="248" w:lineRule="auto"/>
        <w:rPr>
          <w:sz w:val="20"/>
          <w:szCs w:val="20"/>
          <w:color w:val="auto"/>
        </w:rPr>
      </w:pPr>
      <w:r>
        <w:rPr>
          <w:rFonts w:ascii="Times New Roman" w:cs="Times New Roman" w:eastAsia="Times New Roman" w:hAnsi="Times New Roman"/>
          <w:sz w:val="21"/>
          <w:szCs w:val="21"/>
          <w:color w:val="auto"/>
        </w:rPr>
        <w:t>The pandemic is likely to continue to contribute to these risks and impacts. As a result, the Company’s credit, operational and other risks are generally expected to increase until the pandemic subsides. In addition, the Company’s business operations continue to be at risk of adverse disruption if significant portions of the Company’s workforce are unable to work effectively, including because of illness, quarantines, government actions, failures in systems or technology that disrupt work-from-home arrangements or other effects of the pandemic, or if the Company is unable to keep branches or offices open, including because of risk of infection.</w:t>
      </w:r>
    </w:p>
    <w:p>
      <w:pPr>
        <w:spacing w:after="0" w:line="210" w:lineRule="exact"/>
        <w:rPr>
          <w:sz w:val="20"/>
          <w:szCs w:val="20"/>
          <w:color w:val="auto"/>
        </w:rPr>
      </w:pPr>
    </w:p>
    <w:p>
      <w:pPr>
        <w:jc w:val="both"/>
        <w:ind w:firstLine="562"/>
        <w:spacing w:after="0" w:line="244" w:lineRule="auto"/>
        <w:rPr>
          <w:sz w:val="20"/>
          <w:szCs w:val="20"/>
          <w:color w:val="auto"/>
        </w:rPr>
      </w:pPr>
      <w:r>
        <w:rPr>
          <w:rFonts w:ascii="Times New Roman" w:cs="Times New Roman" w:eastAsia="Times New Roman" w:hAnsi="Times New Roman"/>
          <w:sz w:val="21"/>
          <w:szCs w:val="21"/>
          <w:color w:val="auto"/>
        </w:rPr>
        <w:t>Governmental authorities have taken unprecedented measures to provide economic assistance to individual households and businesses, stabilize the markets and support economic growth. The success of these measures is not yet entirely known and those measures may not be sufficient to fully mitigate the negative impact of the COVID-19 pandemic. Additionally, some measures, such as a suspension of mortgage and other loan payments and foreclosures, may have a negative impact on the Company’s business, financial condition, liquidity, capital and results of operations. If such measures are not effective in mitigating the effects of the COVID-19 pandemic on the Company’s borrowers, the Company may also experience higher rates of default and increased credit losses in future periods. The Company also faces an increased risk of litigation and governmental and regulatory scrutiny as a result of the effects of the COVID-19 pandemic on market and economic conditions and actions governmental authorities take in response to those conditions. Furthermore, various government programs such as the Paycheck Protection Program are complex and the Company’s participation may lead to litigation and governmental, regulatory and third party scrutiny, negative publicity and damage to its reputation.</w:t>
      </w:r>
    </w:p>
    <w:p>
      <w:pPr>
        <w:spacing w:after="0" w:line="215" w:lineRule="exact"/>
        <w:rPr>
          <w:sz w:val="20"/>
          <w:szCs w:val="20"/>
          <w:color w:val="auto"/>
        </w:rPr>
      </w:pPr>
    </w:p>
    <w:p>
      <w:pPr>
        <w:jc w:val="both"/>
        <w:ind w:firstLine="562"/>
        <w:spacing w:after="0" w:line="270" w:lineRule="auto"/>
        <w:rPr>
          <w:sz w:val="20"/>
          <w:szCs w:val="20"/>
          <w:color w:val="auto"/>
        </w:rPr>
      </w:pPr>
      <w:r>
        <w:rPr>
          <w:rFonts w:ascii="Times New Roman" w:cs="Times New Roman" w:eastAsia="Times New Roman" w:hAnsi="Times New Roman"/>
          <w:sz w:val="21"/>
          <w:szCs w:val="21"/>
          <w:color w:val="auto"/>
        </w:rPr>
        <w:t>The length of the pandemic and the efficacy of the extraordinary measures being put in place to address it are unknown. It is unknown when there will be a return to normal business activity and a subsiding of the economic</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94" w:name="page95"/>
    <w:bookmarkEnd w:id="94"/>
    <w:p>
      <w:pPr>
        <w:jc w:val="both"/>
        <w:spacing w:after="0" w:line="245" w:lineRule="auto"/>
        <w:rPr>
          <w:sz w:val="20"/>
          <w:szCs w:val="20"/>
          <w:color w:val="auto"/>
        </w:rPr>
      </w:pPr>
      <w:r>
        <w:rPr>
          <w:rFonts w:ascii="Times New Roman" w:cs="Times New Roman" w:eastAsia="Times New Roman" w:hAnsi="Times New Roman"/>
          <w:sz w:val="21"/>
          <w:szCs w:val="21"/>
          <w:color w:val="auto"/>
        </w:rPr>
        <w:t>stress associated with the pandemic. Prolonged continuation of the pandemic could worsen these risks and impacts. Until the pandemic subsides, the Company expects continued draws on lines of credit, reduced revenues in many of its fee-related businesses and increased customer and client defaults, including defaults in unsecured loans. Even after the pandemic subsides, the U.S. economy may experience a prolonged economic slowdown or recession, and M&amp;T anticipates the Company’s businesses would be materially and adversely affected by a prolonged economic slowdown or recession. To the extent the pandemic adversely affects the Company’s business, financial condition, liquidity, capital or results of operations, it may also have the effect of heightening many of the other risks described in the section entitled “Risk Factors” in M&amp;T’s 2019 Annual Report on Form 10-K for the year ended December 31, 2019 and M&amp;T’s other filings with the Securities and Exchange Commission.</w:t>
      </w:r>
    </w:p>
    <w:p>
      <w:pPr>
        <w:spacing w:after="0" w:line="29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Unregistered Sales of Equity Securities and Use of Proceeds.</w:t>
      </w:r>
    </w:p>
    <w:p>
      <w:pPr>
        <w:spacing w:after="0" w:line="110" w:lineRule="exact"/>
        <w:rPr>
          <w:sz w:val="20"/>
          <w:szCs w:val="20"/>
          <w:color w:val="auto"/>
        </w:rPr>
      </w:pPr>
    </w:p>
    <w:p>
      <w:pPr>
        <w:ind w:left="800" w:hanging="282"/>
        <w:spacing w:after="0"/>
        <w:tabs>
          <w:tab w:leader="none" w:pos="80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(b) Not applicable.</w:t>
      </w:r>
    </w:p>
    <w:p>
      <w:pPr>
        <w:spacing w:after="0" w:line="109" w:lineRule="exact"/>
        <w:rPr>
          <w:rFonts w:ascii="Times New Roman" w:cs="Times New Roman" w:eastAsia="Times New Roman" w:hAnsi="Times New Roman"/>
          <w:sz w:val="21"/>
          <w:szCs w:val="21"/>
          <w:color w:val="auto"/>
        </w:rPr>
      </w:pPr>
    </w:p>
    <w:p>
      <w:pPr>
        <w:spacing w:after="0"/>
        <w:tabs>
          <w:tab w:leader="none" w:pos="0" w:val="left"/>
        </w:tabs>
        <w:numPr>
          <w:ilvl w:val="0"/>
          <w:numId w:val="31"/>
        </w:numPr>
        <w:rPr>
          <w:rFonts w:ascii="Times New Roman" w:cs="Times New Roman" w:eastAsia="Times New Roman" w:hAnsi="Times New Roman"/>
          <w:sz w:val="21"/>
          <w:szCs w:val="21"/>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44"/>
              <w:spacing w:after="0" w:line="131" w:lineRule="exact"/>
              <w:rPr>
                <w:sz w:val="20"/>
                <w:szCs w:val="20"/>
                <w:color w:val="auto"/>
              </w:rPr>
            </w:pPr>
            <w:r>
              <w:rPr>
                <w:rFonts w:ascii="Times New Roman" w:cs="Times New Roman" w:eastAsia="Times New Roman" w:hAnsi="Times New Roman"/>
                <w:sz w:val="14"/>
                <w:szCs w:val="14"/>
                <w:b w:val="1"/>
                <w:bCs w:val="1"/>
                <w:color w:val="auto"/>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(a)Total</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(b)Average</w:t>
            </w: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4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67"/>
        </w:trPr>
        <w:tc>
          <w:tcPr>
            <w:tcW w:w="4180" w:type="dxa"/>
            <w:vAlign w:val="bottom"/>
            <w:gridSpan w:val="3"/>
            <w:vMerge w:val="continue"/>
          </w:tcPr>
          <w:p>
            <w:pPr>
              <w:spacing w:after="0"/>
              <w:rPr>
                <w:sz w:val="14"/>
                <w:szCs w:val="14"/>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(1)</w:t>
            </w:r>
          </w:p>
        </w:tc>
        <w:tc>
          <w:tcPr>
            <w:tcW w:w="280" w:type="dxa"/>
            <w:vAlign w:val="bottom"/>
          </w:tcPr>
          <w:p>
            <w:pPr>
              <w:spacing w:after="0"/>
              <w:rPr>
                <w:sz w:val="14"/>
                <w:szCs w:val="14"/>
                <w:color w:val="auto"/>
              </w:rPr>
            </w:pPr>
          </w:p>
        </w:tc>
        <w:tc>
          <w:tcPr>
            <w:tcW w:w="11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(or Unit)</w:t>
            </w:r>
          </w:p>
        </w:tc>
        <w:tc>
          <w:tcPr>
            <w:tcW w:w="10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Programs (2)</w:t>
            </w:r>
          </w:p>
        </w:tc>
        <w:tc>
          <w:tcPr>
            <w:tcW w:w="0" w:type="dxa"/>
            <w:vAlign w:val="bottom"/>
          </w:tcPr>
          <w:p>
            <w:pPr>
              <w:spacing w:after="0"/>
              <w:rPr>
                <w:sz w:val="1"/>
                <w:szCs w:val="1"/>
                <w:color w:val="auto"/>
              </w:rPr>
            </w:pPr>
          </w:p>
        </w:tc>
      </w:tr>
      <w:tr>
        <w:trPr>
          <w:trHeight w:val="229"/>
        </w:trPr>
        <w:tc>
          <w:tcPr>
            <w:tcW w:w="420" w:type="dxa"/>
            <w:vAlign w:val="bottom"/>
            <w:tcBorders>
              <w:top w:val="single" w:sz="8" w:color="auto"/>
            </w:tcBorders>
          </w:tcPr>
          <w:p>
            <w:pPr>
              <w:spacing w:after="0"/>
              <w:rPr>
                <w:sz w:val="19"/>
                <w:szCs w:val="19"/>
                <w:color w:val="auto"/>
              </w:rPr>
            </w:pP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July 31, 2020</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1 - August 31, 2020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28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September 30, 2020</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left="500" w:hanging="492"/>
        <w:spacing w:after="0" w:line="256" w:lineRule="auto"/>
        <w:tabs>
          <w:tab w:leader="none" w:pos="5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Times New Roman" w:cs="Times New Roman" w:eastAsia="Times New Roman" w:hAnsi="Times New Roman"/>
          <w:sz w:val="18"/>
          <w:szCs w:val="18"/>
          <w:i w:val="1"/>
          <w:iCs w:val="1"/>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authorization by M&amp;T’s Board of Directors on July 17, 2019 for a stock repurchase program ended as of the end of the second quarter of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Defaults Upon Senior Securities.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(Not applicable.)</w:t>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Mine Safety Disclosures.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5.</w:t>
      </w:r>
      <w:r>
        <w:rPr>
          <w:sz w:val="20"/>
          <w:szCs w:val="20"/>
          <w:color w:val="auto"/>
        </w:rPr>
        <w:tab/>
      </w:r>
      <w:r>
        <w:rPr>
          <w:rFonts w:ascii="Times New Roman" w:cs="Times New Roman" w:eastAsia="Times New Roman" w:hAnsi="Times New Roman"/>
          <w:sz w:val="20"/>
          <w:szCs w:val="20"/>
          <w:color w:val="auto"/>
        </w:rPr>
        <w:t>Other Information.</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Item 6.</w:t>
            </w:r>
          </w:p>
        </w:tc>
        <w:tc>
          <w:tcPr>
            <w:tcW w:w="10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Exhibits.</w:t>
            </w:r>
          </w:p>
        </w:tc>
      </w:tr>
      <w:tr>
        <w:trPr>
          <w:trHeight w:val="351"/>
        </w:trPr>
        <w:tc>
          <w:tcPr>
            <w:tcW w:w="11240" w:type="dxa"/>
            <w:vAlign w:val="bottom"/>
            <w:gridSpan w:val="2"/>
          </w:tcPr>
          <w:p>
            <w:pPr>
              <w:ind w:left="520"/>
              <w:spacing w:after="0"/>
              <w:rPr>
                <w:sz w:val="20"/>
                <w:szCs w:val="20"/>
                <w:color w:val="auto"/>
              </w:rPr>
            </w:pPr>
            <w:r>
              <w:rPr>
                <w:rFonts w:ascii="Times New Roman" w:cs="Times New Roman" w:eastAsia="Times New Roman" w:hAnsi="Times New Roman"/>
                <w:sz w:val="21"/>
                <w:szCs w:val="21"/>
                <w:color w:val="auto"/>
              </w:rPr>
              <w:t>The following exhibits are filed as a part of this report.</w:t>
            </w:r>
          </w:p>
        </w:tc>
      </w:tr>
      <w:tr>
        <w:trPr>
          <w:trHeight w:val="432"/>
        </w:trPr>
        <w:tc>
          <w:tcPr>
            <w:tcW w:w="96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Exhibit</w:t>
            </w:r>
          </w:p>
        </w:tc>
        <w:tc>
          <w:tcPr>
            <w:tcW w:w="10280" w:type="dxa"/>
            <w:vAlign w:val="bottom"/>
          </w:tcPr>
          <w:p>
            <w:pPr>
              <w:spacing w:after="0"/>
              <w:rPr>
                <w:sz w:val="24"/>
                <w:szCs w:val="24"/>
                <w:color w:val="auto"/>
              </w:rPr>
            </w:pPr>
          </w:p>
        </w:tc>
      </w:tr>
      <w:tr>
        <w:trPr>
          <w:trHeight w:val="262"/>
        </w:trPr>
        <w:tc>
          <w:tcPr>
            <w:tcW w:w="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1"/>
                <w:szCs w:val="21"/>
                <w:color w:val="auto"/>
              </w:rPr>
              <w:t>No.</w:t>
            </w:r>
          </w:p>
        </w:tc>
        <w:tc>
          <w:tcPr>
            <w:tcW w:w="10280" w:type="dxa"/>
            <w:vAlign w:val="bottom"/>
          </w:tcPr>
          <w:p>
            <w:pPr>
              <w:spacing w:after="0"/>
              <w:rPr>
                <w:sz w:val="22"/>
                <w:szCs w:val="22"/>
                <w:color w:val="auto"/>
              </w:rPr>
            </w:pPr>
          </w:p>
        </w:tc>
      </w:tr>
      <w:tr>
        <w:trPr>
          <w:trHeight w:val="488"/>
        </w:trPr>
        <w:tc>
          <w:tcPr>
            <w:tcW w:w="960" w:type="dxa"/>
            <w:vAlign w:val="bottom"/>
          </w:tcPr>
          <w:p>
            <w:pPr>
              <w:ind w:left="120"/>
              <w:spacing w:after="0"/>
              <w:rPr>
                <w:rFonts w:ascii="Times New Roman" w:cs="Times New Roman" w:eastAsia="Times New Roman" w:hAnsi="Times New Roman"/>
                <w:sz w:val="21"/>
                <w:szCs w:val="21"/>
                <w:u w:val="single" w:color="auto"/>
                <w:color w:val="0000EE"/>
              </w:rPr>
            </w:pPr>
            <w:hyperlink w:anchor="page97">
              <w:r>
                <w:rPr>
                  <w:rFonts w:ascii="Times New Roman" w:cs="Times New Roman" w:eastAsia="Times New Roman" w:hAnsi="Times New Roman"/>
                  <w:sz w:val="21"/>
                  <w:szCs w:val="21"/>
                  <w:u w:val="single" w:color="auto"/>
                  <w:color w:val="0000EE"/>
                </w:rPr>
                <w:t>31.1</w:t>
              </w:r>
            </w:hyperlink>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Certification of Chief Executive Officer under Section 302 of the Sarbanes-Oxley Act of 2002. Filed herewith.</w:t>
            </w:r>
          </w:p>
        </w:tc>
      </w:tr>
      <w:tr>
        <w:trPr>
          <w:trHeight w:val="486"/>
        </w:trPr>
        <w:tc>
          <w:tcPr>
            <w:tcW w:w="960" w:type="dxa"/>
            <w:vAlign w:val="bottom"/>
          </w:tcPr>
          <w:p>
            <w:pPr>
              <w:ind w:left="120"/>
              <w:spacing w:after="0"/>
              <w:rPr>
                <w:rFonts w:ascii="Times New Roman" w:cs="Times New Roman" w:eastAsia="Times New Roman" w:hAnsi="Times New Roman"/>
                <w:sz w:val="21"/>
                <w:szCs w:val="21"/>
                <w:u w:val="single" w:color="auto"/>
                <w:color w:val="0000EE"/>
              </w:rPr>
            </w:pPr>
            <w:hyperlink w:anchor="page98">
              <w:r>
                <w:rPr>
                  <w:rFonts w:ascii="Times New Roman" w:cs="Times New Roman" w:eastAsia="Times New Roman" w:hAnsi="Times New Roman"/>
                  <w:sz w:val="21"/>
                  <w:szCs w:val="21"/>
                  <w:u w:val="single" w:color="auto"/>
                  <w:color w:val="0000EE"/>
                </w:rPr>
                <w:t>31.2</w:t>
              </w:r>
            </w:hyperlink>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Certification of Chief Financial Officer under Section 302 of the Sarbanes-Oxley Act of 2002. Filed herewith.</w:t>
            </w:r>
          </w:p>
        </w:tc>
      </w:tr>
      <w:tr>
        <w:trPr>
          <w:trHeight w:val="459"/>
        </w:trPr>
        <w:tc>
          <w:tcPr>
            <w:tcW w:w="960" w:type="dxa"/>
            <w:vAlign w:val="bottom"/>
          </w:tcPr>
          <w:p>
            <w:pPr>
              <w:ind w:left="120"/>
              <w:spacing w:after="0"/>
              <w:rPr>
                <w:rFonts w:ascii="Times New Roman" w:cs="Times New Roman" w:eastAsia="Times New Roman" w:hAnsi="Times New Roman"/>
                <w:sz w:val="21"/>
                <w:szCs w:val="21"/>
                <w:u w:val="single" w:color="auto"/>
                <w:color w:val="0000EE"/>
              </w:rPr>
            </w:pPr>
            <w:hyperlink w:anchor="page99">
              <w:r>
                <w:rPr>
                  <w:rFonts w:ascii="Times New Roman" w:cs="Times New Roman" w:eastAsia="Times New Roman" w:hAnsi="Times New Roman"/>
                  <w:sz w:val="21"/>
                  <w:szCs w:val="21"/>
                  <w:u w:val="single" w:color="auto"/>
                  <w:color w:val="0000EE"/>
                </w:rPr>
                <w:t>32.1</w:t>
              </w:r>
            </w:hyperlink>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 pursuant to Section 906 of the Sarbanes-Oxley Act of</w:t>
            </w:r>
          </w:p>
        </w:tc>
      </w:tr>
      <w:tr>
        <w:trPr>
          <w:trHeight w:val="270"/>
        </w:trPr>
        <w:tc>
          <w:tcPr>
            <w:tcW w:w="96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2002. Filed herewith.</w:t>
            </w:r>
          </w:p>
        </w:tc>
      </w:tr>
      <w:tr>
        <w:trPr>
          <w:trHeight w:val="459"/>
        </w:trPr>
        <w:tc>
          <w:tcPr>
            <w:tcW w:w="960" w:type="dxa"/>
            <w:vAlign w:val="bottom"/>
          </w:tcPr>
          <w:p>
            <w:pPr>
              <w:ind w:left="120"/>
              <w:spacing w:after="0"/>
              <w:rPr>
                <w:rFonts w:ascii="Times New Roman" w:cs="Times New Roman" w:eastAsia="Times New Roman" w:hAnsi="Times New Roman"/>
                <w:sz w:val="21"/>
                <w:szCs w:val="21"/>
                <w:u w:val="single" w:color="auto"/>
                <w:color w:val="0000EE"/>
              </w:rPr>
            </w:pPr>
            <w:hyperlink w:anchor="page100">
              <w:r>
                <w:rPr>
                  <w:rFonts w:ascii="Times New Roman" w:cs="Times New Roman" w:eastAsia="Times New Roman" w:hAnsi="Times New Roman"/>
                  <w:sz w:val="21"/>
                  <w:szCs w:val="21"/>
                  <w:u w:val="single" w:color="auto"/>
                  <w:color w:val="0000EE"/>
                </w:rPr>
                <w:t>32.2</w:t>
              </w:r>
            </w:hyperlink>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Certification of Chief Financial Officer under 18 U.S.C. §1350 pursuant to Section 906 of the Sarbanes-Oxley Act of</w:t>
            </w:r>
          </w:p>
        </w:tc>
      </w:tr>
      <w:tr>
        <w:trPr>
          <w:trHeight w:val="270"/>
        </w:trPr>
        <w:tc>
          <w:tcPr>
            <w:tcW w:w="96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2002. Filed herewith.</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101.INS</w:t>
            </w: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Inline XBRL Instance Document. Filed herewith.</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101.SCH</w:t>
            </w: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Inline XBRL Taxonomy Extension Schema. Filed herewith.</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101.CAL</w:t>
            </w: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Inline XBRL Taxonomy Extension Calculation Linkbase. Filed herewith.</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101.DEF</w:t>
            </w: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Inline XBRL Taxonomy Extension Definition Linkbase. Filed herewith.</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101.LAB</w:t>
            </w: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Inline XBRL Taxonomy Extension Label Linkbase. Filed herewith.</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101.PRE</w:t>
            </w: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Inline XBRL Taxonomy Extension Presentation Linkbase. Filed herewith.</w:t>
            </w:r>
          </w:p>
        </w:tc>
      </w:tr>
    </w:tbl>
    <w:p>
      <w:pPr>
        <w:spacing w:after="0" w:line="216" w:lineRule="exact"/>
        <w:rPr>
          <w:sz w:val="20"/>
          <w:szCs w:val="20"/>
          <w:color w:val="auto"/>
        </w:rPr>
      </w:pPr>
    </w:p>
    <w:p>
      <w:pPr>
        <w:ind w:left="1140" w:right="1700" w:hanging="1132"/>
        <w:spacing w:after="0" w:line="270" w:lineRule="auto"/>
        <w:tabs>
          <w:tab w:leader="none" w:pos="11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cover page from M&amp;T Bank Corporation’s Quarterly Report on Form 10-Q for the quarter ended September 30, 2020 has been formatted in Inline XBRL.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SIGNATURES</w:t>
      </w:r>
    </w:p>
    <w:p>
      <w:pPr>
        <w:spacing w:after="0" w:line="218" w:lineRule="exact"/>
        <w:rPr>
          <w:sz w:val="20"/>
          <w:szCs w:val="20"/>
          <w:color w:val="auto"/>
        </w:rPr>
      </w:pPr>
    </w:p>
    <w:p>
      <w:pPr>
        <w:ind w:right="20" w:firstLine="510"/>
        <w:spacing w:after="0" w:line="270"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1"/>
          <w:szCs w:val="21"/>
          <w:color w:val="auto"/>
        </w:rPr>
        <w:t>M&amp;T BANK CORPORATION</w:t>
      </w:r>
    </w:p>
    <w:p>
      <w:pPr>
        <w:spacing w:after="0" w:line="241" w:lineRule="exact"/>
        <w:rPr>
          <w:sz w:val="20"/>
          <w:szCs w:val="20"/>
          <w:color w:val="auto"/>
        </w:rPr>
      </w:pPr>
    </w:p>
    <w:p>
      <w:pPr>
        <w:spacing w:after="0"/>
        <w:tabs>
          <w:tab w:leader="none" w:pos="6580" w:val="left"/>
          <w:tab w:leader="none" w:pos="7040" w:val="left"/>
        </w:tabs>
        <w:rPr>
          <w:sz w:val="20"/>
          <w:szCs w:val="20"/>
          <w:color w:val="auto"/>
        </w:rPr>
      </w:pPr>
      <w:r>
        <w:rPr>
          <w:rFonts w:ascii="Times New Roman" w:cs="Times New Roman" w:eastAsia="Times New Roman" w:hAnsi="Times New Roman"/>
          <w:sz w:val="20"/>
          <w:szCs w:val="20"/>
          <w:color w:val="auto"/>
        </w:rPr>
        <w:t>Date: November 4,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13970</wp:posOffset>
            </wp:positionV>
            <wp:extent cx="26574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8"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color w:val="auto"/>
        </w:rPr>
        <w:t>Darren J. King</w:t>
      </w:r>
    </w:p>
    <w:p>
      <w:pPr>
        <w:spacing w:after="0" w:line="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color w:val="auto"/>
        </w:rPr>
        <w:t>Executive Vice President</w:t>
      </w:r>
    </w:p>
    <w:p>
      <w:pPr>
        <w:ind w:left="706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336"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René F. Jones, certify that:</w:t>
      </w:r>
    </w:p>
    <w:p>
      <w:pPr>
        <w:spacing w:after="0" w:line="83" w:lineRule="exact"/>
        <w:rPr>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8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 w:lineRule="exact"/>
        <w:rPr>
          <w:sz w:val="20"/>
          <w:szCs w:val="20"/>
          <w:color w:val="auto"/>
        </w:rPr>
      </w:pPr>
    </w:p>
    <w:p>
      <w:pPr>
        <w:jc w:val="both"/>
        <w:ind w:left="420" w:hanging="412"/>
        <w:spacing w:after="0" w:line="196" w:lineRule="auto"/>
        <w:tabs>
          <w:tab w:leader="none" w:pos="4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sz w:val="20"/>
          <w:szCs w:val="20"/>
          <w:color w:val="auto"/>
        </w:rPr>
      </w:pPr>
    </w:p>
    <w:p>
      <w:pPr>
        <w:jc w:val="both"/>
        <w:ind w:left="420" w:hanging="412"/>
        <w:spacing w:after="0" w:line="196" w:lineRule="auto"/>
        <w:tabs>
          <w:tab w:leader="none" w:pos="4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 w:lineRule="exact"/>
        <w:rPr>
          <w:sz w:val="20"/>
          <w:szCs w:val="20"/>
          <w:color w:val="auto"/>
        </w:rPr>
      </w:pPr>
    </w:p>
    <w:p>
      <w:pPr>
        <w:jc w:val="both"/>
        <w:ind w:left="420" w:right="20" w:hanging="412"/>
        <w:spacing w:after="0" w:line="225" w:lineRule="auto"/>
        <w:tabs>
          <w:tab w:leader="none" w:pos="4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4" w:lineRule="auto"/>
        <w:tabs>
          <w:tab w:leader="none" w:pos="4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November 4, 2020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13335</wp:posOffset>
            </wp:positionV>
            <wp:extent cx="25285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René F. Jones</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Chairman of the Board and</w:t>
      </w:r>
    </w:p>
    <w:p>
      <w:pPr>
        <w:spacing w:after="0" w:line="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Chief Executive Officer</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1"/>
          <w:szCs w:val="21"/>
          <w:color w:val="auto"/>
        </w:rPr>
        <w:t>EXHIBIT 31.2</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Darren J. King, certify that:</w:t>
      </w:r>
    </w:p>
    <w:p>
      <w:pPr>
        <w:spacing w:after="0" w:line="83" w:lineRule="exact"/>
        <w:rPr>
          <w:sz w:val="20"/>
          <w:szCs w:val="20"/>
          <w:color w:val="auto"/>
        </w:rPr>
      </w:pPr>
    </w:p>
    <w:p>
      <w:pPr>
        <w:ind w:left="420" w:hanging="412"/>
        <w:spacing w:after="0"/>
        <w:tabs>
          <w:tab w:leader="none" w:pos="4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8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 w:lineRule="exact"/>
        <w:rPr>
          <w:sz w:val="20"/>
          <w:szCs w:val="20"/>
          <w:color w:val="auto"/>
        </w:rPr>
      </w:pPr>
    </w:p>
    <w:p>
      <w:pPr>
        <w:jc w:val="both"/>
        <w:ind w:left="420" w:hanging="412"/>
        <w:spacing w:after="0" w:line="196" w:lineRule="auto"/>
        <w:tabs>
          <w:tab w:leader="none" w:pos="4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sz w:val="20"/>
          <w:szCs w:val="20"/>
          <w:color w:val="auto"/>
        </w:rPr>
      </w:pPr>
    </w:p>
    <w:p>
      <w:pPr>
        <w:jc w:val="both"/>
        <w:ind w:left="420" w:hanging="412"/>
        <w:spacing w:after="0" w:line="196" w:lineRule="auto"/>
        <w:tabs>
          <w:tab w:leader="none" w:pos="4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 w:lineRule="exact"/>
        <w:rPr>
          <w:sz w:val="20"/>
          <w:szCs w:val="20"/>
          <w:color w:val="auto"/>
        </w:rPr>
      </w:pPr>
    </w:p>
    <w:p>
      <w:pPr>
        <w:jc w:val="both"/>
        <w:ind w:left="420" w:right="20" w:hanging="412"/>
        <w:spacing w:after="0" w:line="225" w:lineRule="auto"/>
        <w:tabs>
          <w:tab w:leader="none" w:pos="4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4" w:lineRule="auto"/>
        <w:tabs>
          <w:tab w:leader="none" w:pos="4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November 4, 2020</w:t>
      </w:r>
    </w:p>
    <w:p>
      <w:pPr>
        <w:spacing w:after="0" w:line="200" w:lineRule="exact"/>
        <w:rPr>
          <w:sz w:val="20"/>
          <w:szCs w:val="20"/>
          <w:color w:val="auto"/>
        </w:rPr>
      </w:pPr>
    </w:p>
    <w:p>
      <w:pPr>
        <w:spacing w:after="0" w:line="2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13335</wp:posOffset>
            </wp:positionV>
            <wp:extent cx="25457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Darren J. King</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and Chief Financial Officer</w:t>
      </w:r>
    </w:p>
    <w:p>
      <w:pPr>
        <w:sectPr>
          <w:pgSz w:w="11900" w:h="16838" w:orient="portrait"/>
          <w:cols w:equalWidth="0" w:num="1">
            <w:col w:w="11240"/>
          </w:cols>
          <w:pgMar w:left="320" w:top="81" w:right="339" w:bottom="1440" w:gutter="0" w:footer="0" w:header="0"/>
        </w:sectPr>
      </w:pPr>
    </w:p>
    <w:bookmarkStart w:id="98" w:name="page99"/>
    <w:bookmarkEnd w:id="98"/>
    <w:p>
      <w:pPr>
        <w:ind w:left="10000"/>
        <w:spacing w:after="0"/>
        <w:rPr>
          <w:sz w:val="20"/>
          <w:szCs w:val="20"/>
          <w:color w:val="auto"/>
        </w:rPr>
      </w:pPr>
      <w:r>
        <w:rPr>
          <w:rFonts w:ascii="Times New Roman" w:cs="Times New Roman" w:eastAsia="Times New Roman" w:hAnsi="Times New Roman"/>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René F. Jones, Chairman of the Board and Chief Executive Officer of M&amp;T Bank Corporation, certify, pursuant to Section 906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Sarbanes-Oxley Act of 2002, 18 U.S.C. Section 1350, that:</w:t>
      </w:r>
    </w:p>
    <w:p>
      <w:pPr>
        <w:spacing w:after="0" w:line="167" w:lineRule="exact"/>
        <w:rPr>
          <w:sz w:val="20"/>
          <w:szCs w:val="20"/>
          <w:color w:val="auto"/>
        </w:rPr>
      </w:pPr>
    </w:p>
    <w:p>
      <w:pPr>
        <w:jc w:val="both"/>
        <w:ind w:left="1880" w:right="1880" w:hanging="941"/>
        <w:spacing w:after="0" w:line="246" w:lineRule="auto"/>
        <w:tabs>
          <w:tab w:leader="none" w:pos="1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M&amp;T Bank Corporation for the quarterly period ended September 30, 2020 (the "Report") fully complies with the requirements of Section 13(a) or 15(d) of the Securities Exchange Act of 1934 (15 U.S.C. 78m or 78o(d)); and</w:t>
      </w:r>
    </w:p>
    <w:p>
      <w:pPr>
        <w:spacing w:after="0" w:line="156" w:lineRule="exact"/>
        <w:rPr>
          <w:rFonts w:ascii="Times New Roman" w:cs="Times New Roman" w:eastAsia="Times New Roman" w:hAnsi="Times New Roman"/>
          <w:sz w:val="20"/>
          <w:szCs w:val="20"/>
          <w:color w:val="auto"/>
        </w:rPr>
      </w:pPr>
    </w:p>
    <w:p>
      <w:pPr>
        <w:ind w:left="1880" w:right="1860" w:hanging="941"/>
        <w:spacing w:after="0" w:line="243" w:lineRule="auto"/>
        <w:tabs>
          <w:tab w:leader="none" w:pos="18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7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8256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René F. Jones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November 4, 2020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240"/>
          </w:cols>
          <w:pgMar w:left="320" w:top="108" w:right="339" w:bottom="1440" w:gutter="0" w:footer="0" w:header="0"/>
        </w:sectPr>
      </w:pPr>
    </w:p>
    <w:bookmarkStart w:id="99" w:name="page100"/>
    <w:bookmarkEnd w:id="99"/>
    <w:p>
      <w:pPr>
        <w:ind w:left="10000"/>
        <w:spacing w:after="0"/>
        <w:rPr>
          <w:sz w:val="20"/>
          <w:szCs w:val="20"/>
          <w:color w:val="auto"/>
        </w:rPr>
      </w:pPr>
      <w:r>
        <w:rPr>
          <w:rFonts w:ascii="Times New Roman" w:cs="Times New Roman" w:eastAsia="Times New Roman" w:hAnsi="Times New Roman"/>
          <w:sz w:val="20"/>
          <w:szCs w:val="20"/>
          <w:color w:val="auto"/>
        </w:rPr>
        <w:t>EXHIBIT 32.2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FINANCIAL OFFICER UNDER 18 U.S.C. §1350</w:t>
      </w:r>
    </w:p>
    <w:p>
      <w:pPr>
        <w:spacing w:after="0" w:line="19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I, Darren J. King, Executive Vice President and Chief Financial Officer of M&amp;T Bank Corporation, certify, pursuant to Section 906 of the Sarbanes-Oxley Act of 2002, 18 U.S.C. Section 1350, that:</w:t>
      </w:r>
    </w:p>
    <w:p>
      <w:pPr>
        <w:spacing w:after="0" w:line="159" w:lineRule="exact"/>
        <w:rPr>
          <w:sz w:val="20"/>
          <w:szCs w:val="20"/>
          <w:color w:val="auto"/>
        </w:rPr>
      </w:pPr>
    </w:p>
    <w:p>
      <w:pPr>
        <w:jc w:val="both"/>
        <w:ind w:left="1880" w:right="1880" w:hanging="941"/>
        <w:spacing w:after="0" w:line="246" w:lineRule="auto"/>
        <w:tabs>
          <w:tab w:leader="none" w:pos="18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M&amp;T Bank Corporation for the quarterly period ended September 30, 2020 (the "Report") fully complies with the requirements of Section 13(a) or 15(d) of the Securities Exchange Act of 1934 (15 U.S.C. 78m or 78o(d)); and</w:t>
      </w:r>
    </w:p>
    <w:p>
      <w:pPr>
        <w:spacing w:after="0" w:line="156" w:lineRule="exact"/>
        <w:rPr>
          <w:rFonts w:ascii="Times New Roman" w:cs="Times New Roman" w:eastAsia="Times New Roman" w:hAnsi="Times New Roman"/>
          <w:sz w:val="20"/>
          <w:szCs w:val="20"/>
          <w:color w:val="auto"/>
        </w:rPr>
      </w:pPr>
    </w:p>
    <w:p>
      <w:pPr>
        <w:ind w:left="1880" w:right="1860" w:hanging="941"/>
        <w:spacing w:after="0" w:line="243" w:lineRule="auto"/>
        <w:tabs>
          <w:tab w:leader="none" w:pos="18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7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8256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Darren J. King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November 4, 2020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lowerLetter"/>
      <w:start w:val="1"/>
    </w:lvl>
    <w:lvl w:ilvl="1">
      <w:lvlJc w:val="left"/>
      <w:lvlText w:val="-"/>
      <w:numFmt w:val="bullet"/>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Letter"/>
      <w:start w:val="1"/>
    </w:lvl>
    <w:lvl w:ilvl="1">
      <w:lvlJc w:val="left"/>
      <w:lvlText w:val="-"/>
      <w:numFmt w:val="bullet"/>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decimal"/>
      <w:start w:val="1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lvl w:ilvl="3">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Letter"/>
      <w:start w:val="1"/>
    </w:lvl>
    <w:lvl w:ilvl="1">
      <w:lvlJc w:val="left"/>
      <w:lvlText w:val="-"/>
      <w:numFmt w:val="bullet"/>
      <w:start w:val="1"/>
    </w:lvl>
  </w:abstractNum>
  <w:abstractNum w:abstractNumId="21">
    <w:nsid w:val="22221A70"/>
    <w:multiLevelType w:val="hybridMultilevel"/>
    <w:lvl w:ilvl="0">
      <w:lvlJc w:val="left"/>
      <w:lvlText w:val="(%1)"/>
      <w:numFmt w:val="lowerLetter"/>
      <w:start w:val="1"/>
    </w:lvl>
    <w:lvl w:ilvl="1">
      <w:lvlJc w:val="left"/>
      <w:lvlText w:val="-"/>
      <w:numFmt w:val="bullet"/>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lowerLetter"/>
      <w:start w:val="1"/>
    </w:lvl>
    <w:lvl w:ilvl="1">
      <w:lvlJc w:val="left"/>
      <w:lvlText w:val="-"/>
      <w:numFmt w:val="bullet"/>
      <w:start w:val="1"/>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3"/>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04"/>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2020-11-04T15:19:54Z</dcterms:created>
  <dcterms:modified xsi:type="dcterms:W3CDTF">2020-11-04T15:19:54Z</dcterms:modified>
</cp:coreProperties>
</file>