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6597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59701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PEARSON KEVIN J</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LIGHT STREET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M&amp;T BANK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MTB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7"/>
          <w:szCs w:val="17"/>
          <w:color w:val="0000FF"/>
        </w:rPr>
        <w:t>Vice Chairman</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5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vMerge w:val="restart"/>
          </w:tcPr>
          <w:p>
            <w:pPr>
              <w:ind w:left="4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500" w:type="dxa"/>
            <w:vAlign w:val="bottom"/>
            <w:gridSpan w:val="6"/>
            <w:vMerge w:val="continue"/>
          </w:tcPr>
          <w:p>
            <w:pPr>
              <w:spacing w:after="0"/>
              <w:rPr>
                <w:sz w:val="7"/>
                <w:szCs w:val="7"/>
                <w:color w:val="auto"/>
              </w:rPr>
            </w:pPr>
          </w:p>
        </w:tc>
        <w:tc>
          <w:tcPr>
            <w:tcW w:w="38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4"/>
          </w:tcPr>
          <w:p>
            <w:pPr>
              <w:ind w:left="4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BALTIMORE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21202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20" w:type="dxa"/>
            <w:vAlign w:val="bottom"/>
            <w:gridSpan w:val="7"/>
          </w:tcPr>
          <w:p>
            <w:pPr>
              <w:ind w:left="10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16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8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380" w:type="dxa"/>
            <w:vAlign w:val="bottom"/>
            <w:gridSpan w:val="8"/>
          </w:tcPr>
          <w:p>
            <w:pPr>
              <w:ind w:left="40"/>
              <w:spacing w:after="0"/>
              <w:rPr>
                <w:sz w:val="20"/>
                <w:szCs w:val="20"/>
                <w:color w:val="auto"/>
              </w:rPr>
            </w:pPr>
            <w:r>
              <w:rPr>
                <w:rFonts w:ascii="Arial" w:cs="Arial" w:eastAsia="Arial" w:hAnsi="Arial"/>
                <w:sz w:val="11"/>
                <w:szCs w:val="11"/>
                <w:b w:val="1"/>
                <w:bCs w:val="1"/>
                <w:color w:val="auto"/>
              </w:rPr>
              <w:t>4. Securities Acquired (A) or Disposed  5. Amount of</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 3, 4 and 5)</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3"/>
          </w:tcPr>
          <w:p>
            <w:pPr>
              <w:jc w:val="center"/>
              <w:ind w:left="41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06/09/2026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10,062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190.78</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99"/>
              <w:spacing w:after="0"/>
              <w:rPr>
                <w:sz w:val="20"/>
                <w:szCs w:val="20"/>
                <w:color w:val="auto"/>
              </w:rPr>
            </w:pPr>
            <w:r>
              <w:rPr>
                <w:rFonts w:ascii="Times New Roman" w:cs="Times New Roman" w:eastAsia="Times New Roman" w:hAnsi="Times New Roman"/>
                <w:sz w:val="17"/>
                <w:szCs w:val="17"/>
                <w:color w:val="0000FF"/>
                <w:w w:val="98"/>
              </w:rPr>
              <w:t>56,169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06/09/2026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13,296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164.54</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99"/>
              <w:spacing w:after="0"/>
              <w:rPr>
                <w:sz w:val="20"/>
                <w:szCs w:val="20"/>
                <w:color w:val="auto"/>
              </w:rPr>
            </w:pPr>
            <w:r>
              <w:rPr>
                <w:rFonts w:ascii="Times New Roman" w:cs="Times New Roman" w:eastAsia="Times New Roman" w:hAnsi="Times New Roman"/>
                <w:sz w:val="17"/>
                <w:szCs w:val="17"/>
                <w:color w:val="0000FF"/>
                <w:w w:val="98"/>
              </w:rPr>
              <w:t>69,465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06/09/2026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18,722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2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225.2047</w:t>
            </w:r>
            <w:r>
              <w:rPr>
                <w:rFonts w:ascii="Times New Roman" w:cs="Times New Roman" w:eastAsia="Times New Roman" w:hAnsi="Times New Roman"/>
                <w:sz w:val="21"/>
                <w:szCs w:val="21"/>
                <w:color w:val="008000"/>
                <w:w w:val="93"/>
                <w:vertAlign w:val="superscript"/>
              </w:rPr>
              <w:t>(2)</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99"/>
              <w:spacing w:after="0"/>
              <w:rPr>
                <w:sz w:val="20"/>
                <w:szCs w:val="20"/>
                <w:color w:val="auto"/>
              </w:rPr>
            </w:pPr>
            <w:r>
              <w:rPr>
                <w:rFonts w:ascii="Times New Roman" w:cs="Times New Roman" w:eastAsia="Times New Roman" w:hAnsi="Times New Roman"/>
                <w:sz w:val="17"/>
                <w:szCs w:val="17"/>
                <w:color w:val="0000FF"/>
                <w:w w:val="98"/>
              </w:rPr>
              <w:t>50,743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430"/>
              <w:spacing w:after="0"/>
              <w:rPr>
                <w:sz w:val="20"/>
                <w:szCs w:val="20"/>
                <w:color w:val="auto"/>
              </w:rPr>
            </w:pPr>
            <w:r>
              <w:rPr>
                <w:rFonts w:ascii="Times New Roman" w:cs="Times New Roman" w:eastAsia="Times New Roman" w:hAnsi="Times New Roman"/>
                <w:sz w:val="17"/>
                <w:szCs w:val="17"/>
                <w:color w:val="0000FF"/>
                <w:w w:val="98"/>
              </w:rPr>
              <w:t>06/09/2026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4,636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2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226.7029</w:t>
            </w:r>
            <w:r>
              <w:rPr>
                <w:rFonts w:ascii="Times New Roman" w:cs="Times New Roman" w:eastAsia="Times New Roman" w:hAnsi="Times New Roman"/>
                <w:sz w:val="21"/>
                <w:szCs w:val="21"/>
                <w:color w:val="008000"/>
                <w:w w:val="93"/>
                <w:vertAlign w:val="superscript"/>
              </w:rPr>
              <w:t>(3)</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99"/>
              <w:spacing w:after="0"/>
              <w:rPr>
                <w:sz w:val="20"/>
                <w:szCs w:val="20"/>
                <w:color w:val="auto"/>
              </w:rPr>
            </w:pPr>
            <w:r>
              <w:rPr>
                <w:rFonts w:ascii="Times New Roman" w:cs="Times New Roman" w:eastAsia="Times New Roman" w:hAnsi="Times New Roman"/>
                <w:sz w:val="17"/>
                <w:szCs w:val="17"/>
                <w:color w:val="0000FF"/>
                <w:w w:val="98"/>
              </w:rPr>
              <w:t>46,107</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center"/>
              <w:ind w:right="359"/>
              <w:spacing w:after="0"/>
              <w:rPr>
                <w:sz w:val="20"/>
                <w:szCs w:val="20"/>
                <w:color w:val="auto"/>
              </w:rPr>
            </w:pPr>
            <w:r>
              <w:rPr>
                <w:rFonts w:ascii="Times New Roman" w:cs="Times New Roman" w:eastAsia="Times New Roman" w:hAnsi="Times New Roman"/>
                <w:sz w:val="17"/>
                <w:szCs w:val="17"/>
                <w:color w:val="0000FF"/>
                <w:w w:val="99"/>
              </w:rPr>
              <w:t>3,493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7"/>
                <w:szCs w:val="17"/>
                <w:color w:val="0000FF"/>
              </w:rPr>
              <w:t>Plan</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0" w:type="dxa"/>
            <w:vAlign w:val="bottom"/>
            <w:gridSpan w:val="13"/>
          </w:tcPr>
          <w:p>
            <w:pPr>
              <w:ind w:left="40"/>
              <w:spacing w:after="0"/>
              <w:rPr>
                <w:sz w:val="20"/>
                <w:szCs w:val="20"/>
                <w:color w:val="auto"/>
              </w:rPr>
            </w:pPr>
            <w:r>
              <w:rPr>
                <w:rFonts w:ascii="Arial" w:cs="Arial" w:eastAsia="Arial" w:hAnsi="Arial"/>
                <w:sz w:val="17"/>
                <w:szCs w:val="17"/>
                <w:b w:val="1"/>
                <w:bCs w:val="1"/>
                <w:color w:val="auto"/>
                <w:w w:val="96"/>
              </w:rPr>
              <w:t>Table II - Derivative Securities Acquired, Disposed of, or Beneficially Owned</w:t>
            </w: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40" w:type="dxa"/>
            <w:vAlign w:val="bottom"/>
            <w:gridSpan w:val="10"/>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3"/>
          </w:tcPr>
          <w:p>
            <w:pPr>
              <w:spacing w:after="0"/>
              <w:rPr>
                <w:sz w:val="2"/>
                <w:szCs w:val="2"/>
                <w:color w:val="auto"/>
              </w:rPr>
            </w:pPr>
          </w:p>
        </w:tc>
        <w:tc>
          <w:tcPr>
            <w:tcW w:w="1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8. Price of</w:t>
            </w:r>
          </w:p>
        </w:tc>
        <w:tc>
          <w:tcPr>
            <w:tcW w:w="1700" w:type="dxa"/>
            <w:vAlign w:val="bottom"/>
            <w:gridSpan w:val="2"/>
          </w:tcPr>
          <w:p>
            <w:pPr>
              <w:ind w:left="140"/>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jc w:val="center"/>
              <w:ind w:left="134"/>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5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5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6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26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Owned</w:t>
            </w:r>
          </w:p>
        </w:tc>
        <w:tc>
          <w:tcPr>
            <w:tcW w:w="900" w:type="dxa"/>
            <w:vAlign w:val="bottom"/>
          </w:tcPr>
          <w:p>
            <w:pPr>
              <w:jc w:val="center"/>
              <w:ind w:left="114"/>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Following</w:t>
            </w:r>
          </w:p>
        </w:tc>
        <w:tc>
          <w:tcPr>
            <w:tcW w:w="900" w:type="dxa"/>
            <w:vAlign w:val="bottom"/>
          </w:tcPr>
          <w:p>
            <w:pPr>
              <w:jc w:val="center"/>
              <w:ind w:left="134"/>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2"/>
          </w:tcPr>
          <w:p>
            <w:pPr>
              <w:ind w:left="14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(Instr. 4)</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140"/>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w w:val="98"/>
              </w:rPr>
              <w:t>10,062</w:t>
            </w:r>
          </w:p>
        </w:tc>
        <w:tc>
          <w:tcPr>
            <w:tcW w:w="60" w:type="dxa"/>
            <w:vAlign w:val="bottom"/>
          </w:tcPr>
          <w:p>
            <w:pPr>
              <w:spacing w:after="0"/>
              <w:rPr>
                <w:sz w:val="15"/>
                <w:szCs w:val="15"/>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(6)</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jc w:val="center"/>
              <w:ind w:left="103"/>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190.78</w:t>
            </w:r>
          </w:p>
        </w:tc>
        <w:tc>
          <w:tcPr>
            <w:tcW w:w="140" w:type="dxa"/>
            <w:vAlign w:val="bottom"/>
          </w:tcPr>
          <w:p>
            <w:pPr>
              <w:spacing w:after="0"/>
              <w:rPr>
                <w:sz w:val="11"/>
                <w:szCs w:val="11"/>
                <w:color w:val="auto"/>
              </w:rPr>
            </w:pPr>
          </w:p>
        </w:tc>
        <w:tc>
          <w:tcPr>
            <w:tcW w:w="1060" w:type="dxa"/>
            <w:vAlign w:val="bottom"/>
          </w:tcPr>
          <w:p>
            <w:pPr>
              <w:jc w:val="right"/>
              <w:ind w:right="156"/>
              <w:spacing w:after="0" w:line="128"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10,062</w:t>
            </w:r>
          </w:p>
        </w:tc>
        <w:tc>
          <w:tcPr>
            <w:tcW w:w="78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01/31/2028</w:t>
            </w: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left="199"/>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900" w:type="dxa"/>
            <w:vAlign w:val="bottom"/>
          </w:tcPr>
          <w:p>
            <w:pPr>
              <w:jc w:val="center"/>
              <w:ind w:left="134"/>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w w:val="98"/>
              </w:rPr>
              <w:t>13,296</w:t>
            </w:r>
          </w:p>
        </w:tc>
        <w:tc>
          <w:tcPr>
            <w:tcW w:w="60" w:type="dxa"/>
            <w:vAlign w:val="bottom"/>
          </w:tcPr>
          <w:p>
            <w:pPr>
              <w:spacing w:after="0"/>
              <w:rPr>
                <w:sz w:val="15"/>
                <w:szCs w:val="15"/>
                <w:color w:val="auto"/>
              </w:rPr>
            </w:pPr>
          </w:p>
        </w:tc>
        <w:tc>
          <w:tcPr>
            <w:tcW w:w="500" w:type="dxa"/>
            <w:vAlign w:val="bottom"/>
            <w:gridSpan w:val="2"/>
            <w:vMerge w:val="restart"/>
          </w:tcPr>
          <w:p>
            <w:pPr>
              <w:ind w:left="1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(6)</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jc w:val="center"/>
              <w:ind w:left="103"/>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164.54</w:t>
            </w:r>
          </w:p>
        </w:tc>
        <w:tc>
          <w:tcPr>
            <w:tcW w:w="140" w:type="dxa"/>
            <w:vAlign w:val="bottom"/>
          </w:tcPr>
          <w:p>
            <w:pPr>
              <w:spacing w:after="0"/>
              <w:rPr>
                <w:sz w:val="11"/>
                <w:szCs w:val="11"/>
                <w:color w:val="auto"/>
              </w:rPr>
            </w:pPr>
          </w:p>
        </w:tc>
        <w:tc>
          <w:tcPr>
            <w:tcW w:w="1060" w:type="dxa"/>
            <w:vAlign w:val="bottom"/>
          </w:tcPr>
          <w:p>
            <w:pPr>
              <w:jc w:val="right"/>
              <w:ind w:right="156"/>
              <w:spacing w:after="0" w:line="128" w:lineRule="exact"/>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13,296</w:t>
            </w:r>
          </w:p>
        </w:tc>
        <w:tc>
          <w:tcPr>
            <w:tcW w:w="78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01/31/2029</w:t>
            </w: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left="199"/>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900" w:type="dxa"/>
            <w:vAlign w:val="bottom"/>
          </w:tcPr>
          <w:p>
            <w:pPr>
              <w:jc w:val="center"/>
              <w:ind w:left="134"/>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Borders>
              <w:right w:val="single" w:sz="8" w:color="2C2C2C"/>
            </w:tcBorders>
            <w:gridSpan w:val="3"/>
          </w:tcPr>
          <w:p>
            <w:pPr>
              <w:ind w:left="8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w w:val="99"/>
              </w:rPr>
              <w:t>3,783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3,783</w:t>
            </w:r>
          </w:p>
        </w:tc>
        <w:tc>
          <w:tcPr>
            <w:tcW w:w="900" w:type="dxa"/>
            <w:vAlign w:val="bottom"/>
            <w:vMerge w:val="restart"/>
          </w:tcPr>
          <w:p>
            <w:pPr>
              <w:jc w:val="center"/>
              <w:ind w:left="154"/>
              <w:spacing w:after="0"/>
              <w:rPr>
                <w:sz w:val="20"/>
                <w:szCs w:val="20"/>
                <w:color w:val="auto"/>
              </w:rPr>
            </w:pPr>
            <w:r>
              <w:rPr>
                <w:rFonts w:ascii="Times New Roman" w:cs="Times New Roman" w:eastAsia="Times New Roman" w:hAnsi="Times New Roman"/>
                <w:sz w:val="13"/>
                <w:szCs w:val="13"/>
                <w:color w:val="0000FF"/>
                <w:w w:val="91"/>
              </w:rPr>
              <w:t>I</w:t>
            </w:r>
          </w:p>
        </w:tc>
        <w:tc>
          <w:tcPr>
            <w:tcW w:w="860" w:type="dxa"/>
            <w:vAlign w:val="bottom"/>
            <w:tcBorders>
              <w:right w:val="single" w:sz="8" w:color="2C2C2C"/>
            </w:tcBorders>
            <w:gridSpan w:val="3"/>
          </w:tcPr>
          <w:p>
            <w:pPr>
              <w:ind w:left="80"/>
              <w:spacing w:after="0" w:line="141" w:lineRule="exact"/>
              <w:rPr>
                <w:sz w:val="20"/>
                <w:szCs w:val="20"/>
                <w:color w:val="auto"/>
              </w:rPr>
            </w:pPr>
            <w:r>
              <w:rPr>
                <w:rFonts w:ascii="Times New Roman" w:cs="Times New Roman" w:eastAsia="Times New Roman" w:hAnsi="Times New Roman"/>
                <w:sz w:val="13"/>
                <w:szCs w:val="13"/>
                <w:color w:val="0000FF"/>
              </w:rPr>
              <w:t>Supplemental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Borders>
              <w:right w:val="single" w:sz="8" w:color="2C2C2C"/>
            </w:tcBorders>
            <w:gridSpan w:val="3"/>
          </w:tcPr>
          <w:p>
            <w:pPr>
              <w:ind w:left="80"/>
              <w:spacing w:after="0" w:line="141" w:lineRule="exact"/>
              <w:rPr>
                <w:sz w:val="20"/>
                <w:szCs w:val="20"/>
                <w:color w:val="auto"/>
              </w:rPr>
            </w:pPr>
            <w:r>
              <w:rPr>
                <w:rFonts w:ascii="Times New Roman" w:cs="Times New Roman" w:eastAsia="Times New Roman" w:hAnsi="Times New Roman"/>
                <w:sz w:val="13"/>
                <w:szCs w:val="13"/>
                <w:color w:val="0000FF"/>
              </w:rPr>
              <w:t>401(k)</w:t>
            </w:r>
          </w:p>
        </w:tc>
        <w:tc>
          <w:tcPr>
            <w:tcW w:w="0" w:type="dxa"/>
            <w:vAlign w:val="bottom"/>
          </w:tcPr>
          <w:p>
            <w:pPr>
              <w:spacing w:after="0"/>
              <w:rPr>
                <w:sz w:val="1"/>
                <w:szCs w:val="1"/>
                <w:color w:val="auto"/>
              </w:rPr>
            </w:pPr>
          </w:p>
        </w:tc>
      </w:tr>
      <w:tr>
        <w:trPr>
          <w:trHeight w:val="236"/>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right w:val="single" w:sz="8" w:color="2C2C2C"/>
            </w:tcBorders>
            <w:gridSpan w:val="3"/>
          </w:tcPr>
          <w:p>
            <w:pPr>
              <w:ind w:left="80"/>
              <w:spacing w:after="0" w:line="230" w:lineRule="exact"/>
              <w:rPr>
                <w:sz w:val="20"/>
                <w:szCs w:val="20"/>
                <w:color w:val="auto"/>
              </w:rPr>
            </w:pPr>
            <w:r>
              <w:rPr>
                <w:rFonts w:ascii="Times New Roman" w:cs="Times New Roman" w:eastAsia="Times New Roman" w:hAnsi="Times New Roman"/>
                <w:sz w:val="13"/>
                <w:szCs w:val="13"/>
                <w:color w:val="0000FF"/>
              </w:rPr>
              <w:t>Plan</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-2795270</wp:posOffset>
            </wp:positionV>
            <wp:extent cx="29210" cy="2800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003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occurred automatically pursuant to a Rule 10b5-1 trading plan adopted by the reporting person on March 5, 2026.</w:t>
      </w:r>
    </w:p>
    <w:p>
      <w:pPr>
        <w:spacing w:after="0" w:line="42" w:lineRule="exact"/>
        <w:rPr>
          <w:rFonts w:ascii="Times New Roman" w:cs="Times New Roman" w:eastAsia="Times New Roman" w:hAnsi="Times New Roman"/>
          <w:sz w:val="13"/>
          <w:szCs w:val="13"/>
          <w:color w:val="008000"/>
        </w:rPr>
      </w:pPr>
    </w:p>
    <w:p>
      <w:pPr>
        <w:ind w:left="40" w:right="22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$225.00 to $225.67. The price reported above reflects the weighted average sale price. The reporting person hereby undertakes to provide upon request to the SEC staff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40" w:right="22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$226.16 to $227.12. The price reported above reflects the weighted average sale price. The reporting person hereby undertakes to provide upon request to the SEC staff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information presented is as of March 31, 2026.</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Currently exercisable.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under an equity incentive compensation plan maintained by M&amp;T Bank Corporation, and therefore the reporting person paid no price for the option.</w:t>
      </w:r>
    </w:p>
    <w:p>
      <w:pPr>
        <w:spacing w:after="0" w:line="42" w:lineRule="exact"/>
        <w:rPr>
          <w:rFonts w:ascii="Times New Roman" w:cs="Times New Roman" w:eastAsia="Times New Roman" w:hAnsi="Times New Roman"/>
          <w:sz w:val="13"/>
          <w:szCs w:val="13"/>
          <w:color w:val="008000"/>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phantom common stock units are held by the reporting person in a plan account maintained by M&amp;T Bank Corporation under the M&amp;T Bank Corporation Leadership Retirement Savings Plan and represent a like number of shares of M&amp;T Bank Corporation common stock. The phantom common stock units are payable in cash and distributed in accordance with the terms of the plan. The reported phantom common stock units also include units acquired through the dividend reinvestment feature of the plan.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4"/>
              </w:rPr>
              <w:t>By: Stephen T. Wilson</w:t>
            </w:r>
          </w:p>
        </w:tc>
        <w:tc>
          <w:tcPr>
            <w:tcW w:w="52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06/11/2026</w:t>
            </w:r>
          </w:p>
        </w:tc>
        <w:tc>
          <w:tcPr>
            <w:tcW w:w="0" w:type="dxa"/>
            <w:vAlign w:val="bottom"/>
          </w:tcPr>
          <w:p>
            <w:pPr>
              <w:spacing w:after="0"/>
              <w:rPr>
                <w:sz w:val="1"/>
                <w:szCs w:val="1"/>
                <w:color w:val="auto"/>
              </w:rPr>
            </w:pPr>
          </w:p>
        </w:tc>
      </w:tr>
      <w:tr>
        <w:trPr>
          <w:trHeight w:val="82"/>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79" w:firstLine="1"/>
        <w:spacing w:after="0" w:line="333"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5781" TargetMode="External"/><Relationship Id="rId14" Type="http://schemas.openxmlformats.org/officeDocument/2006/relationships/hyperlink" Target="http://www.sec.gov/cgi-bin/browse-edgar?action=getcompany&amp;CIK=00000362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2026-06-11T14:56:49Z</dcterms:created>
  <dcterms:modified xsi:type="dcterms:W3CDTF">2026-06-11T14:56:49Z</dcterms:modified>
</cp:coreProperties>
</file>