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M&amp;T BANK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2"/>
              </w:rPr>
              <w:t>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323"/>
              <w:spacing w:after="0"/>
              <w:rPr>
                <w:sz w:val="20"/>
                <w:szCs w:val="20"/>
                <w:color w:val="auto"/>
              </w:rPr>
            </w:pPr>
            <w:r>
              <w:rPr>
                <w:rFonts w:ascii="Arial" w:cs="Arial" w:eastAsia="Arial" w:hAnsi="Arial"/>
                <w:sz w:val="18"/>
                <w:szCs w:val="18"/>
                <w:b w:val="1"/>
                <w:bCs w:val="1"/>
                <w:color w:val="auto"/>
              </w:rPr>
              <w:t>16-0968385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6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20" w:type="dxa"/>
            <w:vAlign w:val="bottom"/>
          </w:tcPr>
          <w:p>
            <w:pPr>
              <w:jc w:val="center"/>
              <w:ind w:right="78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7"/>
              </w:rPr>
              <w:t>One M &amp; T Plaza</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88"/>
              <w:spacing w:after="0"/>
              <w:rPr>
                <w:sz w:val="20"/>
                <w:szCs w:val="20"/>
                <w:color w:val="auto"/>
              </w:rPr>
            </w:pPr>
            <w:r>
              <w:rPr>
                <w:rFonts w:ascii="Arial" w:cs="Arial" w:eastAsia="Arial" w:hAnsi="Arial"/>
                <w:sz w:val="18"/>
                <w:szCs w:val="18"/>
                <w:b w:val="1"/>
                <w:bCs w:val="1"/>
                <w:color w:val="auto"/>
                <w:w w:val="92"/>
              </w:rPr>
              <w:t>Buffalo, 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543"/>
              <w:spacing w:after="0"/>
              <w:rPr>
                <w:sz w:val="20"/>
                <w:szCs w:val="20"/>
                <w:color w:val="auto"/>
              </w:rPr>
            </w:pPr>
            <w:r>
              <w:rPr>
                <w:rFonts w:ascii="Arial" w:cs="Arial" w:eastAsia="Arial" w:hAnsi="Arial"/>
                <w:sz w:val="18"/>
                <w:szCs w:val="18"/>
                <w:b w:val="1"/>
                <w:bCs w:val="1"/>
                <w:color w:val="auto"/>
              </w:rPr>
              <w:t>14203</w:t>
            </w:r>
          </w:p>
        </w:tc>
        <w:tc>
          <w:tcPr>
            <w:tcW w:w="0" w:type="dxa"/>
            <w:vAlign w:val="bottom"/>
          </w:tcPr>
          <w:p>
            <w:pPr>
              <w:spacing w:after="0"/>
              <w:rPr>
                <w:sz w:val="1"/>
                <w:szCs w:val="1"/>
                <w:color w:val="auto"/>
              </w:rPr>
            </w:pPr>
          </w:p>
        </w:tc>
      </w:tr>
      <w:tr>
        <w:trPr>
          <w:trHeight w:val="186"/>
        </w:trPr>
        <w:tc>
          <w:tcPr>
            <w:tcW w:w="26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(716) 635-4000</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440" w:type="dxa"/>
            <w:vAlign w:val="bottom"/>
          </w:tcPr>
          <w:p>
            <w:pPr>
              <w:spacing w:after="0"/>
              <w:rPr>
                <w:sz w:val="19"/>
                <w:szCs w:val="19"/>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3"/>
              </w:rPr>
              <w:t>Trading Symbols</w:t>
            </w:r>
          </w:p>
        </w:tc>
        <w:tc>
          <w:tcPr>
            <w:tcW w:w="2820" w:type="dxa"/>
            <w:vAlign w:val="bottom"/>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value</w:t>
            </w: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gridSpan w:val="2"/>
          </w:tcPr>
          <w:p>
            <w:pPr>
              <w:spacing w:after="0"/>
              <w:rPr>
                <w:sz w:val="20"/>
                <w:szCs w:val="20"/>
                <w:color w:val="auto"/>
              </w:rPr>
            </w:pPr>
            <w:r>
              <w:rPr>
                <w:rFonts w:ascii="Arial" w:cs="Arial" w:eastAsia="Arial" w:hAnsi="Arial"/>
                <w:sz w:val="14"/>
                <w:szCs w:val="14"/>
                <w:color w:val="auto"/>
                <w:w w:val="94"/>
              </w:rPr>
              <w:t>Common Stock, $.50 par</w:t>
            </w:r>
          </w:p>
        </w:tc>
        <w:tc>
          <w:tcPr>
            <w:tcW w:w="1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color w:val="auto"/>
              </w:rPr>
              <w:t>MTB</w:t>
            </w: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73"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October 29, 2021: 128,684,567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M&amp;T BANK CORPORATION</w:t>
            </w:r>
          </w:p>
        </w:tc>
        <w:tc>
          <w:tcPr>
            <w:tcW w:w="41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12"/>
          </w:tcPr>
          <w:p>
            <w:pPr>
              <w:jc w:val="center"/>
              <w:ind w:right="4780"/>
              <w:spacing w:after="0"/>
              <w:rPr>
                <w:sz w:val="20"/>
                <w:szCs w:val="20"/>
                <w:color w:val="auto"/>
              </w:rPr>
            </w:pPr>
            <w:r>
              <w:rPr>
                <w:rFonts w:ascii="Arial" w:cs="Arial" w:eastAsia="Arial" w:hAnsi="Arial"/>
                <w:sz w:val="18"/>
                <w:szCs w:val="18"/>
                <w:color w:val="auto"/>
                <w:w w:val="93"/>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15"/>
          </w:tcPr>
          <w:p>
            <w:pPr>
              <w:jc w:val="center"/>
              <w:ind w:right="3360"/>
              <w:spacing w:after="0"/>
              <w:rPr>
                <w:sz w:val="20"/>
                <w:szCs w:val="20"/>
                <w:color w:val="auto"/>
              </w:rPr>
            </w:pPr>
            <w:r>
              <w:rPr>
                <w:rFonts w:ascii="Arial" w:cs="Arial" w:eastAsia="Arial" w:hAnsi="Arial"/>
                <w:sz w:val="18"/>
                <w:szCs w:val="18"/>
                <w:color w:val="auto"/>
                <w:w w:val="88"/>
              </w:rPr>
              <w:t>For the Quarterly Period Ended September 30, 2021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60" w:type="dxa"/>
            <w:vAlign w:val="bottom"/>
            <w:gridSpan w:val="30"/>
          </w:tcPr>
          <w:p>
            <w:pPr>
              <w:spacing w:after="0"/>
              <w:rPr>
                <w:sz w:val="20"/>
                <w:szCs w:val="20"/>
                <w:color w:val="auto"/>
              </w:rPr>
            </w:pPr>
            <w:r>
              <w:rPr>
                <w:rFonts w:ascii="Arial" w:cs="Arial" w:eastAsia="Arial" w:hAnsi="Arial"/>
                <w:sz w:val="18"/>
                <w:szCs w:val="18"/>
                <w:color w:val="auto"/>
              </w:rPr>
              <w:t>Table of Contents of Information Required in Report</w:t>
            </w:r>
          </w:p>
        </w:tc>
        <w:tc>
          <w:tcPr>
            <w:tcW w:w="380" w:type="dxa"/>
            <w:vAlign w:val="bottom"/>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11"/>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060" w:type="dxa"/>
            <w:vAlign w:val="bottom"/>
            <w:gridSpan w:val="15"/>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800" w:type="dxa"/>
            <w:vAlign w:val="bottom"/>
            <w:tcBorders>
              <w:bottom w:val="single" w:sz="8" w:color="0000EE"/>
            </w:tcBorders>
            <w:gridSpan w:val="11"/>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060" w:type="dxa"/>
            <w:vAlign w:val="bottom"/>
            <w:gridSpan w:val="15"/>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BALANCE SHEET – September 30, 2021 and December 31, 2020</w:t>
              </w:r>
            </w:hyperlink>
          </w:p>
        </w:tc>
        <w:tc>
          <w:tcPr>
            <w:tcW w:w="33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nine months ended September 30, 2021 and 2020</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28"/>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 OF COMPREHENSIVE INCOME – Three and nine months ended September 30, 2021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 OF CASH FLOWS – Nine months ended September 30, 2021 and 2020</w:t>
              </w:r>
            </w:hyperlink>
          </w:p>
        </w:tc>
        <w:tc>
          <w:tcPr>
            <w:tcW w:w="19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6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STATEMENT OF CHANGES IN SHAREHOLDERS' EQUITY – Three and nine months ended September 30,</w:t>
              </w:r>
            </w:hyperlink>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2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and 2020</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5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5"/>
          </w:tcPr>
          <w:p>
            <w:pPr>
              <w:spacing w:after="0"/>
              <w:rPr>
                <w:sz w:val="24"/>
                <w:szCs w:val="24"/>
                <w:color w:val="auto"/>
              </w:rPr>
            </w:pPr>
          </w:p>
        </w:tc>
        <w:tc>
          <w:tcPr>
            <w:tcW w:w="31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Controls and Procedures.</w:t>
              </w:r>
            </w:hyperlink>
          </w:p>
        </w:tc>
        <w:tc>
          <w:tcPr>
            <w:tcW w:w="77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Part II. OTHER INFORMATION</w:t>
              </w:r>
            </w:hyperlink>
          </w:p>
        </w:tc>
        <w:tc>
          <w:tcPr>
            <w:tcW w:w="842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Legal Proceedings</w:t>
              </w:r>
            </w:hyperlink>
          </w:p>
        </w:tc>
        <w:tc>
          <w:tcPr>
            <w:tcW w:w="824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580" w:type="dxa"/>
            <w:vAlign w:val="bottom"/>
            <w:gridSpan w:val="2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Risk Factors</w:t>
              </w:r>
            </w:hyperlink>
            <w:r>
              <w:rPr>
                <w:rFonts w:ascii="Arial" w:cs="Arial" w:eastAsia="Arial" w:hAnsi="Arial"/>
                <w:sz w:val="18"/>
                <w:szCs w:val="18"/>
                <w:color w:val="000000"/>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2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Defaults Upon Senior Securities.</w:t>
              </w:r>
            </w:hyperlink>
          </w:p>
        </w:tc>
        <w:tc>
          <w:tcPr>
            <w:tcW w:w="52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22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Other Information.</w:t>
              </w:r>
            </w:hyperlink>
          </w:p>
        </w:tc>
        <w:tc>
          <w:tcPr>
            <w:tcW w:w="822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580" w:type="dxa"/>
            <w:vAlign w:val="bottom"/>
            <w:gridSpan w:val="2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790"/>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gridSpan w:val="19"/>
          </w:tcPr>
          <w:p>
            <w:pPr>
              <w:jc w:val="center"/>
              <w:ind w:left="3810"/>
              <w:spacing w:after="0"/>
              <w:rPr>
                <w:sz w:val="20"/>
                <w:szCs w:val="20"/>
                <w:color w:val="auto"/>
              </w:rPr>
            </w:pPr>
            <w:r>
              <w:rPr>
                <w:rFonts w:ascii="Arial" w:cs="Arial" w:eastAsia="Arial" w:hAnsi="Arial"/>
                <w:sz w:val="18"/>
                <w:szCs w:val="18"/>
                <w:color w:val="auto"/>
                <w:w w:val="93"/>
              </w:rPr>
              <w:t>- 2 -</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4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4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15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1,479,712</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1,552,743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FF0FC"/>
          </w:tcPr>
          <w:p>
            <w:pPr>
              <w:spacing w:after="0"/>
              <w:rPr>
                <w:sz w:val="20"/>
                <w:szCs w:val="20"/>
                <w:color w:val="auto"/>
              </w:rPr>
            </w:pPr>
            <w:r>
              <w:rPr>
                <w:rFonts w:ascii="Arial" w:cs="Arial" w:eastAsia="Arial" w:hAnsi="Arial"/>
                <w:sz w:val="15"/>
                <w:szCs w:val="15"/>
                <w:color w:val="auto"/>
              </w:rPr>
              <w:t>Interest-bearing deposits at banks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38,445,788</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23,663,810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20"/>
                <w:szCs w:val="20"/>
                <w:color w:val="auto"/>
              </w:rPr>
            </w:pPr>
            <w:r>
              <w:rPr>
                <w:rFonts w:ascii="Arial" w:cs="Arial" w:eastAsia="Arial" w:hAnsi="Arial"/>
                <w:sz w:val="15"/>
                <w:szCs w:val="15"/>
                <w:color w:val="auto"/>
              </w:rPr>
              <w:t>Trading account</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624,556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1,068,581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$118,178 at September 30, 2021; $105,136 at December 31, 2020)</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tcPr>
          <w:p>
            <w:pPr>
              <w:ind w:left="260"/>
              <w:spacing w:after="0" w:line="162" w:lineRule="exact"/>
              <w:rPr>
                <w:sz w:val="20"/>
                <w:szCs w:val="20"/>
                <w:color w:val="auto"/>
              </w:rPr>
            </w:pPr>
            <w:r>
              <w:rPr>
                <w:rFonts w:ascii="Arial" w:cs="Arial" w:eastAsia="Arial" w:hAnsi="Arial"/>
                <w:sz w:val="15"/>
                <w:szCs w:val="15"/>
                <w:color w:val="auto"/>
              </w:rPr>
              <w:t>Available for sale (cost: $3,473,923 at September 30, 2021;</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tcPr>
          <w:p>
            <w:pPr>
              <w:ind w:left="360"/>
              <w:spacing w:after="0"/>
              <w:rPr>
                <w:sz w:val="20"/>
                <w:szCs w:val="20"/>
                <w:color w:val="auto"/>
              </w:rPr>
            </w:pPr>
            <w:r>
              <w:rPr>
                <w:rFonts w:ascii="Arial" w:cs="Arial" w:eastAsia="Arial" w:hAnsi="Arial"/>
                <w:sz w:val="15"/>
                <w:szCs w:val="15"/>
                <w:color w:val="auto"/>
              </w:rPr>
              <w:t>$4,621,027 at December 31, 2020</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3,618,106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4,822,606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Held to maturity (fair value: $2,413,938 at September 30, 2021;</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$1,842,281 at December 31, 2020)</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2,359,727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1,748,989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tcPr>
          <w:p>
            <w:pPr>
              <w:ind w:left="260"/>
              <w:spacing w:after="0" w:line="162" w:lineRule="exact"/>
              <w:rPr>
                <w:sz w:val="20"/>
                <w:szCs w:val="20"/>
                <w:color w:val="auto"/>
              </w:rPr>
            </w:pPr>
            <w:r>
              <w:rPr>
                <w:rFonts w:ascii="Arial" w:cs="Arial" w:eastAsia="Arial" w:hAnsi="Arial"/>
                <w:sz w:val="15"/>
                <w:szCs w:val="15"/>
                <w:color w:val="auto"/>
              </w:rPr>
              <w:t>Equity and other securities (cost: $467,349 at September 30, 2021;</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$449,008 at December 31, 2020)</w:t>
            </w:r>
          </w:p>
        </w:tc>
        <w:tc>
          <w:tcPr>
            <w:tcW w:w="14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469,789</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474,102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securities</w:t>
            </w:r>
          </w:p>
        </w:tc>
        <w:tc>
          <w:tcPr>
            <w:tcW w:w="14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6,447,622</w:t>
            </w:r>
          </w:p>
        </w:tc>
        <w:tc>
          <w:tcPr>
            <w:tcW w:w="4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7,045,697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5"/>
                <w:szCs w:val="15"/>
                <w:color w:val="auto"/>
              </w:rPr>
              <w:t>Loans and leases</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93,872,912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98,875,788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Unearned discount</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(290,018)</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(339,921)</w:t>
            </w:r>
          </w:p>
        </w:tc>
        <w:tc>
          <w:tcPr>
            <w:tcW w:w="0" w:type="dxa"/>
            <w:vAlign w:val="bottom"/>
          </w:tcPr>
          <w:p>
            <w:pPr>
              <w:spacing w:after="0"/>
              <w:rPr>
                <w:sz w:val="1"/>
                <w:szCs w:val="1"/>
                <w:color w:val="auto"/>
              </w:rPr>
            </w:pPr>
          </w:p>
        </w:tc>
      </w:tr>
      <w:tr>
        <w:trPr>
          <w:trHeight w:val="169"/>
        </w:trPr>
        <w:tc>
          <w:tcPr>
            <w:tcW w:w="6480" w:type="dxa"/>
            <w:vAlign w:val="bottom"/>
          </w:tcPr>
          <w:p>
            <w:pPr>
              <w:ind w:left="38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1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93,582,894</w:t>
            </w: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98,535,867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Allowance for credit losses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(1,515,024)</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(1,736,387)</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CFF0FC"/>
            </w:tcBorders>
          </w:tcPr>
          <w:p>
            <w:pPr>
              <w:ind w:left="380"/>
              <w:spacing w:after="0" w:line="169" w:lineRule="exact"/>
              <w:rPr>
                <w:sz w:val="20"/>
                <w:szCs w:val="20"/>
                <w:color w:val="auto"/>
              </w:rPr>
            </w:pPr>
            <w:r>
              <w:rPr>
                <w:rFonts w:ascii="Arial" w:cs="Arial" w:eastAsia="Arial" w:hAnsi="Arial"/>
                <w:sz w:val="15"/>
                <w:szCs w:val="15"/>
                <w:color w:val="auto"/>
              </w:rPr>
              <w:t>Loans and leases, net</w:t>
            </w:r>
          </w:p>
        </w:tc>
        <w:tc>
          <w:tcPr>
            <w:tcW w:w="142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92,067,870</w:t>
            </w:r>
          </w:p>
        </w:tc>
        <w:tc>
          <w:tcPr>
            <w:tcW w:w="4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96,799,480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Premises and equipment</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1,117,903</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1,161,558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Arial" w:cs="Arial" w:eastAsia="Arial" w:hAnsi="Arial"/>
                <w:sz w:val="15"/>
                <w:szCs w:val="15"/>
                <w:color w:val="auto"/>
              </w:rPr>
              <w:t>Goodwill</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4,593,112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FF0FC"/>
          </w:tcPr>
          <w:p>
            <w:pPr>
              <w:spacing w:after="0"/>
              <w:rPr>
                <w:sz w:val="20"/>
                <w:szCs w:val="20"/>
                <w:color w:val="auto"/>
              </w:rPr>
            </w:pPr>
            <w:r>
              <w:rPr>
                <w:rFonts w:ascii="Arial" w:cs="Arial" w:eastAsia="Arial" w:hAnsi="Arial"/>
                <w:sz w:val="15"/>
                <w:szCs w:val="15"/>
                <w:color w:val="auto"/>
              </w:rPr>
              <w:t>Core deposit and other intangible assets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5,952</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Accrued interest and other assets</w:t>
            </w:r>
          </w:p>
        </w:tc>
        <w:tc>
          <w:tcPr>
            <w:tcW w:w="14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7,118,679</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6,701,959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15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151,901,194</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142,601,105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8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480" w:type="dxa"/>
            <w:vAlign w:val="bottom"/>
            <w:shd w:val="clear" w:color="auto" w:fill="CFF0FC"/>
          </w:tcPr>
          <w:p>
            <w:pPr>
              <w:spacing w:after="0"/>
              <w:rPr>
                <w:sz w:val="20"/>
                <w:szCs w:val="20"/>
                <w:color w:val="auto"/>
              </w:rPr>
            </w:pPr>
            <w:r>
              <w:rPr>
                <w:rFonts w:ascii="Arial" w:cs="Arial" w:eastAsia="Arial" w:hAnsi="Arial"/>
                <w:sz w:val="15"/>
                <w:szCs w:val="15"/>
                <w:color w:val="auto"/>
              </w:rPr>
              <w:t>Noninterest-bearing deposits</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56,542,309</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47,572,884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Arial" w:cs="Arial" w:eastAsia="Arial" w:hAnsi="Arial"/>
                <w:sz w:val="15"/>
                <w:szCs w:val="15"/>
                <w:color w:val="auto"/>
              </w:rPr>
              <w:t>Savings and interest-checking deposits</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69,195,960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67,680,840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spacing w:after="0"/>
              <w:rPr>
                <w:sz w:val="20"/>
                <w:szCs w:val="20"/>
                <w:color w:val="auto"/>
              </w:rPr>
            </w:pPr>
            <w:r>
              <w:rPr>
                <w:rFonts w:ascii="Arial" w:cs="Arial" w:eastAsia="Arial" w:hAnsi="Arial"/>
                <w:sz w:val="15"/>
                <w:szCs w:val="15"/>
                <w:color w:val="auto"/>
              </w:rPr>
              <w:t>Time deposits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2,963,027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3,899,910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20"/>
                <w:szCs w:val="20"/>
                <w:color w:val="auto"/>
              </w:rPr>
            </w:pPr>
            <w:r>
              <w:rPr>
                <w:rFonts w:ascii="Arial" w:cs="Arial" w:eastAsia="Arial" w:hAnsi="Arial"/>
                <w:sz w:val="15"/>
                <w:szCs w:val="15"/>
                <w:color w:val="auto"/>
              </w:rPr>
              <w:t>Deposits at Cayman Islands office</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652,104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8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deposits</w:t>
            </w:r>
          </w:p>
        </w:tc>
        <w:tc>
          <w:tcPr>
            <w:tcW w:w="14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128,701,296</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119,805,738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5"/>
                <w:szCs w:val="15"/>
                <w:color w:val="auto"/>
              </w:rPr>
              <w:t>Short-term borrowings</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103,548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59,482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 and other liabilities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2,067,188</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2,166,409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Long-term borrowings</w:t>
            </w:r>
          </w:p>
        </w:tc>
        <w:tc>
          <w:tcPr>
            <w:tcW w:w="14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3,500,391</w:t>
            </w:r>
          </w:p>
        </w:tc>
        <w:tc>
          <w:tcPr>
            <w:tcW w:w="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4,382,193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14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134,372,423</w:t>
            </w:r>
          </w:p>
        </w:tc>
        <w:tc>
          <w:tcPr>
            <w:tcW w:w="4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126,413,822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48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480" w:type="dxa"/>
            <w:vAlign w:val="bottom"/>
            <w:shd w:val="clear" w:color="auto" w:fill="CFF0FC"/>
          </w:tcPr>
          <w:p>
            <w:pPr>
              <w:spacing w:after="0" w:line="165" w:lineRule="exact"/>
              <w:rPr>
                <w:sz w:val="20"/>
                <w:szCs w:val="20"/>
                <w:color w:val="auto"/>
              </w:rPr>
            </w:pPr>
            <w:r>
              <w:rPr>
                <w:rFonts w:ascii="Arial" w:cs="Arial" w:eastAsia="Arial" w:hAnsi="Arial"/>
                <w:sz w:val="15"/>
                <w:szCs w:val="15"/>
                <w:color w:val="auto"/>
              </w:rPr>
              <w:t>Preferred stock, $1.00 par, 1,000,000 shares authorized;</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Issued and outstanding: Liquidation preference of $1,000 per share: 350,000</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shares at September 30, 2021 and December 31, 2020; Liquidation preference of</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$10,000 per share: 140,000 shares at September 30, 2021 and 90,000 shares at</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December 31, 2020</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1,750,000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1,250,000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tcPr>
          <w:p>
            <w:pPr>
              <w:ind w:left="120"/>
              <w:spacing w:after="0"/>
              <w:rPr>
                <w:sz w:val="20"/>
                <w:szCs w:val="20"/>
                <w:color w:val="auto"/>
              </w:rPr>
            </w:pPr>
            <w:r>
              <w:rPr>
                <w:rFonts w:ascii="Arial" w:cs="Arial" w:eastAsia="Arial" w:hAnsi="Arial"/>
                <w:sz w:val="15"/>
                <w:szCs w:val="15"/>
                <w:color w:val="auto"/>
              </w:rPr>
              <w:t>159,741,898 shares issued at September 30, 2021 and December 31, 2020</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79,871</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79,871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issuable, 15,683 shares at September 30, 2021;</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18,113 shares at December 31, 2020</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1,196</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6,624,656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6,617,404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spacing w:after="0"/>
              <w:rPr>
                <w:sz w:val="20"/>
                <w:szCs w:val="20"/>
                <w:color w:val="auto"/>
              </w:rPr>
            </w:pPr>
            <w:r>
              <w:rPr>
                <w:rFonts w:ascii="Arial" w:cs="Arial" w:eastAsia="Arial" w:hAnsi="Arial"/>
                <w:sz w:val="15"/>
                <w:szCs w:val="15"/>
                <w:color w:val="auto"/>
              </w:rPr>
              <w:t>Retained earnings</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14,365,913</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13,444,428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rPr>
                <w:sz w:val="20"/>
                <w:szCs w:val="20"/>
                <w:color w:val="auto"/>
              </w:rPr>
            </w:pPr>
            <w:r>
              <w:rPr>
                <w:rFonts w:ascii="Arial" w:cs="Arial" w:eastAsia="Arial" w:hAnsi="Arial"/>
                <w:sz w:val="15"/>
                <w:szCs w:val="15"/>
                <w:color w:val="auto"/>
              </w:rPr>
              <w:t>Accumulated other comprehensive income (loss), net</w:t>
            </w: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5"/>
                <w:szCs w:val="15"/>
                <w:color w:val="auto"/>
              </w:rPr>
              <w:t>(210,419)</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(63,032)</w:t>
            </w: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Treasury stock — common, at cost — 31,058,333 shares at September 30, 2021;</w:t>
            </w: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31,426,742 shares at December 31, 2020</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80"/>
              <w:spacing w:after="0"/>
              <w:rPr>
                <w:sz w:val="20"/>
                <w:szCs w:val="20"/>
                <w:color w:val="auto"/>
              </w:rPr>
            </w:pPr>
            <w:r>
              <w:rPr>
                <w:rFonts w:ascii="Arial" w:cs="Arial" w:eastAsia="Arial" w:hAnsi="Arial"/>
                <w:sz w:val="15"/>
                <w:szCs w:val="15"/>
                <w:color w:val="auto"/>
              </w:rPr>
              <w:t>(5,082,446)</w:t>
            </w: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(5,142,732)</w:t>
            </w:r>
          </w:p>
        </w:tc>
        <w:tc>
          <w:tcPr>
            <w:tcW w:w="0" w:type="dxa"/>
            <w:vAlign w:val="bottom"/>
          </w:tcPr>
          <w:p>
            <w:pPr>
              <w:spacing w:after="0"/>
              <w:rPr>
                <w:sz w:val="1"/>
                <w:szCs w:val="1"/>
                <w:color w:val="auto"/>
              </w:rPr>
            </w:pPr>
          </w:p>
        </w:tc>
      </w:tr>
      <w:tr>
        <w:trPr>
          <w:trHeight w:val="169"/>
        </w:trPr>
        <w:tc>
          <w:tcPr>
            <w:tcW w:w="648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42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17,528,771</w:t>
            </w:r>
          </w:p>
        </w:tc>
        <w:tc>
          <w:tcPr>
            <w:tcW w:w="4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16,187,283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5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151,901,194</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142,601,105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r>
        <w:rPr>
          <w:rFonts w:ascii="Arial" w:cs="Arial" w:eastAsia="Arial" w:hAnsi="Arial"/>
          <w:sz w:val="10"/>
          <w:szCs w:val="10"/>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right"/>
              <w:ind w:right="255"/>
              <w:spacing w:after="0"/>
              <w:rPr>
                <w:sz w:val="20"/>
                <w:szCs w:val="20"/>
                <w:color w:val="auto"/>
              </w:rPr>
            </w:pPr>
            <w:r>
              <w:rPr>
                <w:rFonts w:ascii="Arial" w:cs="Arial" w:eastAsia="Arial" w:hAnsi="Arial"/>
                <w:sz w:val="17"/>
                <w:szCs w:val="17"/>
                <w:b w:val="1"/>
                <w:bCs w:val="1"/>
                <w:color w:val="auto"/>
                <w:w w:val="98"/>
              </w:rPr>
              <w:t>Three Months Ended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right"/>
              <w:ind w:right="535"/>
              <w:spacing w:after="0"/>
              <w:rPr>
                <w:sz w:val="20"/>
                <w:szCs w:val="20"/>
                <w:color w:val="auto"/>
              </w:rPr>
            </w:pPr>
            <w:r>
              <w:rPr>
                <w:rFonts w:ascii="Arial" w:cs="Arial" w:eastAsia="Arial" w:hAnsi="Arial"/>
                <w:sz w:val="17"/>
                <w:szCs w:val="17"/>
                <w:b w:val="1"/>
                <w:bCs w:val="1"/>
                <w:color w:val="auto"/>
              </w:rPr>
              <w:t>September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0"/>
        </w:trPr>
        <w:tc>
          <w:tcPr>
            <w:tcW w:w="4980" w:type="dxa"/>
            <w:vAlign w:val="bottom"/>
          </w:tcPr>
          <w:p>
            <w:pPr>
              <w:spacing w:after="0"/>
              <w:rPr>
                <w:sz w:val="20"/>
                <w:szCs w:val="20"/>
                <w:color w:val="auto"/>
              </w:rPr>
            </w:pPr>
            <w:r>
              <w:rPr>
                <w:rFonts w:ascii="Arial" w:cs="Arial" w:eastAsia="Arial" w:hAnsi="Arial"/>
                <w:sz w:val="17"/>
                <w:szCs w:val="17"/>
                <w:b w:val="1"/>
                <w:bCs w:val="1"/>
                <w:color w:val="auto"/>
              </w:rPr>
              <w:t>(In thousands, except per share)</w:t>
            </w:r>
          </w:p>
        </w:tc>
        <w:tc>
          <w:tcPr>
            <w:tcW w:w="1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tcPr>
          <w:p>
            <w:pPr>
              <w:spacing w:after="0"/>
              <w:rPr>
                <w:sz w:val="20"/>
                <w:szCs w:val="20"/>
                <w:color w:val="auto"/>
              </w:rPr>
            </w:pPr>
            <w:r>
              <w:rPr>
                <w:rFonts w:ascii="Arial" w:cs="Arial" w:eastAsia="Arial" w:hAnsi="Arial"/>
                <w:sz w:val="17"/>
                <w:szCs w:val="17"/>
                <w:b w:val="1"/>
                <w:bCs w:val="1"/>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Loans and leases, including fees</w:t>
            </w:r>
          </w:p>
        </w:tc>
        <w:tc>
          <w:tcPr>
            <w:tcW w:w="13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944,422</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956,594</w:t>
            </w:r>
          </w:p>
        </w:tc>
        <w:tc>
          <w:tcPr>
            <w:tcW w:w="500" w:type="dxa"/>
            <w:vAlign w:val="bottom"/>
            <w:gridSpan w:val="2"/>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2,843,969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2,983,787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Investment securities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Fully taxable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33,209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38,529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104,736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135,858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60"/>
              <w:spacing w:after="0"/>
              <w:rPr>
                <w:sz w:val="20"/>
                <w:szCs w:val="20"/>
                <w:color w:val="auto"/>
              </w:rPr>
            </w:pPr>
            <w:r>
              <w:rPr>
                <w:rFonts w:ascii="Arial" w:cs="Arial" w:eastAsia="Arial" w:hAnsi="Arial"/>
                <w:sz w:val="17"/>
                <w:szCs w:val="17"/>
                <w:color w:val="auto"/>
              </w:rPr>
              <w:t>Exempt from federal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Deposits at banks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14,923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30,507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27,308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6,706</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interest income</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992,946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1,001,161</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2,980,266</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3,153,822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7"/>
                <w:szCs w:val="17"/>
                <w:b w:val="1"/>
                <w:bCs w:val="1"/>
                <w:color w:val="auto"/>
              </w:rPr>
              <w:t>Interest expense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Savings and interest-checking deposits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22,403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26,556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126,859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Time deposits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14,519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15,667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56,274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Deposits at Cayman Islands office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Short-term borrowings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Long-term borrowings</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15,121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20,902</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46,852</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89,805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interest expense</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25,696</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58,066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89,281</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276,785</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Net interest income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967,250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943,095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2,890,985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2,877,037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Provision for credit losses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(60,000)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725,000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interest income after provision for credit losses</w:t>
            </w:r>
          </w:p>
        </w:tc>
        <w:tc>
          <w:tcPr>
            <w:tcW w:w="1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987,250</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793,095</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2,950,985</w:t>
            </w: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2,152,037</w:t>
            </w: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7"/>
                <w:szCs w:val="17"/>
                <w:b w:val="1"/>
                <w:bCs w:val="1"/>
                <w:color w:val="auto"/>
              </w:rPr>
              <w:t>Other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Mortgage banking revenues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159,995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153,267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432,062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426,200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Service charges on deposit accounts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105,426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91,355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296,721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274,971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Trust income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156,876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149,937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475,889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450,570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Brokerage services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20,490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43,868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35,194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Trading account and foreign exchange gains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18,349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33,332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Gain (loss) on bank investment securities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(22,646)</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(11,040)</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Other revenues from operations</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120,485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107,601</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344,114</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327,967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other income</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569,126</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520,561</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1,588,357</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1,537,194</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Other expense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Salaries and employee benefits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510,422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478,897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1,530,634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1,474,582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Equipment and net occupancy</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80,738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81,080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244,057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237,809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Outside data processing and software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72,782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64,660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213,025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190,446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FDIC assessments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50,874</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38,599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Advertising and marketing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15,208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11,855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43,200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44,072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Printing, postage and supplies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7,917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28,367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31,534</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color w:val="auto"/>
              </w:rPr>
              <w:t>Amortization of core deposit and other intangible assets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8,213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Other costs of operations</w:t>
            </w:r>
          </w:p>
        </w:tc>
        <w:tc>
          <w:tcPr>
            <w:tcW w:w="1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190,719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164,825</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565,753</w:t>
            </w:r>
          </w:p>
        </w:tc>
        <w:tc>
          <w:tcPr>
            <w:tcW w:w="3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511,450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Total other expense</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899,334</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826,774</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2,684,123</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2,540,232</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7"/>
                <w:szCs w:val="17"/>
                <w:color w:val="auto"/>
              </w:rPr>
              <w:t>Income before taxes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657,042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486,882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1,855,219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1,148,999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taxes</w:t>
            </w:r>
          </w:p>
        </w:tc>
        <w:tc>
          <w:tcPr>
            <w:tcW w:w="1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161,582</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114,746</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454,441</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266,987</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i w:val="1"/>
                <w:iCs w:val="1"/>
                <w:color w:val="auto"/>
              </w:rPr>
              <w:t>Net income</w:t>
            </w:r>
          </w:p>
        </w:tc>
        <w:tc>
          <w:tcPr>
            <w:tcW w:w="1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495,460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372,136</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1,400,778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882,012</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7"/>
                <w:szCs w:val="17"/>
                <w:b w:val="1"/>
                <w:bCs w:val="1"/>
                <w:color w:val="auto"/>
              </w:rPr>
              <w:t>Net income available to common shareholders</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Basic</w:t>
            </w:r>
          </w:p>
        </w:tc>
        <w:tc>
          <w:tcPr>
            <w:tcW w:w="1340" w:type="dxa"/>
            <w:vAlign w:val="bottom"/>
            <w:gridSpan w:val="2"/>
            <w:shd w:val="clear" w:color="auto" w:fill="CFF0FC"/>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475,958</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353,399</w:t>
            </w:r>
          </w:p>
        </w:tc>
        <w:tc>
          <w:tcPr>
            <w:tcW w:w="500" w:type="dxa"/>
            <w:vAlign w:val="bottom"/>
            <w:gridSpan w:val="2"/>
            <w:shd w:val="clear" w:color="auto" w:fill="CFF0FC"/>
          </w:tcPr>
          <w:p>
            <w:pPr>
              <w:jc w:val="right"/>
              <w:ind w:right="2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1,342,805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827,203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7"/>
                <w:szCs w:val="17"/>
                <w:color w:val="auto"/>
              </w:rPr>
              <w:t>Diluted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475,961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353,400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1,342,812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827,204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per common share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7"/>
                <w:szCs w:val="17"/>
                <w:color w:val="auto"/>
              </w:rPr>
              <w:t>Basic</w:t>
            </w:r>
          </w:p>
        </w:tc>
        <w:tc>
          <w:tcPr>
            <w:tcW w:w="13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3.70</w:t>
            </w:r>
          </w:p>
        </w:tc>
        <w:tc>
          <w:tcPr>
            <w:tcW w:w="200" w:type="dxa"/>
            <w:vAlign w:val="bottom"/>
          </w:tcPr>
          <w:p>
            <w:pPr>
              <w:spacing w:after="0"/>
              <w:rPr>
                <w:sz w:val="18"/>
                <w:szCs w:val="18"/>
                <w:color w:val="auto"/>
              </w:rPr>
            </w:pPr>
          </w:p>
        </w:tc>
        <w:tc>
          <w:tcPr>
            <w:tcW w:w="30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2.75</w:t>
            </w:r>
          </w:p>
        </w:tc>
        <w:tc>
          <w:tcPr>
            <w:tcW w:w="50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10.44</w:t>
            </w:r>
          </w:p>
        </w:tc>
        <w:tc>
          <w:tcPr>
            <w:tcW w:w="3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Diluted</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7"/>
                <w:szCs w:val="17"/>
                <w:b w:val="1"/>
                <w:bCs w:val="1"/>
                <w:color w:val="auto"/>
              </w:rPr>
              <w:t>Average common shares outstanding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Basic</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128,689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128,285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128,632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128,750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500"/>
              <w:spacing w:after="0"/>
              <w:rPr>
                <w:sz w:val="20"/>
                <w:szCs w:val="20"/>
                <w:color w:val="auto"/>
              </w:rPr>
            </w:pPr>
            <w:r>
              <w:rPr>
                <w:rFonts w:ascii="Arial" w:cs="Arial" w:eastAsia="Arial" w:hAnsi="Arial"/>
                <w:sz w:val="17"/>
                <w:szCs w:val="17"/>
                <w:color w:val="auto"/>
              </w:rPr>
              <w:t>Diluted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128,844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128,355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128,786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128,813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3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71"/>
        </w:trPr>
        <w:tc>
          <w:tcPr>
            <w:tcW w:w="5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495,460</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372,136</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1,400,778</w:t>
            </w:r>
          </w:p>
        </w:tc>
        <w:tc>
          <w:tcPr>
            <w:tcW w:w="3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882,012</w:t>
            </w:r>
          </w:p>
        </w:tc>
        <w:tc>
          <w:tcPr>
            <w:tcW w:w="100" w:type="dxa"/>
            <w:vAlign w:val="bottom"/>
            <w:shd w:val="clear" w:color="auto" w:fill="CFF0FC"/>
          </w:tcPr>
          <w:p>
            <w:pPr>
              <w:spacing w:after="0"/>
              <w:rPr>
                <w:sz w:val="19"/>
                <w:szCs w:val="19"/>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investment securities</w:t>
            </w: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(9,314)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(17,948)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(39,808)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Cash flow hedges adjustments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(38,038)</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(63,199)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(152,175)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240,562</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(1,579)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w:t>
            </w:r>
          </w:p>
        </w:tc>
      </w:tr>
      <w:tr>
        <w:trPr>
          <w:trHeight w:val="229"/>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1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15,486</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45,482</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27,431</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(33,445)</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(147,387)</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382,183</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1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462,015</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1,253,391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1,264,195</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61"/>
        </w:trPr>
        <w:tc>
          <w:tcPr>
            <w:tcW w:w="844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1,400,778</w:t>
            </w:r>
          </w:p>
        </w:tc>
        <w:tc>
          <w:tcPr>
            <w:tcW w:w="2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882,012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500"/>
              <w:spacing w:after="0"/>
              <w:rPr>
                <w:sz w:val="20"/>
                <w:szCs w:val="20"/>
                <w:color w:val="auto"/>
              </w:rPr>
            </w:pPr>
            <w:r>
              <w:rPr>
                <w:rFonts w:ascii="Arial" w:cs="Arial" w:eastAsia="Arial" w:hAnsi="Arial"/>
                <w:sz w:val="13"/>
                <w:szCs w:val="13"/>
                <w:color w:val="auto"/>
              </w:rPr>
              <w:t>Provision for credit losses</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(60,000)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and amortization of premises and equipment</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169,232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164,323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500"/>
              <w:spacing w:after="0"/>
              <w:rPr>
                <w:sz w:val="20"/>
                <w:szCs w:val="20"/>
                <w:color w:val="auto"/>
              </w:rPr>
            </w:pPr>
            <w:r>
              <w:rPr>
                <w:rFonts w:ascii="Arial" w:cs="Arial" w:eastAsia="Arial" w:hAnsi="Arial"/>
                <w:sz w:val="13"/>
                <w:szCs w:val="13"/>
                <w:color w:val="auto"/>
              </w:rPr>
              <w:t>Amortization of capitalized servicing rights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63,992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core deposit and other intangible assets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500"/>
              <w:spacing w:after="0"/>
              <w:rPr>
                <w:sz w:val="20"/>
                <w:szCs w:val="20"/>
                <w:color w:val="auto"/>
              </w:rPr>
            </w:pPr>
            <w:r>
              <w:rPr>
                <w:rFonts w:ascii="Arial" w:cs="Arial" w:eastAsia="Arial" w:hAnsi="Arial"/>
                <w:sz w:val="13"/>
                <w:szCs w:val="13"/>
                <w:color w:val="auto"/>
              </w:rPr>
              <w:t>Provision for deferred income taxes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70,190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(119,913)</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write-downs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500"/>
              <w:spacing w:after="0"/>
              <w:rPr>
                <w:sz w:val="20"/>
                <w:szCs w:val="20"/>
                <w:color w:val="auto"/>
              </w:rPr>
            </w:pPr>
            <w:r>
              <w:rPr>
                <w:rFonts w:ascii="Arial" w:cs="Arial" w:eastAsia="Arial" w:hAnsi="Arial"/>
                <w:sz w:val="13"/>
                <w:szCs w:val="13"/>
                <w:color w:val="auto"/>
              </w:rPr>
              <w:t>Net gain on sales of assets</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(15,260)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(14,736)</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accrued interest receivable, payable</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20,395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(135,825)</w:t>
            </w:r>
          </w:p>
        </w:tc>
        <w:tc>
          <w:tcPr>
            <w:tcW w:w="0" w:type="dxa"/>
            <w:vAlign w:val="bottom"/>
          </w:tcPr>
          <w:p>
            <w:pPr>
              <w:spacing w:after="0"/>
              <w:rPr>
                <w:sz w:val="1"/>
                <w:szCs w:val="1"/>
                <w:color w:val="auto"/>
              </w:rPr>
            </w:pPr>
          </w:p>
        </w:tc>
      </w:tr>
      <w:tr>
        <w:trPr>
          <w:trHeight w:val="162"/>
        </w:trPr>
        <w:tc>
          <w:tcPr>
            <w:tcW w:w="8440" w:type="dxa"/>
            <w:vAlign w:val="bottom"/>
          </w:tcPr>
          <w:p>
            <w:pPr>
              <w:ind w:left="500"/>
              <w:spacing w:after="0"/>
              <w:rPr>
                <w:sz w:val="20"/>
                <w:szCs w:val="20"/>
                <w:color w:val="auto"/>
              </w:rPr>
            </w:pPr>
            <w:r>
              <w:rPr>
                <w:rFonts w:ascii="Arial" w:cs="Arial" w:eastAsia="Arial" w:hAnsi="Arial"/>
                <w:sz w:val="13"/>
                <w:szCs w:val="13"/>
                <w:color w:val="auto"/>
              </w:rPr>
              <w:t>Net change in other accrued income and expense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50,804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(344,085)</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loans originated for sale</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(117,139)</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(422,773)</w:t>
            </w:r>
          </w:p>
        </w:tc>
        <w:tc>
          <w:tcPr>
            <w:tcW w:w="0" w:type="dxa"/>
            <w:vAlign w:val="bottom"/>
          </w:tcPr>
          <w:p>
            <w:pPr>
              <w:spacing w:after="0"/>
              <w:rPr>
                <w:sz w:val="1"/>
                <w:szCs w:val="1"/>
                <w:color w:val="auto"/>
              </w:rPr>
            </w:pPr>
          </w:p>
        </w:tc>
      </w:tr>
      <w:tr>
        <w:trPr>
          <w:trHeight w:val="162"/>
        </w:trPr>
        <w:tc>
          <w:tcPr>
            <w:tcW w:w="8440" w:type="dxa"/>
            <w:vAlign w:val="bottom"/>
          </w:tcPr>
          <w:p>
            <w:pPr>
              <w:ind w:left="500"/>
              <w:spacing w:after="0"/>
              <w:rPr>
                <w:sz w:val="20"/>
                <w:szCs w:val="20"/>
                <w:color w:val="auto"/>
              </w:rPr>
            </w:pPr>
            <w:r>
              <w:rPr>
                <w:rFonts w:ascii="Arial" w:cs="Arial" w:eastAsia="Arial" w:hAnsi="Arial"/>
                <w:sz w:val="13"/>
                <w:szCs w:val="13"/>
                <w:color w:val="auto"/>
              </w:rPr>
              <w:t>Net change in trading account assets and liabilities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419,772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(702,362)</w:t>
            </w:r>
          </w:p>
        </w:tc>
        <w:tc>
          <w:tcPr>
            <w:tcW w:w="0" w:type="dxa"/>
            <w:vAlign w:val="bottom"/>
          </w:tcPr>
          <w:p>
            <w:pPr>
              <w:spacing w:after="0"/>
              <w:rPr>
                <w:sz w:val="1"/>
                <w:szCs w:val="1"/>
                <w:color w:val="auto"/>
              </w:rPr>
            </w:pPr>
          </w:p>
        </w:tc>
      </w:tr>
      <w:tr>
        <w:trPr>
          <w:trHeight w:val="155"/>
        </w:trPr>
        <w:tc>
          <w:tcPr>
            <w:tcW w:w="8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2,018,031</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125,065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 securities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260"/>
              <w:spacing w:after="0"/>
              <w:rPr>
                <w:sz w:val="20"/>
                <w:szCs w:val="20"/>
                <w:color w:val="auto"/>
              </w:rPr>
            </w:pPr>
            <w:r>
              <w:rPr>
                <w:rFonts w:ascii="Arial" w:cs="Arial" w:eastAsia="Arial" w:hAnsi="Arial"/>
                <w:sz w:val="13"/>
                <w:szCs w:val="13"/>
                <w:color w:val="auto"/>
              </w:rPr>
              <w:t>Equity and other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8,937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55,499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maturities of investment securities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1,139,203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1,149,281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Held to maturity</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476,352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719,379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Purchases of investment securities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 for sale</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(5,389)</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(5,860)</w:t>
            </w:r>
          </w:p>
        </w:tc>
        <w:tc>
          <w:tcPr>
            <w:tcW w:w="0" w:type="dxa"/>
            <w:vAlign w:val="bottom"/>
          </w:tcPr>
          <w:p>
            <w:pPr>
              <w:spacing w:after="0"/>
              <w:rPr>
                <w:sz w:val="1"/>
                <w:szCs w:val="1"/>
                <w:color w:val="auto"/>
              </w:rPr>
            </w:pPr>
          </w:p>
        </w:tc>
      </w:tr>
      <w:tr>
        <w:trPr>
          <w:trHeight w:val="162"/>
        </w:trPr>
        <w:tc>
          <w:tcPr>
            <w:tcW w:w="8440" w:type="dxa"/>
            <w:vAlign w:val="bottom"/>
          </w:tcPr>
          <w:p>
            <w:pPr>
              <w:ind w:left="260"/>
              <w:spacing w:after="0"/>
              <w:rPr>
                <w:sz w:val="20"/>
                <w:szCs w:val="20"/>
                <w:color w:val="auto"/>
              </w:rPr>
            </w:pPr>
            <w:r>
              <w:rPr>
                <w:rFonts w:ascii="Arial" w:cs="Arial" w:eastAsia="Arial" w:hAnsi="Arial"/>
                <w:sz w:val="13"/>
                <w:szCs w:val="13"/>
                <w:color w:val="auto"/>
              </w:rPr>
              <w:t>Held to maturity</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(1,087,656)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(8,995)</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and other securities</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(27,270)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(26,955)</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Net (increase) decrease in loans and leases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4,977,272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(7,227,304)</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interest-bearing deposits at banks</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(14,781,978)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(13,007,783)</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Capital expenditures, net</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(87,165)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(125,370)</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loan servicing advances</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(402,175)</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149,838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Other, net</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(388,305)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351,278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FF0FC"/>
          </w:tcPr>
          <w:p>
            <w:pPr>
              <w:ind w:left="260"/>
              <w:spacing w:after="0"/>
              <w:rPr>
                <w:sz w:val="20"/>
                <w:szCs w:val="20"/>
                <w:color w:val="auto"/>
              </w:rPr>
            </w:pPr>
            <w:r>
              <w:rPr>
                <w:rFonts w:ascii="Arial" w:cs="Arial" w:eastAsia="Arial" w:hAnsi="Arial"/>
                <w:sz w:val="13"/>
                <w:szCs w:val="13"/>
                <w:color w:val="auto"/>
              </w:rPr>
              <w:t>Net cash used by investing activities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4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(10,178,174)</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(17,976,992)</w:t>
            </w:r>
          </w:p>
        </w:tc>
        <w:tc>
          <w:tcPr>
            <w:tcW w:w="0" w:type="dxa"/>
            <w:vAlign w:val="bottom"/>
          </w:tcPr>
          <w:p>
            <w:pPr>
              <w:spacing w:after="0"/>
              <w:rPr>
                <w:sz w:val="1"/>
                <w:szCs w:val="1"/>
                <w:color w:val="auto"/>
              </w:rPr>
            </w:pPr>
          </w:p>
        </w:tc>
      </w:tr>
      <w:tr>
        <w:trPr>
          <w:trHeight w:val="155"/>
        </w:trPr>
        <w:tc>
          <w:tcPr>
            <w:tcW w:w="844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deposits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8,895,558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20,394,732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Net increase (decrease) in short-term borrowings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44,066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(16,240)</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Proceeds from long-term borrowings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9,500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Payments on long-term borrowings</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(853,041)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(1,605,041)</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Dividends paid — common</w:t>
            </w:r>
          </w:p>
        </w:tc>
        <w:tc>
          <w:tcPr>
            <w:tcW w:w="2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(425,541)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(426,204)</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 preferred</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(55,388)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(55,444)</w:t>
            </w: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Proceeds from issuance of Series I preferred stock</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495,000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(23,042)</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(13,199)</w:t>
            </w:r>
          </w:p>
        </w:tc>
        <w:tc>
          <w:tcPr>
            <w:tcW w:w="0" w:type="dxa"/>
            <w:vAlign w:val="bottom"/>
          </w:tcPr>
          <w:p>
            <w:pPr>
              <w:spacing w:after="0"/>
              <w:rPr>
                <w:sz w:val="1"/>
                <w:szCs w:val="1"/>
                <w:color w:val="auto"/>
              </w:rPr>
            </w:pPr>
          </w:p>
        </w:tc>
      </w:tr>
      <w:tr>
        <w:trPr>
          <w:trHeight w:val="155"/>
        </w:trPr>
        <w:tc>
          <w:tcPr>
            <w:tcW w:w="84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Net cash provided by financing activities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8,087,112</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17,904,854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2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(73,031)</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1,552,743</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1,436,305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1,479,712</w:t>
            </w:r>
          </w:p>
        </w:tc>
        <w:tc>
          <w:tcPr>
            <w:tcW w:w="2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1,489,232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received during the period</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2,976,574</w:t>
            </w:r>
          </w:p>
        </w:tc>
        <w:tc>
          <w:tcPr>
            <w:tcW w:w="2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3,121,917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Interest paid during the period</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116,402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319,079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 during the period</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278,783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254,471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Real estate acquired in settlement of loans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6,822</w:t>
            </w:r>
          </w:p>
        </w:tc>
        <w:tc>
          <w:tcPr>
            <w:tcW w:w="2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3"/>
                <w:szCs w:val="13"/>
                <w:color w:val="auto"/>
              </w:rPr>
              <w:t>Loans held for sale transferred to loans held for investment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330,188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440" w:type="dxa"/>
            <w:vAlign w:val="bottom"/>
            <w:shd w:val="clear" w:color="auto" w:fill="CFF0FC"/>
          </w:tcPr>
          <w:p>
            <w:pPr>
              <w:spacing w:after="0"/>
              <w:rPr>
                <w:sz w:val="20"/>
                <w:szCs w:val="20"/>
                <w:color w:val="auto"/>
              </w:rPr>
            </w:pPr>
            <w:r>
              <w:rPr>
                <w:rFonts w:ascii="Arial" w:cs="Arial" w:eastAsia="Arial" w:hAnsi="Arial"/>
                <w:sz w:val="13"/>
                <w:szCs w:val="13"/>
                <w:color w:val="auto"/>
              </w:rPr>
              <w:t>Additions to right-of-use assets under operating leases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34,404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8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Additional</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Treasury</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Dollars in thousands, except per share</w:t>
            </w:r>
          </w:p>
        </w:tc>
        <w:tc>
          <w:tcPr>
            <w:tcW w:w="100" w:type="dxa"/>
            <w:vAlign w:val="bottom"/>
          </w:tcPr>
          <w:p>
            <w:pPr>
              <w:spacing w:after="0"/>
              <w:rPr>
                <w:sz w:val="12"/>
                <w:szCs w:val="12"/>
                <w:color w:val="auto"/>
              </w:rPr>
            </w:pPr>
          </w:p>
        </w:tc>
        <w:tc>
          <w:tcPr>
            <w:tcW w:w="580" w:type="dxa"/>
            <w:vAlign w:val="bottom"/>
          </w:tcPr>
          <w:p>
            <w:pPr>
              <w:jc w:val="right"/>
              <w:ind w:right="113"/>
              <w:spacing w:after="0" w:line="148" w:lineRule="exact"/>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2"/>
                <w:szCs w:val="12"/>
                <w:color w:val="auto"/>
              </w:rPr>
            </w:pPr>
          </w:p>
        </w:tc>
        <w:tc>
          <w:tcPr>
            <w:tcW w:w="84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2"/>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Capital</w:t>
            </w: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2"/>
                <w:szCs w:val="12"/>
                <w:color w:val="auto"/>
              </w:rPr>
            </w:pP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(Loss), Net</w:t>
            </w:r>
          </w:p>
        </w:tc>
        <w:tc>
          <w:tcPr>
            <w:tcW w:w="80" w:type="dxa"/>
            <w:vAlign w:val="bottom"/>
          </w:tcPr>
          <w:p>
            <w:pPr>
              <w:spacing w:after="0"/>
              <w:rPr>
                <w:sz w:val="12"/>
                <w:szCs w:val="12"/>
                <w:color w:val="auto"/>
              </w:rPr>
            </w:pPr>
          </w:p>
        </w:tc>
        <w:tc>
          <w:tcPr>
            <w:tcW w:w="860" w:type="dxa"/>
            <w:vAlign w:val="bottom"/>
            <w:gridSpan w:val="2"/>
          </w:tcPr>
          <w:p>
            <w:pPr>
              <w:jc w:val="right"/>
              <w:ind w:right="440"/>
              <w:spacing w:after="0" w:line="148" w:lineRule="exact"/>
              <w:rPr>
                <w:sz w:val="20"/>
                <w:szCs w:val="20"/>
                <w:color w:val="auto"/>
              </w:rPr>
            </w:pPr>
            <w:r>
              <w:rPr>
                <w:rFonts w:ascii="Arial" w:cs="Arial" w:eastAsia="Arial" w:hAnsi="Arial"/>
                <w:sz w:val="13"/>
                <w:szCs w:val="13"/>
                <w:b w:val="1"/>
                <w:bCs w:val="1"/>
                <w:color w:val="auto"/>
              </w:rPr>
              <w:t>Stock</w:t>
            </w:r>
          </w:p>
        </w:tc>
        <w:tc>
          <w:tcPr>
            <w:tcW w:w="86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FF0FC"/>
            </w:tcBorders>
            <w:shd w:val="clear" w:color="auto" w:fill="000000"/>
          </w:tcPr>
          <w:p>
            <w:pPr>
              <w:spacing w:after="0" w:line="20" w:lineRule="exact"/>
              <w:rPr>
                <w:sz w:val="1"/>
                <w:szCs w:val="1"/>
                <w:color w:val="auto"/>
              </w:rPr>
            </w:pPr>
          </w:p>
        </w:tc>
        <w:tc>
          <w:tcPr>
            <w:tcW w:w="15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Three Months Ended September 30, 2021</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July 1, 2021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1,179</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6,620,528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$ 14,030,215</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(176,974)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(5,084,515)</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$ 16,720,304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495,460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(33,445)</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462,015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(17,050)</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Series I preferred stock</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(5,000)</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9,128</w:t>
            </w:r>
          </w:p>
        </w:tc>
        <w:tc>
          <w:tcPr>
            <w:tcW w:w="2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(207)</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2,069</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(142,505)</w:t>
            </w:r>
          </w:p>
        </w:tc>
        <w:tc>
          <w:tcPr>
            <w:tcW w:w="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(142,505)</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September 30, 2021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1,750,000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1,196</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6,624,656</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$ 14,365,913</w:t>
            </w:r>
          </w:p>
        </w:tc>
        <w:tc>
          <w:tcPr>
            <w:tcW w:w="2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(210,419)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(5,082,446)</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$ 17,528,771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00" w:type="dxa"/>
            <w:vAlign w:val="bottom"/>
            <w:tcBorders>
              <w:top w:val="single" w:sz="8" w:color="CFF0FC"/>
            </w:tcBorders>
            <w:shd w:val="clear" w:color="auto" w:fill="CFF0FC"/>
          </w:tcPr>
          <w:p>
            <w:pPr>
              <w:spacing w:after="0"/>
              <w:rPr>
                <w:sz w:val="12"/>
                <w:szCs w:val="12"/>
                <w:color w:val="auto"/>
              </w:rPr>
            </w:pPr>
          </w:p>
        </w:tc>
        <w:tc>
          <w:tcPr>
            <w:tcW w:w="15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right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Nine Months Ended September 30, 2021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January 1, 2021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1,344</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6,617,404</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$ 13,444,428</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(63,032)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(5,142,732)</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$ 16,187,283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1,400,778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(147,387)</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1,253,391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(51,150)</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(51,150)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Issuance of Series I preferred stock</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500,000</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(5,000)</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495,000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12,252</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(616)</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60,286</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$3.30 per share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(427,527)</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(427,527)</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September 30, 2021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1,750,000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1,196</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6,624,656</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$ 14,365,913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(210,419)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(5,082,446)</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$ 17,528,771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Three Months Ended September 30, 2020</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July 1, 2020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1,308</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6,599,069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$ 12,919,345</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244,630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(5,149,118)</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$ 15,945,105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372,136</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(69,127)</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303,009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(17,050)</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(104)</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1,483</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(141,953)</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(141,953)</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September 30, 2020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1,327</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6,609,573</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$ 13,132,374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175,503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(5,147,635)</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$ 16,101,013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Nine Months Ended September 30, 2020</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January 1, 2020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1,566</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6,593,539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89"/>
              </w:rPr>
              <w:t>$ 12,820,916</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(206,680)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(4,822,563)</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$ 15,716,649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Adoption of new accounting standard for credit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losses</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(91,925)</w:t>
            </w:r>
          </w:p>
        </w:tc>
        <w:tc>
          <w:tcPr>
            <w:tcW w:w="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(91,925)</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882,012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382,183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1,264,195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(51,178)</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(51,178)</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Purchases of treasury stock</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(373,750)</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16,034</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(310)</w:t>
            </w:r>
          </w:p>
        </w:tc>
        <w:tc>
          <w:tcPr>
            <w:tcW w:w="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48,678</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64,163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$3.30 per share</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(427,141)</w:t>
            </w:r>
          </w:p>
        </w:tc>
        <w:tc>
          <w:tcPr>
            <w:tcW w:w="6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(427,141)</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September 30, 2020</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1,327</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6,609,573</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$ 13,132,374</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175,503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9"/>
              </w:rPr>
              <w:t>(5,147,635)</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$ 16,101,013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540" w:right="120" w:hanging="357"/>
        <w:spacing w:after="0" w:line="288" w:lineRule="auto"/>
        <w:tabs>
          <w:tab w:leader="none" w:pos="54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For the three-month and nine-month periods ended September 30, 2021, dividends per preferred share were: Preferred Series E - $16.125 and $48.375, respectively; Preferred Series F - $128.125 and $384.375, respectively; and Preferred Series G - $125.00 and $375.00, respectively. Dividends per preferred share for the three-month and nine-month periods ended September 30, 2020 were: Preferred Series E - $16.125 and $48.375, respectively; Preferred Series F - $128.125 and $384.375, respectively; and Preferred Series G - $125.00 and $375.694, respectively.</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2020 (“2020 Annual Report”). The financial statements contain all adjustments which are, in the opinion of management, necessary for a fair statement of the Company’s financial position, results of operations and cash flows for the interim periods presented.</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February 22, 2021, M&amp;T announced that it had entered into a definitive agreement with People’s United Financial, Inc. ("People’s United"), headquartered in Bridgeport, Connecticut, under which People’s United will be acquired by M&amp;T in an all-stock transaction. Pursuant to the terms of the agreement, People’s United shareholders will receive consideration valued at .118 of an M&amp;T share in the form of M&amp;T common stock. People’s United outstanding preferred stock will be converted into a new series of M&amp;T preferred stock upon completion of the acquisition. The transaction is valued at approximately $7.6 billion (with the price based on M&amp;T’s closing price of $149.34 per share as of September 30, 2021).</w:t>
      </w:r>
    </w:p>
    <w:p>
      <w:pPr>
        <w:spacing w:after="0" w:line="71"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The merger has been approved by the boards of directors and shareholders of each company. The merger is expected to close promptly after the parties have satisfied customary closing conditions, including the approval of the Board of Governors of the Federal Reserve System. As of September 30, 2021, People’s United disclosed that it had total assets of $63.7 billion, including $39.5 billion of loans, $55.9 billion of liabilities, including $52.9 billion of deposits, and $7.8 billion of stockholders’ equity.</w:t>
      </w:r>
    </w:p>
    <w:p>
      <w:pPr>
        <w:spacing w:after="0" w:line="4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In connection with the acquisition, the Company incurred merger-related expenses consisting predominantly of professional services related to planned integration efforts associated with the merger that totaled approximately $9 million and $23 million during the three months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c>
          <w:tcPr>
            <w:tcW w:w="1140" w:type="dxa"/>
            <w:vAlign w:val="bottom"/>
          </w:tcPr>
          <w:p>
            <w:pPr>
              <w:spacing w:after="0"/>
              <w:rPr>
                <w:sz w:val="18"/>
                <w:szCs w:val="18"/>
                <w:color w:val="auto"/>
              </w:rPr>
            </w:pPr>
          </w:p>
        </w:tc>
      </w:tr>
      <w:tr>
        <w:trPr>
          <w:trHeight w:val="234"/>
        </w:trPr>
        <w:tc>
          <w:tcPr>
            <w:tcW w:w="4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3,328,080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147,942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3,475,479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136,222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132,883</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3,473,923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150,971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3,618,106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2,288,934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63,523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2,346,145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64,929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2,359,727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74,424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2,413,938</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5,833,650</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225,395</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27,001</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6,032,044</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80,016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82,456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387,333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387,333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 and other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467,349</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469,789</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4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December 31, 2020</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9,154</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9,338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4,475,406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208,787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4,683,438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129,814</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4,621,027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210,649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4,822,606</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1,664,443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100,176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1,764,608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77,155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1,748,989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111,241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1,842,281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6,370,016</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321,890</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6,664,887</w:t>
            </w:r>
          </w:p>
        </w:tc>
        <w:tc>
          <w:tcPr>
            <w:tcW w:w="10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67,891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92,985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381,117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381,117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equity and other securities</w:t>
            </w:r>
          </w:p>
        </w:tc>
        <w:tc>
          <w:tcPr>
            <w:tcW w:w="1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449,008</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474,102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020" w:type="dxa"/>
            <w:vAlign w:val="bottom"/>
            <w:gridSpan w:val="3"/>
          </w:tcPr>
          <w:p>
            <w:pPr>
              <w:jc w:val="right"/>
              <w:ind w:right="570"/>
              <w:spacing w:after="0"/>
              <w:rPr>
                <w:sz w:val="20"/>
                <w:szCs w:val="20"/>
                <w:color w:val="auto"/>
              </w:rPr>
            </w:pPr>
            <w:r>
              <w:rPr>
                <w:rFonts w:ascii="Arial" w:cs="Arial" w:eastAsia="Arial" w:hAnsi="Arial"/>
                <w:sz w:val="18"/>
                <w:szCs w:val="18"/>
                <w:color w:val="auto"/>
              </w:rPr>
              <w:t>- 9 -</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three-month and nine-month periods ended September 30, 2021 and 2020. Unrealized gains on equity securities during the three months ended September 30, 2021 were less than $1 million and unrealized losses during the nine months ended September 30, 2021 were $23 million, compared with unrealized gains of $3 million and unrealized losses of $11 million during the three months and nine months ended September 30, 2020, respectively.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At September 30, 2021, the amortized cost and estimated fair value of debt securities by contractual maturity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57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4,351</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13,974</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14,616</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97,578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98,981</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145,843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142,627</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3,328,080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3,475,479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3,473,923</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3,618,106</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2,353,863</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2,408,074</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2,359,727</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2,413,938</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Arial" w:cs="Arial" w:eastAsia="Arial" w:hAnsi="Arial"/>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right="20" w:firstLine="510"/>
        <w:spacing w:after="0" w:line="252" w:lineRule="auto"/>
        <w:rPr>
          <w:sz w:val="20"/>
          <w:szCs w:val="20"/>
          <w:color w:val="auto"/>
        </w:rPr>
      </w:pPr>
      <w:r>
        <w:rPr>
          <w:rFonts w:ascii="Arial" w:cs="Arial" w:eastAsia="Arial" w:hAnsi="Arial"/>
          <w:sz w:val="21"/>
          <w:szCs w:val="21"/>
          <w:color w:val="auto"/>
        </w:rPr>
        <w:t>A summary of investment securities that as of September 30, 2021 and December 31, 2020 had been in a continuous unrealized loss position for less than twelve months and those that had been in a continuous unrealized loss position for twelve months or longer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ind w:left="360"/>
              <w:spacing w:after="0"/>
              <w:rPr>
                <w:sz w:val="20"/>
                <w:szCs w:val="20"/>
                <w:color w:val="auto"/>
              </w:rPr>
            </w:pPr>
            <w:r>
              <w:rPr>
                <w:rFonts w:ascii="Arial" w:cs="Arial" w:eastAsia="Arial" w:hAnsi="Arial"/>
                <w:sz w:val="14"/>
                <w:szCs w:val="14"/>
                <w:b w:val="1"/>
                <w:bCs w:val="1"/>
                <w:color w:val="auto"/>
              </w:rPr>
              <w:t>Less Than 12 Months</w:t>
            </w:r>
          </w:p>
        </w:tc>
        <w:tc>
          <w:tcPr>
            <w:tcW w:w="2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12 Months or More</w:t>
            </w:r>
          </w:p>
        </w:tc>
      </w:tr>
      <w:tr>
        <w:trPr>
          <w:trHeight w:val="133"/>
        </w:trPr>
        <w:tc>
          <w:tcPr>
            <w:tcW w:w="58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rPr>
              <w:t>Fair</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Unrealized</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rPr>
              <w:t>Fair</w:t>
            </w:r>
          </w:p>
        </w:tc>
        <w:tc>
          <w:tcPr>
            <w:tcW w:w="1060" w:type="dxa"/>
            <w:vAlign w:val="bottom"/>
            <w:tcBorders>
              <w:top w:val="single" w:sz="8" w:color="auto"/>
            </w:tcBorders>
          </w:tcPr>
          <w:p>
            <w:pPr>
              <w:jc w:val="right"/>
              <w:ind w:right="112"/>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r>
      <w:tr>
        <w:trPr>
          <w:trHeight w:val="17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17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2"/>
              </w:rPr>
              <w:t>Losses</w:t>
            </w:r>
          </w:p>
        </w:tc>
        <w:tc>
          <w:tcPr>
            <w:tcW w:w="1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r>
      <w:tr>
        <w:trPr>
          <w:trHeight w:val="156"/>
        </w:trPr>
        <w:tc>
          <w:tcPr>
            <w:tcW w:w="5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76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22,517</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3,498</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64,437</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(6,207)</w:t>
            </w:r>
          </w:p>
        </w:tc>
      </w:tr>
      <w:tr>
        <w:trPr>
          <w:trHeight w:val="223"/>
        </w:trPr>
        <w:tc>
          <w:tcPr>
            <w:tcW w:w="5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3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86,954</w:t>
            </w:r>
          </w:p>
        </w:tc>
        <w:tc>
          <w:tcPr>
            <w:tcW w:w="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1,019,537</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(6,301)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1,400</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47,467</w:t>
            </w:r>
          </w:p>
        </w:tc>
        <w:tc>
          <w:tcPr>
            <w:tcW w:w="3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(13,901)</w:t>
            </w:r>
          </w:p>
        </w:tc>
      </w:tr>
      <w:tr>
        <w:trPr>
          <w:trHeight w:val="223"/>
        </w:trPr>
        <w:tc>
          <w:tcPr>
            <w:tcW w:w="58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1,019,537</w:t>
            </w:r>
          </w:p>
        </w:tc>
        <w:tc>
          <w:tcPr>
            <w:tcW w:w="3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48,867</w:t>
            </w:r>
          </w:p>
        </w:tc>
        <w:tc>
          <w:tcPr>
            <w:tcW w:w="36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(13,912)</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1,025,440</w:t>
            </w:r>
          </w:p>
        </w:tc>
        <w:tc>
          <w:tcPr>
            <w:tcW w:w="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135,821</w:t>
            </w:r>
          </w:p>
        </w:tc>
        <w:tc>
          <w:tcPr>
            <w:tcW w:w="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18,687</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16,556</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16,055</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63,462</w:t>
            </w:r>
          </w:p>
        </w:tc>
        <w:tc>
          <w:tcPr>
            <w:tcW w:w="3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(8,120)</w:t>
            </w:r>
          </w:p>
        </w:tc>
      </w:tr>
      <w:tr>
        <w:trPr>
          <w:trHeight w:val="20"/>
        </w:trPr>
        <w:tc>
          <w:tcPr>
            <w:tcW w:w="5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35,727</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80,018</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(8,519)</w:t>
            </w: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52,418</w:t>
            </w:r>
          </w:p>
        </w:tc>
        <w:tc>
          <w:tcPr>
            <w:tcW w:w="3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(17,938)</w:t>
            </w:r>
          </w:p>
        </w:tc>
      </w:tr>
      <w:tr>
        <w:trPr>
          <w:trHeight w:val="20"/>
        </w:trPr>
        <w:tc>
          <w:tcPr>
            <w:tcW w:w="5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w:t>
            </w: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52,418</w:t>
            </w:r>
          </w:p>
        </w:tc>
        <w:tc>
          <w:tcPr>
            <w:tcW w:w="3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(17,938)</w:t>
            </w:r>
          </w:p>
        </w:tc>
      </w:tr>
      <w:tr>
        <w:trPr>
          <w:trHeight w:val="20"/>
        </w:trPr>
        <w:tc>
          <w:tcPr>
            <w:tcW w:w="58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37,766</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132,436</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(26,457)</w:t>
            </w: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The Company owned 286 individual debt securities with aggregate gross unrealized losses of $27 million at September 30, 2021. Based on a review of each of the securities in the investment securities portfolio at September 30, 2021, the Company concluded that it expected to recover the amortized cost basis of its investment. As of September 30, 2021, the Company does not intend to sell nor is it anticipated that it would be required to sell any of its impaired investment securities at a loss. At September 30, 2021, the Company has not identified events or changes in circumstances which may have a significant adverse effect on the fair value of the $387 million of cost method equity securities.</w:t>
      </w:r>
    </w:p>
    <w:p>
      <w:pPr>
        <w:spacing w:after="0" w:line="71"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Company estimated no material allowance for credit losses for its investment securities classified as held-to-maturity at September 30, 2021 or December 31, 2020, as the substantial majority of such investment securities are obligations backed by the U.S. government or its agencies.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September 30, 2021 and December 31, 2020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Accruing</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Loans Past</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2"/>
              </w:rPr>
              <w:t>30-89 Days</w:t>
            </w: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Due 90</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Current</w:t>
            </w:r>
          </w:p>
        </w:tc>
        <w:tc>
          <w:tcPr>
            <w:tcW w:w="1400" w:type="dxa"/>
            <w:vAlign w:val="bottom"/>
            <w:gridSpan w:val="4"/>
            <w:vMerge w:val="continue"/>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Days or</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Nonaccrual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More</w:t>
            </w:r>
          </w:p>
        </w:tc>
        <w:tc>
          <w:tcPr>
            <w:tcW w:w="10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22,100,813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121,993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11,945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280,189</w:t>
            </w:r>
          </w:p>
        </w:tc>
        <w:tc>
          <w:tcPr>
            <w:tcW w:w="5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22,514,940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25,524,405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245,157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63,368</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1,152,870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0"/>
              </w:rPr>
              <w:t>26,985,800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1,336,884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2,392</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1,356,323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8,429,031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93,978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158,699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8,681,829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13,314,202</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255,187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945,148</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353,426</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0"/>
              </w:rPr>
              <w:t>14,867,963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1,199,172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15,690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126,529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1,341,391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3,548,820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14,712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71,474</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3,635,006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7,972,125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23,907</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89"/>
              </w:rPr>
              <w:t>8,025,688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4,553,306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34,349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31,002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89"/>
              </w:rPr>
              <w:t>4,618,657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1,499,219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3,106</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43,573</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89"/>
              </w:rPr>
              <w:t>1,555,297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89,477,977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836,574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1,026,080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2,242,263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93,582,894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27,196,862</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60,822</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306,827</w:t>
            </w:r>
          </w:p>
        </w:tc>
        <w:tc>
          <w:tcPr>
            <w:tcW w:w="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27,574,564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26,688,515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168,917</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775,894</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27,680,340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1,246,095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89"/>
              </w:rPr>
              <w:t>1,249,738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8,523,591</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66,365</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114,039</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7"/>
              </w:rPr>
              <w:t>8,707,811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13,764,836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200,406</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792,888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365,729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w w:val="88"/>
              </w:rPr>
              <w:t>15,123,859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1,462,277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19,687</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147,170</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1,629,134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3,881,885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79,392</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3,985,606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7,002,643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47,161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25,519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w w:val="89"/>
              </w:rPr>
              <w:t>7,075,323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4,007,349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55,498</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9"/>
              </w:rPr>
              <w:t>4,102,251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1,346,868</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17,561</w:t>
            </w: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38,231</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9"/>
              </w:rPr>
              <w:t>1,407,241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95,120,921</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662,439</w:t>
            </w: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859,208</w:t>
            </w: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1,893,299</w:t>
            </w: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98,535,867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- 12 -</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A summary of outstanding loan balances for which COVID-19 related modifications were granted as of September 30, 2021 is presented below. These loans meet the criteria described in note 1 of Notes to Financial Statements in the 2020 Annual Report and, accordingly, are not considered past due or otherwise in default of loan terms as of the date presented. The vast majority of the modifications noted below expire during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4"/>
              </w:rPr>
              <w:t>COVID-19 Related Modifications</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rPr>
              <w:t>Payment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September 30, 2021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7"/>
              </w:rPr>
              <w:t>Deferrals</w:t>
            </w:r>
            <w:r>
              <w:rPr>
                <w:rFonts w:ascii="Arial" w:cs="Arial" w:eastAsia="Arial" w:hAnsi="Arial"/>
                <w:sz w:val="15"/>
                <w:szCs w:val="15"/>
                <w:b w:val="1"/>
                <w:bCs w:val="1"/>
                <w:color w:val="auto"/>
                <w:w w:val="97"/>
              </w:rPr>
              <w:t>(1)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spacing w:after="0" w:line="194" w:lineRule="exact"/>
              <w:rPr>
                <w:sz w:val="20"/>
                <w:szCs w:val="20"/>
                <w:color w:val="auto"/>
              </w:rPr>
            </w:pPr>
            <w:r>
              <w:rPr>
                <w:rFonts w:ascii="Arial" w:cs="Arial" w:eastAsia="Arial" w:hAnsi="Arial"/>
                <w:sz w:val="18"/>
                <w:szCs w:val="18"/>
                <w:b w:val="1"/>
                <w:bCs w:val="1"/>
                <w:color w:val="auto"/>
                <w:w w:val="90"/>
              </w:rPr>
              <w:t>Forbearances</w:t>
            </w:r>
            <w:r>
              <w:rPr>
                <w:rFonts w:ascii="Arial" w:cs="Arial" w:eastAsia="Arial" w:hAnsi="Arial"/>
                <w:sz w:val="15"/>
                <w:szCs w:val="15"/>
                <w:b w:val="1"/>
                <w:bCs w:val="1"/>
                <w:color w:val="auto"/>
                <w:w w:val="90"/>
              </w:rPr>
              <w:t>(2)</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Total</w:t>
            </w:r>
          </w:p>
        </w:tc>
      </w:tr>
      <w:tr>
        <w:trPr>
          <w:trHeight w:val="21"/>
        </w:trPr>
        <w:tc>
          <w:tcPr>
            <w:tcW w:w="152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4"/>
        </w:trPr>
        <w:tc>
          <w:tcPr>
            <w:tcW w:w="29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53,876</w:t>
            </w:r>
          </w:p>
        </w:tc>
        <w:tc>
          <w:tcPr>
            <w:tcW w:w="7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53,876</w:t>
            </w:r>
          </w:p>
        </w:tc>
        <w:tc>
          <w:tcPr>
            <w:tcW w:w="80" w:type="dxa"/>
            <w:vAlign w:val="bottom"/>
          </w:tcPr>
          <w:p>
            <w:pPr>
              <w:spacing w:after="0"/>
              <w:rPr>
                <w:sz w:val="24"/>
                <w:szCs w:val="24"/>
                <w:color w:val="auto"/>
              </w:rPr>
            </w:pPr>
          </w:p>
        </w:tc>
      </w:tr>
      <w:tr>
        <w:trPr>
          <w:trHeight w:val="230"/>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225,807</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225,807</w:t>
            </w: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21,330</w:t>
            </w:r>
          </w:p>
        </w:tc>
        <w:tc>
          <w:tcPr>
            <w:tcW w:w="80" w:type="dxa"/>
            <w:vAlign w:val="bottom"/>
            <w:shd w:val="clear" w:color="auto" w:fill="CFF0FC"/>
          </w:tcPr>
          <w:p>
            <w:pPr>
              <w:spacing w:after="0"/>
              <w:rPr>
                <w:sz w:val="19"/>
                <w:szCs w:val="19"/>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1,925,639</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1,925,639</w:t>
            </w:r>
          </w:p>
        </w:tc>
        <w:tc>
          <w:tcPr>
            <w:tcW w:w="80" w:type="dxa"/>
            <w:vAlign w:val="bottom"/>
          </w:tcPr>
          <w:p>
            <w:pPr>
              <w:spacing w:after="0"/>
              <w:rPr>
                <w:sz w:val="19"/>
                <w:szCs w:val="19"/>
                <w:color w:val="auto"/>
              </w:rPr>
            </w:pPr>
          </w:p>
        </w:tc>
      </w:tr>
      <w:tr>
        <w:trPr>
          <w:trHeight w:val="215"/>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9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177,200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177,200</w:t>
            </w:r>
          </w:p>
        </w:tc>
        <w:tc>
          <w:tcPr>
            <w:tcW w:w="80" w:type="dxa"/>
            <w:vAlign w:val="bottom"/>
            <w:shd w:val="clear" w:color="auto" w:fill="CFF0FC"/>
          </w:tcPr>
          <w:p>
            <w:pPr>
              <w:spacing w:after="0"/>
              <w:rPr>
                <w:sz w:val="20"/>
                <w:szCs w:val="20"/>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w:t>
            </w:r>
          </w:p>
        </w:tc>
        <w:tc>
          <w:tcPr>
            <w:tcW w:w="80" w:type="dxa"/>
            <w:vAlign w:val="bottom"/>
            <w:shd w:val="clear" w:color="auto" w:fill="CFF0FC"/>
          </w:tcPr>
          <w:p>
            <w:pPr>
              <w:spacing w:after="0"/>
              <w:rPr>
                <w:sz w:val="19"/>
                <w:szCs w:val="19"/>
                <w:color w:val="auto"/>
              </w:rPr>
            </w:pPr>
          </w:p>
        </w:tc>
      </w:tr>
      <w:tr>
        <w:trPr>
          <w:trHeight w:val="230"/>
        </w:trPr>
        <w:tc>
          <w:tcPr>
            <w:tcW w:w="290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r>
      <w:tr>
        <w:trPr>
          <w:trHeight w:val="229"/>
        </w:trPr>
        <w:tc>
          <w:tcPr>
            <w:tcW w:w="2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80" w:type="dxa"/>
            <w:vAlign w:val="bottom"/>
            <w:shd w:val="clear" w:color="auto" w:fill="CFF0FC"/>
          </w:tcPr>
          <w:p>
            <w:pPr>
              <w:spacing w:after="0"/>
              <w:rPr>
                <w:sz w:val="19"/>
                <w:szCs w:val="19"/>
                <w:color w:val="auto"/>
              </w:rPr>
            </w:pPr>
          </w:p>
        </w:tc>
      </w:tr>
      <w:tr>
        <w:trPr>
          <w:trHeight w:val="229"/>
        </w:trPr>
        <w:tc>
          <w:tcPr>
            <w:tcW w:w="2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FF0FC"/>
            </w:tcBorders>
          </w:tcPr>
          <w:p>
            <w:pPr>
              <w:spacing w:after="0"/>
              <w:rPr>
                <w:sz w:val="19"/>
                <w:szCs w:val="19"/>
                <w:color w:val="auto"/>
              </w:rPr>
            </w:pPr>
          </w:p>
        </w:tc>
      </w:tr>
      <w:tr>
        <w:trPr>
          <w:trHeight w:val="223"/>
        </w:trPr>
        <w:tc>
          <w:tcPr>
            <w:tcW w:w="2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2,115,790</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301,013</w:t>
            </w: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2,416,803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560" w:right="620" w:hanging="552"/>
        <w:spacing w:after="0" w:line="250" w:lineRule="auto"/>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accruing loans at September 30, 2021 for which a COVID-19 related payment deferral (including maturity extensions) has been granted.</w:t>
      </w: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Consists predominantly of accruing loans for which a COVID-19 related covenant waiver has been granted.</w:t>
      </w:r>
    </w:p>
    <w:p>
      <w:pPr>
        <w:spacing w:after="0" w:line="9" w:lineRule="exact"/>
        <w:rPr>
          <w:rFonts w:ascii="Arial" w:cs="Arial" w:eastAsia="Arial" w:hAnsi="Arial"/>
          <w:sz w:val="18"/>
          <w:szCs w:val="18"/>
          <w:i w:val="1"/>
          <w:iCs w:val="1"/>
          <w:color w:val="auto"/>
        </w:rPr>
      </w:pP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 billion of government-guaranteed loans.</w:t>
      </w:r>
    </w:p>
    <w:p>
      <w:pPr>
        <w:spacing w:after="0" w:line="200" w:lineRule="exact"/>
        <w:rPr>
          <w:sz w:val="20"/>
          <w:szCs w:val="20"/>
          <w:color w:val="auto"/>
        </w:rPr>
      </w:pPr>
    </w:p>
    <w:p>
      <w:pPr>
        <w:spacing w:after="0" w:line="25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One-to-four family residential mortgage loans held for sale were $279 million and $777 million at September 30, 2021 and December 31, 2020, respectively. Commercial real estate loans held for sale were $559 million at September 30, 2021 and $278 million at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quality indicators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Loan officers in different geographic locations with the support of the Company’s credit department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following table summarizes the loan grades applied at September 30, 2021 to the various classes of the Company’s commercial loans and commercial real estate loans by origination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Revolving</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3"/>
              </w:rPr>
              <w:t>Converted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9"/>
          </w:tcPr>
          <w:p>
            <w:pPr>
              <w:ind w:left="640"/>
              <w:spacing w:after="0"/>
              <w:rPr>
                <w:sz w:val="20"/>
                <w:szCs w:val="20"/>
                <w:color w:val="auto"/>
              </w:rPr>
            </w:pPr>
            <w:r>
              <w:rPr>
                <w:rFonts w:ascii="Arial" w:cs="Arial" w:eastAsia="Arial" w:hAnsi="Arial"/>
                <w:sz w:val="16"/>
                <w:szCs w:val="16"/>
                <w:b w:val="1"/>
                <w:bCs w:val="1"/>
                <w:color w:val="auto"/>
              </w:rPr>
              <w:t>Term Loans by Origination Year</w:t>
            </w: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Revolving</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to Term</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23"/>
              <w:spacing w:after="0"/>
              <w:rPr>
                <w:sz w:val="20"/>
                <w:szCs w:val="20"/>
                <w:color w:val="auto"/>
              </w:rPr>
            </w:pPr>
            <w:r>
              <w:rPr>
                <w:rFonts w:ascii="Arial" w:cs="Arial" w:eastAsia="Arial" w:hAnsi="Arial"/>
                <w:sz w:val="16"/>
                <w:szCs w:val="16"/>
                <w:b w:val="1"/>
                <w:bCs w:val="1"/>
                <w:color w:val="auto"/>
              </w:rPr>
              <w:t>Prior</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2"/>
              </w:rPr>
              <w:t>(In thousands)</w:t>
            </w: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80" w:type="dxa"/>
            <w:vAlign w:val="bottom"/>
          </w:tcPr>
          <w:p>
            <w:pPr>
              <w:spacing w:after="0"/>
              <w:rPr>
                <w:sz w:val="20"/>
                <w:szCs w:val="20"/>
                <w:color w:val="auto"/>
              </w:rPr>
            </w:pPr>
            <w:r>
              <w:rPr>
                <w:rFonts w:ascii="Arial" w:cs="Arial" w:eastAsia="Arial" w:hAnsi="Arial"/>
                <w:sz w:val="16"/>
                <w:szCs w:val="16"/>
                <w:color w:val="auto"/>
              </w:rPr>
              <w:t>Commercial, financial, leasing, etc.: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3,966,960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2,312,034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1,700,134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1,149,584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586,185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1,635,559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9,725,075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16,195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21,091,726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210,621</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137,816</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105,118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91,922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47,157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142,670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393,348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14,373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1,143,025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5,615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20,345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30,067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52,890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25,688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39,674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98,241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280,189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financial, leasing, etc.</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4,183,196</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2,470,195</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1,835,319</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1,294,396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659,030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1,817,903</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10,216,664</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38,237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22,514,940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2"/>
              </w:rPr>
              <w:t>2,259,468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2,835,919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4,069,520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2,765,720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2,176,210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6,007,272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729,377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20,843,486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22,831</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553,477</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661,516</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1,042,329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566,644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2,092,456</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50,191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4,989,444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28,577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140,023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236,842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47,741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116,463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546,042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37,182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1,152,870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 real</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estate</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2,310,876</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3,529,419</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4,967,878</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3,855,790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2,859,317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8,645,770</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816,750</w:t>
            </w:r>
          </w:p>
        </w:tc>
        <w:tc>
          <w:tcPr>
            <w:tcW w:w="200" w:type="dxa"/>
            <w:vAlign w:val="bottom"/>
            <w:shd w:val="clear" w:color="auto" w:fill="CFF0FC"/>
          </w:tcPr>
          <w:p>
            <w:pPr>
              <w:spacing w:after="0"/>
              <w:rPr>
                <w:sz w:val="15"/>
                <w:szCs w:val="15"/>
                <w:color w:val="auto"/>
              </w:rPr>
            </w:pPr>
          </w:p>
        </w:tc>
        <w:tc>
          <w:tcPr>
            <w:tcW w:w="760" w:type="dxa"/>
            <w:vAlign w:val="bottom"/>
            <w:vMerge w:val="continue"/>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26,985,800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5"/>
                <w:szCs w:val="15"/>
                <w:color w:val="auto"/>
              </w:rPr>
              <w:t>Residential builder and developer:</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647,863</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166,832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94,758</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44,419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5,573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11,731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243,749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1,214,925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2,199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3,307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119,009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14,168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1,488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140,804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line="156" w:lineRule="exact"/>
              <w:rPr>
                <w:sz w:val="20"/>
                <w:szCs w:val="20"/>
                <w:color w:val="auto"/>
              </w:rPr>
            </w:pPr>
            <w:r>
              <w:rPr>
                <w:rFonts w:ascii="Arial" w:cs="Arial" w:eastAsia="Arial" w:hAnsi="Arial"/>
                <w:sz w:val="15"/>
                <w:szCs w:val="15"/>
                <w:color w:val="auto"/>
              </w:rPr>
              <w:t>Total residential builder</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120"/>
              <w:spacing w:after="0"/>
              <w:rPr>
                <w:sz w:val="20"/>
                <w:szCs w:val="20"/>
                <w:color w:val="auto"/>
              </w:rPr>
            </w:pPr>
            <w:r>
              <w:rPr>
                <w:rFonts w:ascii="Arial" w:cs="Arial" w:eastAsia="Arial" w:hAnsi="Arial"/>
                <w:sz w:val="15"/>
                <w:szCs w:val="15"/>
                <w:color w:val="auto"/>
              </w:rPr>
              <w:t>and developer</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650,062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170,139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214,285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58,587</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6,203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11,810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245,237</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1,356,323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5"/>
                <w:szCs w:val="15"/>
                <w:color w:val="auto"/>
              </w:rPr>
              <w:t>Other 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661,068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1,817,753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2,445,555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1,108,676</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270,054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407,500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38,391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6,748,997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42,578</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589,790</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700,577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320,718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119,815</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1,774,133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83,829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35,125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12,406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23,068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4,271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158,699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commercial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661,723</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1,860,331</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3,119,174</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1,844,378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603,178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550,383</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42,662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8,681,829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Increases to criticized loans as compared with December 31, 2020 were predominantly attributable to the continued effects of the COVID-19 pandemic and the related re-grading of loans.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considers repayment performance a significant indicator of credit quality for its residential real estate loan and consumer loan portfolios. A summary of loans in accrual and nonaccrual status at September 30, 2021 for the various classes of the Company’s residential real estate loans and consumer loans by origination year follows.</w:t>
      </w: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Revolving</w:t>
            </w:r>
          </w:p>
        </w:tc>
        <w:tc>
          <w:tcPr>
            <w:tcW w:w="8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Loans</w:t>
            </w:r>
          </w:p>
        </w:tc>
        <w:tc>
          <w:tcPr>
            <w:tcW w:w="8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Converted</w:t>
            </w:r>
          </w:p>
        </w:tc>
        <w:tc>
          <w:tcPr>
            <w:tcW w:w="820" w:type="dxa"/>
            <w:vAlign w:val="bottom"/>
          </w:tcPr>
          <w:p>
            <w:pPr>
              <w:spacing w:after="0"/>
              <w:rPr>
                <w:sz w:val="17"/>
                <w:szCs w:val="17"/>
                <w:color w:val="auto"/>
              </w:rPr>
            </w:pPr>
          </w:p>
        </w:tc>
      </w:tr>
      <w:tr>
        <w:trPr>
          <w:trHeight w:val="213"/>
        </w:trPr>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3"/>
          </w:tcPr>
          <w:p>
            <w:pPr>
              <w:jc w:val="right"/>
              <w:ind w:right="864"/>
              <w:spacing w:after="0"/>
              <w:rPr>
                <w:sz w:val="20"/>
                <w:szCs w:val="20"/>
                <w:color w:val="auto"/>
              </w:rPr>
            </w:pPr>
            <w:r>
              <w:rPr>
                <w:rFonts w:ascii="Arial" w:cs="Arial" w:eastAsia="Arial" w:hAnsi="Arial"/>
                <w:sz w:val="16"/>
                <w:szCs w:val="16"/>
                <w:b w:val="1"/>
                <w:bCs w:val="1"/>
                <w:color w:val="auto"/>
                <w:w w:val="93"/>
              </w:rPr>
              <w:t>Term Loans by Origination Year</w:t>
            </w:r>
          </w:p>
        </w:tc>
        <w:tc>
          <w:tcPr>
            <w:tcW w:w="600" w:type="dxa"/>
            <w:vAlign w:val="bottom"/>
            <w:tcBorders>
              <w:bottom w:val="single" w:sz="8" w:color="auto"/>
            </w:tcBorders>
          </w:tcPr>
          <w:p>
            <w:pPr>
              <w:spacing w:after="0"/>
              <w:rPr>
                <w:sz w:val="18"/>
                <w:szCs w:val="18"/>
                <w:color w:val="auto"/>
              </w:rPr>
            </w:pPr>
          </w:p>
        </w:tc>
        <w:tc>
          <w:tcPr>
            <w:tcW w:w="110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Revolving</w:t>
            </w: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to Term</w:t>
            </w:r>
          </w:p>
        </w:tc>
        <w:tc>
          <w:tcPr>
            <w:tcW w:w="820" w:type="dxa"/>
            <w:vAlign w:val="bottom"/>
          </w:tcPr>
          <w:p>
            <w:pPr>
              <w:spacing w:after="0"/>
              <w:rPr>
                <w:sz w:val="18"/>
                <w:szCs w:val="18"/>
                <w:color w:val="auto"/>
              </w:rPr>
            </w:pPr>
          </w:p>
        </w:tc>
      </w:tr>
      <w:tr>
        <w:trPr>
          <w:trHeight w:val="226"/>
        </w:trPr>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Prior</w:t>
            </w:r>
          </w:p>
        </w:tc>
        <w:tc>
          <w:tcPr>
            <w:tcW w:w="11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Loans</w:t>
            </w: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Loans</w:t>
            </w: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w:t>
            </w:r>
          </w:p>
        </w:tc>
      </w:tr>
      <w:tr>
        <w:trPr>
          <w:trHeight w:val="217"/>
        </w:trPr>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5"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2,027,514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1,742,731</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1,158,831</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520,113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1,258,200</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16,352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10,434</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7,322</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5,529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30,337</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3,204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104,612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28,394</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35,993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211,521</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1,831</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21,837</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5,988</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4,488</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4,184</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 residential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2,048,901</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1,879,614</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1,200,535</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566,123</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1,504,242</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5"/>
                <w:szCs w:val="15"/>
                <w:color w:val="auto"/>
              </w:rPr>
              <w:t>Residential - limited documentation:</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46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8"/>
                <w:szCs w:val="18"/>
                <w:color w:val="auto"/>
              </w:rPr>
              <w:t>Total residential - limited</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documentation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Home equity lines and loans: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3,087</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1,935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2,055</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780" w:type="dxa"/>
            <w:vAlign w:val="bottom"/>
          </w:tcPr>
          <w:p>
            <w:pPr>
              <w:ind w:left="44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8"/>
                <w:szCs w:val="18"/>
                <w:color w:val="auto"/>
              </w:rPr>
              <w:t>Total home equity lines and 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370</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863</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3,087</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1,935</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2,055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282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spacing w:after="0"/>
              <w:rPr>
                <w:sz w:val="20"/>
                <w:szCs w:val="20"/>
                <w:color w:val="auto"/>
              </w:rPr>
            </w:pPr>
            <w:r>
              <w:rPr>
                <w:rFonts w:ascii="Arial" w:cs="Arial" w:eastAsia="Arial" w:hAnsi="Arial"/>
                <w:sz w:val="15"/>
                <w:szCs w:val="15"/>
                <w:color w:val="auto"/>
              </w:rPr>
              <w:t>6,544,178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62,635</w:t>
            </w:r>
          </w:p>
        </w:tc>
        <w:tc>
          <w:tcPr>
            <w:tcW w:w="22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13,314,202</w:t>
            </w:r>
          </w:p>
        </w:tc>
      </w:tr>
      <w:tr>
        <w:trPr>
          <w:trHeight w:val="231"/>
        </w:trPr>
        <w:tc>
          <w:tcPr>
            <w:tcW w:w="740" w:type="dxa"/>
            <w:vAlign w:val="bottom"/>
          </w:tcPr>
          <w:p>
            <w:pPr>
              <w:jc w:val="right"/>
              <w:spacing w:after="0"/>
              <w:rPr>
                <w:sz w:val="20"/>
                <w:szCs w:val="20"/>
                <w:color w:val="auto"/>
              </w:rPr>
            </w:pPr>
            <w:r>
              <w:rPr>
                <w:rFonts w:ascii="Arial" w:cs="Arial" w:eastAsia="Arial" w:hAnsi="Arial"/>
                <w:sz w:val="15"/>
                <w:szCs w:val="15"/>
                <w:color w:val="auto"/>
              </w:rPr>
              <w:t>185,213</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255,187</w:t>
            </w:r>
          </w:p>
        </w:tc>
      </w:tr>
      <w:tr>
        <w:trPr>
          <w:trHeight w:val="444"/>
        </w:trPr>
        <w:tc>
          <w:tcPr>
            <w:tcW w:w="740" w:type="dxa"/>
            <w:vAlign w:val="bottom"/>
          </w:tcPr>
          <w:p>
            <w:pPr>
              <w:jc w:val="right"/>
              <w:spacing w:after="0"/>
              <w:rPr>
                <w:sz w:val="20"/>
                <w:szCs w:val="20"/>
                <w:color w:val="auto"/>
              </w:rPr>
            </w:pPr>
            <w:r>
              <w:rPr>
                <w:rFonts w:ascii="Arial" w:cs="Arial" w:eastAsia="Arial" w:hAnsi="Arial"/>
                <w:sz w:val="15"/>
                <w:szCs w:val="15"/>
                <w:color w:val="auto"/>
              </w:rPr>
              <w:t>561,424</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945,148</w:t>
            </w:r>
          </w:p>
        </w:tc>
      </w:tr>
      <w:tr>
        <w:trPr>
          <w:trHeight w:val="212"/>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314,825</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220" w:type="dxa"/>
            <w:vAlign w:val="bottom"/>
          </w:tcPr>
          <w:p>
            <w:pPr>
              <w:spacing w:after="0"/>
              <w:rPr>
                <w:sz w:val="18"/>
                <w:szCs w:val="18"/>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353,426</w:t>
            </w:r>
          </w:p>
        </w:tc>
      </w:tr>
      <w:tr>
        <w:trPr>
          <w:trHeight w:val="223"/>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7,605,640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62,908</w:t>
            </w:r>
          </w:p>
        </w:tc>
        <w:tc>
          <w:tcPr>
            <w:tcW w:w="220" w:type="dxa"/>
            <w:vAlign w:val="bottom"/>
          </w:tcPr>
          <w:p>
            <w:pPr>
              <w:spacing w:after="0"/>
              <w:rPr>
                <w:sz w:val="19"/>
                <w:szCs w:val="19"/>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14,867,963</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73"/>
        </w:trPr>
        <w:tc>
          <w:tcPr>
            <w:tcW w:w="740" w:type="dxa"/>
            <w:vAlign w:val="bottom"/>
          </w:tcPr>
          <w:p>
            <w:pPr>
              <w:jc w:val="right"/>
              <w:spacing w:after="0"/>
              <w:rPr>
                <w:sz w:val="20"/>
                <w:szCs w:val="20"/>
                <w:color w:val="auto"/>
              </w:rPr>
            </w:pPr>
            <w:r>
              <w:rPr>
                <w:rFonts w:ascii="Arial" w:cs="Arial" w:eastAsia="Arial" w:hAnsi="Arial"/>
                <w:sz w:val="15"/>
                <w:szCs w:val="15"/>
                <w:color w:val="auto"/>
              </w:rPr>
              <w:t>1,199,172</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1,199,172</w:t>
            </w:r>
          </w:p>
        </w:tc>
      </w:tr>
      <w:tr>
        <w:trPr>
          <w:trHeight w:val="231"/>
        </w:trPr>
        <w:tc>
          <w:tcPr>
            <w:tcW w:w="740" w:type="dxa"/>
            <w:vAlign w:val="bottom"/>
          </w:tcPr>
          <w:p>
            <w:pPr>
              <w:jc w:val="right"/>
              <w:spacing w:after="0"/>
              <w:rPr>
                <w:sz w:val="20"/>
                <w:szCs w:val="20"/>
                <w:color w:val="auto"/>
              </w:rPr>
            </w:pPr>
            <w:r>
              <w:rPr>
                <w:rFonts w:ascii="Arial" w:cs="Arial" w:eastAsia="Arial" w:hAnsi="Arial"/>
                <w:sz w:val="15"/>
                <w:szCs w:val="15"/>
                <w:color w:val="auto"/>
              </w:rPr>
              <w:t>15,690</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15,690</w:t>
            </w:r>
          </w:p>
        </w:tc>
      </w:tr>
      <w:tr>
        <w:trPr>
          <w:trHeight w:val="444"/>
        </w:trPr>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126,529</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126,529</w:t>
            </w:r>
          </w:p>
        </w:tc>
      </w:tr>
      <w:tr>
        <w:trPr>
          <w:trHeight w:val="439"/>
        </w:trPr>
        <w:tc>
          <w:tcPr>
            <w:tcW w:w="740" w:type="dxa"/>
            <w:vAlign w:val="bottom"/>
          </w:tcPr>
          <w:p>
            <w:pPr>
              <w:jc w:val="right"/>
              <w:spacing w:after="0"/>
              <w:rPr>
                <w:sz w:val="20"/>
                <w:szCs w:val="20"/>
                <w:color w:val="auto"/>
              </w:rPr>
            </w:pPr>
            <w:r>
              <w:rPr>
                <w:rFonts w:ascii="Arial" w:cs="Arial" w:eastAsia="Arial" w:hAnsi="Arial"/>
                <w:sz w:val="15"/>
                <w:szCs w:val="15"/>
                <w:color w:val="auto"/>
              </w:rPr>
              <w:t>1,341,391</w:t>
            </w: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1,341,391</w:t>
            </w: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jc w:val="right"/>
              <w:spacing w:after="0"/>
              <w:rPr>
                <w:sz w:val="20"/>
                <w:szCs w:val="20"/>
                <w:color w:val="auto"/>
              </w:rPr>
            </w:pPr>
            <w:r>
              <w:rPr>
                <w:rFonts w:ascii="Arial" w:cs="Arial" w:eastAsia="Arial" w:hAnsi="Arial"/>
                <w:sz w:val="15"/>
                <w:szCs w:val="15"/>
                <w:color w:val="auto"/>
              </w:rPr>
              <w:t>41,791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2,384,309</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1,114,426</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8"/>
              </w:rPr>
              <w:t>3,548,820</w:t>
            </w:r>
          </w:p>
        </w:tc>
      </w:tr>
      <w:tr>
        <w:trPr>
          <w:trHeight w:val="230"/>
        </w:trPr>
        <w:tc>
          <w:tcPr>
            <w:tcW w:w="740" w:type="dxa"/>
            <w:vAlign w:val="bottom"/>
          </w:tcPr>
          <w:p>
            <w:pPr>
              <w:jc w:val="right"/>
              <w:spacing w:after="0"/>
              <w:rPr>
                <w:sz w:val="20"/>
                <w:szCs w:val="20"/>
                <w:color w:val="auto"/>
              </w:rPr>
            </w:pPr>
            <w:r>
              <w:rPr>
                <w:rFonts w:ascii="Arial" w:cs="Arial" w:eastAsia="Arial" w:hAnsi="Arial"/>
                <w:sz w:val="15"/>
                <w:szCs w:val="15"/>
                <w:color w:val="auto"/>
              </w:rPr>
              <w:t>681</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14,015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14,712</w:t>
            </w:r>
          </w:p>
        </w:tc>
      </w:tr>
      <w:tr>
        <w:trPr>
          <w:trHeight w:val="420"/>
        </w:trPr>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6,126</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768</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64,580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71,474</w:t>
            </w:r>
          </w:p>
        </w:tc>
      </w:tr>
      <w:tr>
        <w:trPr>
          <w:trHeight w:val="223"/>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48,598</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2,385,077</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1,193,021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3,635,006</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40" w:space="220"/>
            <w:col w:w="3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w w:val="94"/>
              </w:rPr>
              <w:t>Term Loans by Origination Year</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Revolving</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 Term</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78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Prior</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680" w:type="dxa"/>
            <w:vAlign w:val="bottom"/>
            <w:vMerge w:val="restart"/>
          </w:tcPr>
          <w:p>
            <w:pPr>
              <w:spacing w:after="0"/>
              <w:rPr>
                <w:sz w:val="20"/>
                <w:szCs w:val="20"/>
                <w:color w:val="auto"/>
              </w:rPr>
            </w:pPr>
            <w:r>
              <w:rPr>
                <w:rFonts w:ascii="Arial" w:cs="Arial" w:eastAsia="Arial" w:hAnsi="Arial"/>
                <w:sz w:val="15"/>
                <w:szCs w:val="15"/>
                <w:color w:val="auto"/>
              </w:rPr>
              <w:t>Recreational finance:</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2,468,197</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2,248,066</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1,369,098</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699,577</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486,354</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700,833</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7,972,125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3,062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7,028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6,669</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4,090</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3,657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5,150</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6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4,371</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4,771</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3,679</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7,412</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23,907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recreational finance</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2,471,808</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2,258,219</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1,380,138</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708,438</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493,690</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713,395</w:t>
            </w: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8,025,688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spacing w:after="0"/>
              <w:rPr>
                <w:sz w:val="20"/>
                <w:szCs w:val="20"/>
                <w:color w:val="auto"/>
              </w:rPr>
            </w:pPr>
            <w:r>
              <w:rPr>
                <w:rFonts w:ascii="Arial" w:cs="Arial" w:eastAsia="Arial" w:hAnsi="Arial"/>
                <w:sz w:val="15"/>
                <w:szCs w:val="15"/>
                <w:color w:val="auto"/>
              </w:rPr>
              <w:t>Automobile:</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400"/>
              <w:spacing w:after="0"/>
              <w:rPr>
                <w:sz w:val="20"/>
                <w:szCs w:val="20"/>
                <w:color w:val="auto"/>
              </w:rPr>
            </w:pPr>
            <w:r>
              <w:rPr>
                <w:rFonts w:ascii="Arial" w:cs="Arial" w:eastAsia="Arial" w:hAnsi="Arial"/>
                <w:sz w:val="15"/>
                <w:szCs w:val="15"/>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1,803,922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1,224,901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762,820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402,919</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258,317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100,427</w:t>
            </w:r>
          </w:p>
        </w:tc>
        <w:tc>
          <w:tcPr>
            <w:tcW w:w="1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4,553,306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4,356</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5,700</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7,755</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6,921</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5,954</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3,663</w:t>
            </w:r>
          </w:p>
        </w:tc>
        <w:tc>
          <w:tcPr>
            <w:tcW w:w="1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1,182</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2,673</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6,036</w:t>
            </w:r>
          </w:p>
        </w:tc>
        <w:tc>
          <w:tcPr>
            <w:tcW w:w="1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8,289</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7,046</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5,776</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31,002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line="169" w:lineRule="exact"/>
              <w:rPr>
                <w:sz w:val="20"/>
                <w:szCs w:val="20"/>
                <w:color w:val="auto"/>
              </w:rPr>
            </w:pPr>
            <w:r>
              <w:rPr>
                <w:rFonts w:ascii="Arial" w:cs="Arial" w:eastAsia="Arial" w:hAnsi="Arial"/>
                <w:sz w:val="15"/>
                <w:szCs w:val="15"/>
                <w:color w:val="auto"/>
              </w:rPr>
              <w:t>Total automobile</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1,809,460</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1,233,274</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776,611</w:t>
            </w:r>
          </w:p>
        </w:tc>
        <w:tc>
          <w:tcPr>
            <w:tcW w:w="18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418,129</w:t>
            </w:r>
          </w:p>
        </w:tc>
        <w:tc>
          <w:tcPr>
            <w:tcW w:w="120" w:type="dxa"/>
            <w:vAlign w:val="bottom"/>
          </w:tcPr>
          <w:p>
            <w:pPr>
              <w:spacing w:after="0"/>
              <w:rPr>
                <w:sz w:val="18"/>
                <w:szCs w:val="18"/>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271,317</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109,866</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4,618,657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185,095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113,060</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86,349</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30,414</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19,825</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24,780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1,038,160</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1,499,219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2,201</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393</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204</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85</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5,028</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9,399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 due 90</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228</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2,878</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1,625</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40,811</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43,573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other</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188,921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113,694</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87,225</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30,824</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20,021</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25,696</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1,086,877</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2,039</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1,555,297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Total loans and leases at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September 30, 2021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14,325,317</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13,515,748</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13,584,252</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8,778,600</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6,419,053</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20,870,452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14,856,175</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1,233,297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93,582,894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749"/>
        <w:spacing w:after="0" w:line="264" w:lineRule="auto"/>
        <w:rPr>
          <w:sz w:val="20"/>
          <w:szCs w:val="20"/>
          <w:color w:val="auto"/>
        </w:rPr>
      </w:pPr>
      <w:r>
        <w:rPr>
          <w:rFonts w:ascii="Arial" w:cs="Arial" w:eastAsia="Arial" w:hAnsi="Arial"/>
          <w:sz w:val="21"/>
          <w:szCs w:val="21"/>
          <w:color w:val="auto"/>
        </w:rPr>
        <w:t>The following table summarizes the loan grades applied at December 31, 2020 to the various classes of the Company’s commercial loans and commercial real estate loans by origination year.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9"/>
            <w:vMerge w:val="restart"/>
          </w:tcPr>
          <w:p>
            <w:pPr>
              <w:ind w:left="640"/>
              <w:spacing w:after="0"/>
              <w:rPr>
                <w:sz w:val="20"/>
                <w:szCs w:val="20"/>
                <w:color w:val="auto"/>
              </w:rPr>
            </w:pPr>
            <w:r>
              <w:rPr>
                <w:rFonts w:ascii="Arial" w:cs="Arial" w:eastAsia="Arial" w:hAnsi="Arial"/>
                <w:sz w:val="14"/>
                <w:szCs w:val="14"/>
                <w:b w:val="1"/>
                <w:bCs w:val="1"/>
                <w:color w:val="auto"/>
              </w:rPr>
              <w:t>Term Loans by Origination Year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Revolving</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Converted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9"/>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 Term</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760" w:type="dxa"/>
            <w:vAlign w:val="bottom"/>
          </w:tcPr>
          <w:p>
            <w:pPr>
              <w:jc w:val="right"/>
              <w:ind w:right="16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740" w:type="dxa"/>
            <w:vAlign w:val="bottom"/>
          </w:tcPr>
          <w:p>
            <w:pPr>
              <w:jc w:val="right"/>
              <w:ind w:right="16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Loans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280" w:type="dxa"/>
            <w:vAlign w:val="bottom"/>
            <w:vMerge w:val="restart"/>
          </w:tcPr>
          <w:p>
            <w:pPr>
              <w:spacing w:after="0"/>
              <w:rPr>
                <w:sz w:val="20"/>
                <w:szCs w:val="20"/>
                <w:color w:val="auto"/>
              </w:rPr>
            </w:pPr>
            <w:r>
              <w:rPr>
                <w:rFonts w:ascii="Arial" w:cs="Arial" w:eastAsia="Arial" w:hAnsi="Arial"/>
                <w:sz w:val="15"/>
                <w:szCs w:val="15"/>
                <w:color w:val="auto"/>
              </w:rPr>
              <w:t>Commercial, financial, leasing, etc.:</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7,732,728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2,277,233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1,505,486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930,834</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719,796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1,387,695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11,352,416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21,286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25,927,474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388,326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84,358</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113,940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41,587</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39,930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73,401</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584,751</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1,340,263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7,720</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27,309</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56,227</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16,808</w:t>
            </w: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45,471</w:t>
            </w:r>
          </w:p>
        </w:tc>
        <w:tc>
          <w:tcPr>
            <w:tcW w:w="10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125,893</w:t>
            </w: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306,827</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Total commercial,</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5"/>
                <w:szCs w:val="15"/>
                <w:color w:val="auto"/>
              </w:rPr>
              <w:t>financial, leasing, etc.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8,128,774</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2,388,900</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1,675,653</w:t>
            </w: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989,229</w:t>
            </w:r>
          </w:p>
        </w:tc>
        <w:tc>
          <w:tcPr>
            <w:tcW w:w="1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779,407</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1,506,567</w:t>
            </w:r>
          </w:p>
        </w:tc>
        <w:tc>
          <w:tcPr>
            <w:tcW w:w="1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12,063,060</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42,974</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8"/>
              </w:rPr>
              <w:t>27,574,564</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Real estate:</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Arial" w:cs="Arial" w:eastAsia="Arial" w:hAnsi="Arial"/>
                <w:sz w:val="15"/>
                <w:szCs w:val="15"/>
                <w:color w:val="auto"/>
              </w:rPr>
              <w:t>Commercial: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3,353,450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4,681,834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3,299,095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2,628,061</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2,746,165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w w:val="95"/>
              </w:rPr>
              <w:t>5,698,834</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875,348</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23,282,787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526,037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400,154</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579,507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290,885</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568,144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1,212,672</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44,260</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3,621,659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26,876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121,899</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47,144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99,293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197,319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248,949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34,414</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775,894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commercial real</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estate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3,906,363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5,203,887</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3,925,746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3,018,239</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3,511,628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7,160,455</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954,022</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27,680,340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spacing w:after="0"/>
              <w:rPr>
                <w:sz w:val="20"/>
                <w:szCs w:val="20"/>
                <w:color w:val="auto"/>
              </w:rPr>
            </w:pPr>
            <w:r>
              <w:rPr>
                <w:rFonts w:ascii="Arial" w:cs="Arial" w:eastAsia="Arial" w:hAnsi="Arial"/>
                <w:sz w:val="15"/>
                <w:szCs w:val="15"/>
                <w:color w:val="auto"/>
              </w:rPr>
              <w:t>Residential builder and developer:</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Pass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506,295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223,880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109,453</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15,048</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10,976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236,943</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1,113,915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3,690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106,847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14,836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3,421</w:t>
            </w:r>
          </w:p>
        </w:tc>
        <w:tc>
          <w:tcPr>
            <w:tcW w:w="12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1,885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4,050</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134,729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518</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576</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5"/>
                <w:szCs w:val="15"/>
                <w:color w:val="auto"/>
              </w:rPr>
              <w:t>Total residential builder</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20"/>
              <w:spacing w:after="0"/>
              <w:rPr>
                <w:sz w:val="20"/>
                <w:szCs w:val="20"/>
                <w:color w:val="auto"/>
              </w:rPr>
            </w:pPr>
            <w:r>
              <w:rPr>
                <w:rFonts w:ascii="Arial" w:cs="Arial" w:eastAsia="Arial" w:hAnsi="Arial"/>
                <w:sz w:val="15"/>
                <w:szCs w:val="15"/>
                <w:color w:val="auto"/>
              </w:rPr>
              <w:t>and developer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509,985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331,245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124,289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18,469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13,781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240,993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1,249,738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5"/>
                <w:szCs w:val="15"/>
                <w:color w:val="auto"/>
              </w:rPr>
              <w:t>Other commercial construction: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Loan grades:</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00"/>
              <w:spacing w:after="0"/>
              <w:rPr>
                <w:sz w:val="20"/>
                <w:szCs w:val="20"/>
                <w:color w:val="auto"/>
              </w:rPr>
            </w:pPr>
            <w:r>
              <w:rPr>
                <w:rFonts w:ascii="Arial" w:cs="Arial" w:eastAsia="Arial" w:hAnsi="Arial"/>
                <w:sz w:val="15"/>
                <w:szCs w:val="15"/>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1,050,258</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2,998,921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2,048,063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945,339</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233,127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294,030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74,611</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7,644,349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Criticized accrual</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37,192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148,492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381,091</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225,949</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144,665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12,034</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949,423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00"/>
              <w:spacing w:after="0"/>
              <w:rPr>
                <w:sz w:val="20"/>
                <w:szCs w:val="20"/>
                <w:color w:val="auto"/>
              </w:rPr>
            </w:pPr>
            <w:r>
              <w:rPr>
                <w:rFonts w:ascii="Arial" w:cs="Arial" w:eastAsia="Arial" w:hAnsi="Arial"/>
                <w:sz w:val="15"/>
                <w:szCs w:val="15"/>
                <w:color w:val="auto"/>
              </w:rPr>
              <w:t>Criticized nonaccrual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65,592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13,522</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4,213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12,097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12,873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5,407</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114,039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Total other commercial</w:t>
            </w: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construction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1,087,785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3,213,005</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2,442,676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1,175,501</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389,889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318,937</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80,018</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8,707,811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firstLine="749"/>
        <w:spacing w:after="0" w:line="251" w:lineRule="auto"/>
        <w:rPr>
          <w:sz w:val="20"/>
          <w:szCs w:val="20"/>
          <w:color w:val="auto"/>
        </w:rPr>
      </w:pPr>
      <w:r>
        <w:rPr>
          <w:rFonts w:ascii="Arial" w:cs="Arial" w:eastAsia="Arial" w:hAnsi="Arial"/>
          <w:sz w:val="21"/>
          <w:szCs w:val="21"/>
          <w:color w:val="auto"/>
        </w:rPr>
        <w:t>A summary of loans in accrual and nonaccrual status at December 31, 2020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34"/>
        </w:trPr>
        <w:tc>
          <w:tcPr>
            <w:tcW w:w="2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4"/>
                <w:szCs w:val="14"/>
                <w:b w:val="1"/>
                <w:bCs w:val="1"/>
                <w:color w:val="auto"/>
                <w:w w:val="89"/>
              </w:rPr>
              <w:t>Revolving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gridSpan w:val="6"/>
            <w:vMerge w:val="restart"/>
          </w:tcPr>
          <w:p>
            <w:pPr>
              <w:ind w:left="660"/>
              <w:spacing w:after="0"/>
              <w:rPr>
                <w:sz w:val="20"/>
                <w:szCs w:val="20"/>
                <w:color w:val="auto"/>
              </w:rPr>
            </w:pPr>
            <w:r>
              <w:rPr>
                <w:rFonts w:ascii="Arial" w:cs="Arial" w:eastAsia="Arial" w:hAnsi="Arial"/>
                <w:sz w:val="14"/>
                <w:szCs w:val="14"/>
                <w:b w:val="1"/>
                <w:bCs w:val="1"/>
                <w:color w:val="auto"/>
                <w:w w:val="93"/>
              </w:rPr>
              <w:t>Term Loans by Origination Year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Revolving</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to 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600" w:type="dxa"/>
            <w:vAlign w:val="bottom"/>
          </w:tcPr>
          <w:p>
            <w:pPr>
              <w:jc w:val="right"/>
              <w:ind w:right="8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9"/>
                <w:szCs w:val="19"/>
                <w:color w:val="auto"/>
              </w:rPr>
            </w:pPr>
          </w:p>
        </w:tc>
        <w:tc>
          <w:tcPr>
            <w:tcW w:w="6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Prior</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620" w:type="dxa"/>
            <w:vAlign w:val="bottom"/>
            <w:vMerge w:val="restart"/>
          </w:tcPr>
          <w:p>
            <w:pPr>
              <w:spacing w:after="0"/>
              <w:rPr>
                <w:sz w:val="20"/>
                <w:szCs w:val="20"/>
                <w:color w:val="auto"/>
              </w:rPr>
            </w:pPr>
            <w:r>
              <w:rPr>
                <w:rFonts w:ascii="Arial" w:cs="Arial" w:eastAsia="Arial" w:hAnsi="Arial"/>
                <w:sz w:val="15"/>
                <w:szCs w:val="15"/>
                <w:color w:val="auto"/>
              </w:rPr>
              <w:t>Residential:</w:t>
            </w:r>
          </w:p>
        </w:tc>
        <w:tc>
          <w:tcPr>
            <w:tcW w:w="3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6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2"/>
              </w:rPr>
              <w:t>2,722,862</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1,416,259</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618,736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1,318,094</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718,235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6,898,756</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71,894</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13,764,836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13,496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7,781</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7,258</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13,477</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7,947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150,447</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200,406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40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15,234</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38,145</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212,818</w:t>
            </w:r>
          </w:p>
        </w:tc>
        <w:tc>
          <w:tcPr>
            <w:tcW w:w="1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45,804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480,308</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792,888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3,133</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14,439</w:t>
            </w:r>
          </w:p>
        </w:tc>
        <w:tc>
          <w:tcPr>
            <w:tcW w:w="2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5,183</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6,408</w:t>
            </w:r>
          </w:p>
        </w:tc>
        <w:tc>
          <w:tcPr>
            <w:tcW w:w="1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2,900</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333,466</w:t>
            </w:r>
          </w:p>
        </w:tc>
        <w:tc>
          <w:tcPr>
            <w:tcW w:w="2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2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365,729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residential</w:t>
            </w:r>
          </w:p>
        </w:tc>
        <w:tc>
          <w:tcPr>
            <w:tcW w:w="4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2"/>
              </w:rPr>
              <w:t>2,740,070</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1,453,713</w:t>
            </w: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669,322</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1,550,797</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774,886</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7,862,977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72,094</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3"/>
              </w:rPr>
              <w:t>15,123,859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Residential - limited documentation:</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1,462,277</w:t>
            </w:r>
          </w:p>
        </w:tc>
        <w:tc>
          <w:tcPr>
            <w:tcW w:w="2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1,462,277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40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147,170</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147,170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line="156" w:lineRule="exact"/>
              <w:rPr>
                <w:sz w:val="20"/>
                <w:szCs w:val="20"/>
                <w:color w:val="auto"/>
              </w:rPr>
            </w:pPr>
            <w:r>
              <w:rPr>
                <w:rFonts w:ascii="Arial" w:cs="Arial" w:eastAsia="Arial" w:hAnsi="Arial"/>
                <w:sz w:val="15"/>
                <w:szCs w:val="15"/>
                <w:color w:val="auto"/>
              </w:rPr>
              <w:t>Total residential - limited</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120"/>
              <w:spacing w:after="0"/>
              <w:rPr>
                <w:sz w:val="20"/>
                <w:szCs w:val="20"/>
                <w:color w:val="auto"/>
              </w:rPr>
            </w:pPr>
            <w:r>
              <w:rPr>
                <w:rFonts w:ascii="Arial" w:cs="Arial" w:eastAsia="Arial" w:hAnsi="Arial"/>
                <w:sz w:val="15"/>
                <w:szCs w:val="15"/>
                <w:color w:val="auto"/>
              </w:rPr>
              <w:t>documentation</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5"/>
              </w:rPr>
              <w:t>1,629,134</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1,629,134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5"/>
                <w:szCs w:val="15"/>
                <w:color w:val="auto"/>
              </w:rPr>
              <w:t>Consumer:</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Home equity lines and loans:</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400"/>
              <w:spacing w:after="0"/>
              <w:rPr>
                <w:sz w:val="20"/>
                <w:szCs w:val="20"/>
                <w:color w:val="auto"/>
              </w:rPr>
            </w:pPr>
            <w:r>
              <w:rPr>
                <w:rFonts w:ascii="Arial" w:cs="Arial" w:eastAsia="Arial" w:hAnsi="Arial"/>
                <w:sz w:val="15"/>
                <w:szCs w:val="15"/>
                <w:color w:val="auto"/>
              </w:rPr>
              <w:t>Current</w:t>
            </w: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773</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3,983</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1,591</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2,016</w:t>
            </w: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162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51,554</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2,569,621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1,252,185</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3,881,885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1,148</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939</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22,242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400"/>
              <w:spacing w:after="0" w:line="162" w:lineRule="exact"/>
              <w:rPr>
                <w:sz w:val="20"/>
                <w:szCs w:val="20"/>
                <w:color w:val="auto"/>
              </w:rPr>
            </w:pPr>
            <w:r>
              <w:rPr>
                <w:rFonts w:ascii="Arial" w:cs="Arial" w:eastAsia="Arial" w:hAnsi="Arial"/>
                <w:sz w:val="15"/>
                <w:szCs w:val="15"/>
                <w:color w:val="auto"/>
              </w:rPr>
              <w:t>Accruing loans past due 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460"/>
              <w:spacing w:after="0"/>
              <w:rPr>
                <w:sz w:val="20"/>
                <w:szCs w:val="20"/>
                <w:color w:val="auto"/>
              </w:rPr>
            </w:pPr>
            <w:r>
              <w:rPr>
                <w:rFonts w:ascii="Arial" w:cs="Arial" w:eastAsia="Arial" w:hAnsi="Arial"/>
                <w:sz w:val="15"/>
                <w:szCs w:val="15"/>
                <w:color w:val="auto"/>
              </w:rPr>
              <w:t>days or more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3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6,148</w:t>
            </w:r>
          </w:p>
        </w:tc>
        <w:tc>
          <w:tcPr>
            <w:tcW w:w="2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5,752</w:t>
            </w:r>
          </w:p>
        </w:tc>
        <w:tc>
          <w:tcPr>
            <w:tcW w:w="22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67,492</w:t>
            </w:r>
          </w:p>
        </w:tc>
        <w:tc>
          <w:tcPr>
            <w:tcW w:w="22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79,392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line="169" w:lineRule="exact"/>
              <w:rPr>
                <w:sz w:val="20"/>
                <w:szCs w:val="20"/>
                <w:color w:val="auto"/>
              </w:rPr>
            </w:pPr>
            <w:r>
              <w:rPr>
                <w:rFonts w:ascii="Arial" w:cs="Arial" w:eastAsia="Arial" w:hAnsi="Arial"/>
                <w:sz w:val="15"/>
                <w:szCs w:val="15"/>
                <w:color w:val="auto"/>
              </w:rPr>
              <w:t>Total home equity lines and loans</w:t>
            </w:r>
          </w:p>
        </w:tc>
        <w:tc>
          <w:tcPr>
            <w:tcW w:w="4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773</w:t>
            </w:r>
          </w:p>
        </w:tc>
        <w:tc>
          <w:tcPr>
            <w:tcW w:w="20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3,983</w:t>
            </w:r>
          </w:p>
        </w:tc>
        <w:tc>
          <w:tcPr>
            <w:tcW w:w="220" w:type="dxa"/>
            <w:vAlign w:val="bottom"/>
          </w:tcPr>
          <w:p>
            <w:pPr>
              <w:spacing w:after="0"/>
              <w:rPr>
                <w:sz w:val="18"/>
                <w:szCs w:val="18"/>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1,591</w:t>
            </w:r>
          </w:p>
        </w:tc>
        <w:tc>
          <w:tcPr>
            <w:tcW w:w="22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2,016</w:t>
            </w:r>
          </w:p>
        </w:tc>
        <w:tc>
          <w:tcPr>
            <w:tcW w:w="160" w:type="dxa"/>
            <w:vAlign w:val="bottom"/>
          </w:tcPr>
          <w:p>
            <w:pPr>
              <w:spacing w:after="0"/>
              <w:rPr>
                <w:sz w:val="18"/>
                <w:szCs w:val="18"/>
                <w:color w:val="auto"/>
              </w:rPr>
            </w:pPr>
          </w:p>
        </w:tc>
        <w:tc>
          <w:tcPr>
            <w:tcW w:w="6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58,850</w:t>
            </w:r>
          </w:p>
        </w:tc>
        <w:tc>
          <w:tcPr>
            <w:tcW w:w="22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2,576,312</w:t>
            </w:r>
          </w:p>
        </w:tc>
        <w:tc>
          <w:tcPr>
            <w:tcW w:w="22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1,341,919</w:t>
            </w:r>
          </w:p>
        </w:tc>
        <w:tc>
          <w:tcPr>
            <w:tcW w:w="3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3,985,606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Revolving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6"/>
            <w:vMerge w:val="restart"/>
          </w:tcPr>
          <w:p>
            <w:pPr>
              <w:ind w:left="760"/>
              <w:spacing w:after="0"/>
              <w:rPr>
                <w:sz w:val="20"/>
                <w:szCs w:val="20"/>
                <w:color w:val="auto"/>
              </w:rPr>
            </w:pPr>
            <w:r>
              <w:rPr>
                <w:rFonts w:ascii="Arial" w:cs="Arial" w:eastAsia="Arial" w:hAnsi="Arial"/>
                <w:sz w:val="14"/>
                <w:szCs w:val="14"/>
                <w:b w:val="1"/>
                <w:bCs w:val="1"/>
                <w:color w:val="auto"/>
                <w:w w:val="93"/>
              </w:rPr>
              <w:t>Term Loans by Origination Year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Revolving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Converted</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to Term</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8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78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80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Prior</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Loans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160" w:type="dxa"/>
            <w:vAlign w:val="bottom"/>
            <w:vMerge w:val="restart"/>
          </w:tcPr>
          <w:p>
            <w:pPr>
              <w:spacing w:after="0"/>
              <w:rPr>
                <w:sz w:val="20"/>
                <w:szCs w:val="20"/>
                <w:color w:val="auto"/>
              </w:rPr>
            </w:pPr>
            <w:r>
              <w:rPr>
                <w:rFonts w:ascii="Arial" w:cs="Arial" w:eastAsia="Arial" w:hAnsi="Arial"/>
                <w:sz w:val="15"/>
                <w:szCs w:val="15"/>
                <w:color w:val="auto"/>
              </w:rPr>
              <w:t>Recreational finance:</w:t>
            </w:r>
          </w:p>
        </w:tc>
        <w:tc>
          <w:tcPr>
            <w:tcW w:w="5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2,796,359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1,751,766</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907,595</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630,151</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352,414</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564,358</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7,002,643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9,548</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11,255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8,519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6,638</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2,938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8,263</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580"/>
              <w:spacing w:after="0"/>
              <w:rPr>
                <w:sz w:val="20"/>
                <w:szCs w:val="20"/>
                <w:color w:val="auto"/>
              </w:rPr>
            </w:pPr>
            <w:r>
              <w:rPr>
                <w:rFonts w:ascii="Arial" w:cs="Arial" w:eastAsia="Arial" w:hAnsi="Arial"/>
                <w:sz w:val="15"/>
                <w:szCs w:val="15"/>
                <w:color w:val="auto"/>
              </w:rPr>
              <w:t>more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1,854</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4,072</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4,194</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2,733</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8,783</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recreational finance</w:t>
            </w:r>
          </w:p>
        </w:tc>
        <w:tc>
          <w:tcPr>
            <w:tcW w:w="6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2,807,761</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1,766,904</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920,186</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640,983</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358,085</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581,404</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7,075,323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Automobile:</w:t>
            </w: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1,595,636</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1,106,782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629,338</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440,604</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171,017</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63,972</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4,007,349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6,461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14,140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12,542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12,899</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6,373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3,083</w:t>
            </w:r>
          </w:p>
        </w:tc>
        <w:tc>
          <w:tcPr>
            <w:tcW w:w="2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55,498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580"/>
              <w:spacing w:after="0"/>
              <w:rPr>
                <w:sz w:val="20"/>
                <w:szCs w:val="20"/>
                <w:color w:val="auto"/>
              </w:rPr>
            </w:pPr>
            <w:r>
              <w:rPr>
                <w:rFonts w:ascii="Arial" w:cs="Arial" w:eastAsia="Arial" w:hAnsi="Arial"/>
                <w:sz w:val="15"/>
                <w:szCs w:val="15"/>
                <w:color w:val="auto"/>
              </w:rPr>
              <w:t>more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FF0FC"/>
            </w:tcBorders>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7,144</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10,788</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10,061</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5,991</w:t>
            </w:r>
          </w:p>
        </w:tc>
        <w:tc>
          <w:tcPr>
            <w:tcW w:w="1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3,805</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39,404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automobile</w:t>
            </w:r>
          </w:p>
        </w:tc>
        <w:tc>
          <w:tcPr>
            <w:tcW w:w="6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1,603,712</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1,128,066</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652,668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463,564</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183,381</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70,860</w:t>
            </w:r>
          </w:p>
        </w:tc>
        <w:tc>
          <w:tcPr>
            <w:tcW w:w="2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4,102,251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400"/>
              <w:spacing w:after="0"/>
              <w:rPr>
                <w:sz w:val="20"/>
                <w:szCs w:val="20"/>
                <w:color w:val="auto"/>
              </w:rPr>
            </w:pPr>
            <w:r>
              <w:rPr>
                <w:rFonts w:ascii="Arial" w:cs="Arial" w:eastAsia="Arial" w:hAnsi="Arial"/>
                <w:sz w:val="15"/>
                <w:szCs w:val="15"/>
                <w:color w:val="auto"/>
              </w:rPr>
              <w:t>Current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160,424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137,617</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53,702</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32,556</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4,526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28,970</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927,217</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1,856</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1,346,868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30-89 days past due</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1,879</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577</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2,301</w:t>
            </w:r>
          </w:p>
        </w:tc>
        <w:tc>
          <w:tcPr>
            <w:tcW w:w="1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557</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10,594</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380"/>
              <w:spacing w:after="0" w:line="162" w:lineRule="exact"/>
              <w:rPr>
                <w:sz w:val="20"/>
                <w:szCs w:val="20"/>
                <w:color w:val="auto"/>
              </w:rPr>
            </w:pPr>
            <w:r>
              <w:rPr>
                <w:rFonts w:ascii="Arial" w:cs="Arial" w:eastAsia="Arial" w:hAnsi="Arial"/>
                <w:sz w:val="15"/>
                <w:szCs w:val="15"/>
                <w:color w:val="auto"/>
              </w:rPr>
              <w:t>Accruing loans past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580"/>
              <w:spacing w:after="0" w:line="162" w:lineRule="exact"/>
              <w:rPr>
                <w:sz w:val="20"/>
                <w:szCs w:val="20"/>
                <w:color w:val="auto"/>
              </w:rPr>
            </w:pPr>
            <w:r>
              <w:rPr>
                <w:rFonts w:ascii="Arial" w:cs="Arial" w:eastAsia="Arial" w:hAnsi="Arial"/>
                <w:sz w:val="15"/>
                <w:szCs w:val="15"/>
                <w:color w:val="auto"/>
              </w:rPr>
              <w:t>due 90 days or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580"/>
              <w:spacing w:after="0"/>
              <w:rPr>
                <w:sz w:val="20"/>
                <w:szCs w:val="20"/>
                <w:color w:val="auto"/>
              </w:rPr>
            </w:pPr>
            <w:r>
              <w:rPr>
                <w:rFonts w:ascii="Arial" w:cs="Arial" w:eastAsia="Arial" w:hAnsi="Arial"/>
                <w:sz w:val="15"/>
                <w:szCs w:val="15"/>
                <w:color w:val="auto"/>
              </w:rPr>
              <w:t>more</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374</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4,207</w:t>
            </w: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400"/>
              <w:spacing w:after="0"/>
              <w:rPr>
                <w:sz w:val="20"/>
                <w:szCs w:val="20"/>
                <w:color w:val="auto"/>
              </w:rPr>
            </w:pPr>
            <w:r>
              <w:rPr>
                <w:rFonts w:ascii="Arial" w:cs="Arial" w:eastAsia="Arial" w:hAnsi="Arial"/>
                <w:sz w:val="15"/>
                <w:szCs w:val="15"/>
                <w:color w:val="auto"/>
              </w:rPr>
              <w:t>Nonaccrual</w:t>
            </w:r>
          </w:p>
        </w:tc>
        <w:tc>
          <w:tcPr>
            <w:tcW w:w="54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492</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339</w:t>
            </w:r>
          </w:p>
        </w:tc>
        <w:tc>
          <w:tcPr>
            <w:tcW w:w="20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501</w:t>
            </w:r>
          </w:p>
        </w:tc>
        <w:tc>
          <w:tcPr>
            <w:tcW w:w="20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35,044</w:t>
            </w:r>
          </w:p>
        </w:tc>
        <w:tc>
          <w:tcPr>
            <w:tcW w:w="200" w:type="dxa"/>
            <w:vAlign w:val="bottom"/>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148</w:t>
            </w:r>
          </w:p>
        </w:tc>
        <w:tc>
          <w:tcPr>
            <w:tcW w:w="2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38,231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tcPr>
          <w:p>
            <w:pPr>
              <w:spacing w:after="0" w:line="169" w:lineRule="exact"/>
              <w:rPr>
                <w:sz w:val="20"/>
                <w:szCs w:val="20"/>
                <w:color w:val="auto"/>
              </w:rPr>
            </w:pPr>
            <w:r>
              <w:rPr>
                <w:rFonts w:ascii="Arial" w:cs="Arial" w:eastAsia="Arial" w:hAnsi="Arial"/>
                <w:sz w:val="15"/>
                <w:szCs w:val="15"/>
                <w:color w:val="auto"/>
              </w:rPr>
              <w:t>Total other</w:t>
            </w:r>
          </w:p>
        </w:tc>
        <w:tc>
          <w:tcPr>
            <w:tcW w:w="6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163,796</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139,239</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54,618</w:t>
            </w:r>
          </w:p>
        </w:tc>
        <w:tc>
          <w:tcPr>
            <w:tcW w:w="200" w:type="dxa"/>
            <w:vAlign w:val="bottom"/>
          </w:tcPr>
          <w:p>
            <w:pPr>
              <w:spacing w:after="0"/>
              <w:rPr>
                <w:sz w:val="18"/>
                <w:szCs w:val="18"/>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35,040</w:t>
            </w:r>
          </w:p>
        </w:tc>
        <w:tc>
          <w:tcPr>
            <w:tcW w:w="100" w:type="dxa"/>
            <w:vAlign w:val="bottom"/>
          </w:tcPr>
          <w:p>
            <w:pPr>
              <w:spacing w:after="0"/>
              <w:rPr>
                <w:sz w:val="18"/>
                <w:szCs w:val="18"/>
                <w:color w:val="auto"/>
              </w:rPr>
            </w:pPr>
          </w:p>
        </w:tc>
        <w:tc>
          <w:tcPr>
            <w:tcW w:w="8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4,599</w:t>
            </w:r>
          </w:p>
        </w:tc>
        <w:tc>
          <w:tcPr>
            <w:tcW w:w="18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30,402</w:t>
            </w:r>
          </w:p>
        </w:tc>
        <w:tc>
          <w:tcPr>
            <w:tcW w:w="200" w:type="dxa"/>
            <w:vAlign w:val="bottom"/>
          </w:tcPr>
          <w:p>
            <w:pPr>
              <w:spacing w:after="0"/>
              <w:rPr>
                <w:sz w:val="18"/>
                <w:szCs w:val="18"/>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977,062</w:t>
            </w:r>
          </w:p>
        </w:tc>
        <w:tc>
          <w:tcPr>
            <w:tcW w:w="200" w:type="dxa"/>
            <w:vAlign w:val="bottom"/>
          </w:tcPr>
          <w:p>
            <w:pPr>
              <w:spacing w:after="0"/>
              <w:rPr>
                <w:sz w:val="18"/>
                <w:szCs w:val="18"/>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2,485</w:t>
            </w:r>
          </w:p>
        </w:tc>
        <w:tc>
          <w:tcPr>
            <w:tcW w:w="20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1,407,241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16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Arial" w:cs="Arial" w:eastAsia="Arial" w:hAnsi="Arial"/>
                <w:sz w:val="15"/>
                <w:szCs w:val="15"/>
                <w:color w:val="auto"/>
              </w:rPr>
              <w:t>Total loans and leases at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120"/>
              <w:spacing w:after="0"/>
              <w:rPr>
                <w:sz w:val="20"/>
                <w:szCs w:val="20"/>
                <w:color w:val="auto"/>
              </w:rPr>
            </w:pPr>
            <w:r>
              <w:rPr>
                <w:rFonts w:ascii="Arial" w:cs="Arial" w:eastAsia="Arial" w:hAnsi="Arial"/>
                <w:sz w:val="15"/>
                <w:szCs w:val="15"/>
                <w:color w:val="auto"/>
              </w:rPr>
              <w:t>December 31, 2020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20,949,019</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15,628,942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10,466,749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7,893,838</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6,013,013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19,233,367</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16,963,561</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1,387,378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3"/>
              </w:rPr>
              <w:t>98,535,867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w:t>
      </w:r>
    </w:p>
    <w:p>
      <w:pPr>
        <w:spacing w:after="0" w:line="20" w:lineRule="exact"/>
        <w:rPr>
          <w:sz w:val="20"/>
          <w:szCs w:val="20"/>
          <w:color w:val="auto"/>
        </w:rPr>
      </w:pPr>
    </w:p>
    <w:p>
      <w:pPr>
        <w:ind w:right="800"/>
        <w:spacing w:after="0" w:line="297" w:lineRule="auto"/>
        <w:rPr>
          <w:sz w:val="20"/>
          <w:szCs w:val="20"/>
          <w:color w:val="auto"/>
        </w:rPr>
      </w:pPr>
      <w:r>
        <w:rPr>
          <w:rFonts w:ascii="Arial" w:cs="Arial" w:eastAsia="Arial" w:hAnsi="Arial"/>
          <w:sz w:val="19"/>
          <w:szCs w:val="19"/>
          <w:color w:val="auto"/>
        </w:rPr>
        <w:t>For purposes of determining the level of the allowance for credit losses, the Company evaluates its loan and lease portfolio by type. Changes in the allowance for credit losses for the three months ended September 30, 2021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Real Estate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Financial,</w:t>
            </w: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Residential</w:t>
            </w:r>
          </w:p>
        </w:tc>
        <w:tc>
          <w:tcPr>
            <w:tcW w:w="340" w:type="dxa"/>
            <w:vAlign w:val="bottom"/>
          </w:tcPr>
          <w:p>
            <w:pPr>
              <w:spacing w:after="0"/>
              <w:rPr>
                <w:sz w:val="13"/>
                <w:szCs w:val="13"/>
                <w:color w:val="auto"/>
              </w:rPr>
            </w:pPr>
          </w:p>
        </w:tc>
        <w:tc>
          <w:tcPr>
            <w:tcW w:w="10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3660" w:type="dxa"/>
            <w:vAlign w:val="bottom"/>
          </w:tcPr>
          <w:p>
            <w:pPr>
              <w:spacing w:after="0"/>
              <w:rPr>
                <w:sz w:val="20"/>
                <w:szCs w:val="20"/>
                <w:color w:val="auto"/>
              </w:rPr>
            </w:pPr>
            <w:r>
              <w:rPr>
                <w:rFonts w:ascii="Arial" w:cs="Arial" w:eastAsia="Arial" w:hAnsi="Arial"/>
                <w:sz w:val="18"/>
                <w:szCs w:val="18"/>
                <w:color w:val="auto"/>
              </w:rPr>
              <w:t>Beginning balance</w:t>
            </w:r>
          </w:p>
        </w:tc>
        <w:tc>
          <w:tcPr>
            <w:tcW w:w="2080" w:type="dxa"/>
            <w:vAlign w:val="bottom"/>
            <w:gridSpan w:val="2"/>
          </w:tcPr>
          <w:p>
            <w:pPr>
              <w:ind w:left="19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314,852</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679,963</w:t>
            </w: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77,869</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502,444</w:t>
            </w:r>
          </w:p>
        </w:tc>
        <w:tc>
          <w:tcPr>
            <w:tcW w:w="1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$ 1,575,128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(292)</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(42,016)</w:t>
            </w: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(3,522)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25,830</w:t>
            </w: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Net charge-offs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(26,598)</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(14,242)</w:t>
            </w: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(1,925)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(21,508)</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(64,273)</w:t>
            </w: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2,362</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1,903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16,119</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9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(22,813)</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Ending balance</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291,747</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74,325</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$ 1,515,024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2800" w:type="dxa"/>
            <w:vAlign w:val="bottom"/>
            <w:gridSpan w:val="3"/>
          </w:tcPr>
          <w:p>
            <w:pPr>
              <w:jc w:val="right"/>
              <w:ind w:right="553"/>
              <w:spacing w:after="0"/>
              <w:rPr>
                <w:sz w:val="20"/>
                <w:szCs w:val="20"/>
                <w:color w:val="auto"/>
              </w:rPr>
            </w:pPr>
            <w:r>
              <w:rPr>
                <w:rFonts w:ascii="Arial" w:cs="Arial" w:eastAsia="Arial" w:hAnsi="Arial"/>
                <w:sz w:val="18"/>
                <w:szCs w:val="18"/>
                <w:color w:val="auto"/>
              </w:rPr>
              <w:t>- 19 -</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September 30, 2020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Real Estate</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Financial,</w:t>
            </w: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Residential</w:t>
            </w:r>
          </w:p>
        </w:tc>
        <w:tc>
          <w:tcPr>
            <w:tcW w:w="340" w:type="dxa"/>
            <w:vAlign w:val="bottom"/>
          </w:tcPr>
          <w:p>
            <w:pPr>
              <w:spacing w:after="0"/>
              <w:rPr>
                <w:sz w:val="13"/>
                <w:szCs w:val="13"/>
                <w:color w:val="auto"/>
              </w:rPr>
            </w:pPr>
          </w:p>
        </w:tc>
        <w:tc>
          <w:tcPr>
            <w:tcW w:w="11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Consumer</w:t>
            </w:r>
          </w:p>
        </w:tc>
        <w:tc>
          <w:tcPr>
            <w:tcW w:w="20" w:type="dxa"/>
            <w:vAlign w:val="bottom"/>
          </w:tcPr>
          <w:p>
            <w:pPr>
              <w:spacing w:after="0"/>
              <w:rPr>
                <w:sz w:val="13"/>
                <w:szCs w:val="13"/>
                <w:color w:val="auto"/>
              </w:rPr>
            </w:pPr>
          </w:p>
        </w:tc>
        <w:tc>
          <w:tcPr>
            <w:tcW w:w="96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Beginning balance</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398,257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576,321</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118,921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544,737</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$ 1,638,236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87,403</w:t>
            </w:r>
          </w:p>
        </w:tc>
        <w:tc>
          <w:tcPr>
            <w:tcW w:w="2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(683)</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Net charge-offs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(14,434)</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(4,522)</w:t>
            </w:r>
          </w:p>
        </w:tc>
        <w:tc>
          <w:tcPr>
            <w:tcW w:w="13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(1,516)</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(31,754)</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(52,226)</w:t>
            </w: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4,475</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14,482</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(17,272)</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Ending balance</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413,748</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117,682</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565,295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$ 1,758,505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nine months ended September 30, 2021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32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Real Estate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Financial,</w:t>
            </w:r>
          </w:p>
        </w:tc>
        <w:tc>
          <w:tcPr>
            <w:tcW w:w="232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20" w:type="dxa"/>
            <w:vAlign w:val="bottom"/>
            <w:tcBorders>
              <w:top w:val="single" w:sz="8" w:color="auto"/>
            </w:tcBorders>
            <w:gridSpan w:val="2"/>
          </w:tcPr>
          <w:p>
            <w:pPr>
              <w:jc w:val="right"/>
              <w:ind w:right="161"/>
              <w:spacing w:after="0" w:line="155"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Residential</w:t>
            </w:r>
          </w:p>
        </w:tc>
        <w:tc>
          <w:tcPr>
            <w:tcW w:w="340" w:type="dxa"/>
            <w:vAlign w:val="bottom"/>
          </w:tcPr>
          <w:p>
            <w:pPr>
              <w:spacing w:after="0"/>
              <w:rPr>
                <w:sz w:val="13"/>
                <w:szCs w:val="13"/>
                <w:color w:val="auto"/>
              </w:rPr>
            </w:pPr>
          </w:p>
        </w:tc>
        <w:tc>
          <w:tcPr>
            <w:tcW w:w="1020" w:type="dxa"/>
            <w:vAlign w:val="bottom"/>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3"/>
                <w:szCs w:val="13"/>
                <w:color w:val="auto"/>
              </w:rPr>
            </w:pPr>
          </w:p>
        </w:tc>
        <w:tc>
          <w:tcPr>
            <w:tcW w:w="980" w:type="dxa"/>
            <w:vAlign w:val="bottom"/>
            <w:gridSpan w:val="2"/>
          </w:tcPr>
          <w:p>
            <w:pPr>
              <w:jc w:val="right"/>
              <w:ind w:right="32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980" w:type="dxa"/>
            <w:vAlign w:val="bottom"/>
            <w:gridSpan w:val="2"/>
            <w:shd w:val="clear" w:color="auto" w:fill="CFF0FC"/>
          </w:tcPr>
          <w:p>
            <w:pPr>
              <w:ind w:left="18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405,846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670,719</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103,590</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556,232</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$ 1,736,387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(57,610)</w:t>
            </w:r>
          </w:p>
        </w:tc>
        <w:tc>
          <w:tcPr>
            <w:tcW w:w="820" w:type="dxa"/>
            <w:vAlign w:val="bottom"/>
          </w:tcPr>
          <w:p>
            <w:pPr>
              <w:jc w:val="right"/>
              <w:spacing w:after="0"/>
              <w:rPr>
                <w:sz w:val="20"/>
                <w:szCs w:val="20"/>
                <w:color w:val="auto"/>
              </w:rPr>
            </w:pPr>
            <w:r>
              <w:rPr>
                <w:rFonts w:ascii="Arial" w:cs="Arial" w:eastAsia="Arial" w:hAnsi="Arial"/>
                <w:sz w:val="18"/>
                <w:szCs w:val="18"/>
                <w:color w:val="auto"/>
              </w:rPr>
              <w:t>32,650</w:t>
            </w:r>
          </w:p>
        </w:tc>
        <w:tc>
          <w:tcPr>
            <w:tcW w:w="20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(29,026)</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(6,014)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(93,638)</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(87,417)</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(6,586)</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(79,926)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(267,567)</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10,115</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6,347</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52,593</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8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(56,489)</w:t>
            </w:r>
          </w:p>
        </w:tc>
        <w:tc>
          <w:tcPr>
            <w:tcW w:w="32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(77,302</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(27,333</w:t>
            </w:r>
          </w:p>
        </w:tc>
        <w:tc>
          <w:tcPr>
            <w:tcW w:w="18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(161,363</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291,747</w:t>
            </w: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626,067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74,325</w:t>
            </w: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522,885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$ 1,515,024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nine months ended September 30, 2020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20" w:type="dxa"/>
            <w:vAlign w:val="bottom"/>
            <w:gridSpan w:val="4"/>
          </w:tcPr>
          <w:p>
            <w:pPr>
              <w:ind w:left="1120"/>
              <w:spacing w:after="0"/>
              <w:rPr>
                <w:sz w:val="20"/>
                <w:szCs w:val="20"/>
                <w:color w:val="auto"/>
              </w:rPr>
            </w:pPr>
            <w:r>
              <w:rPr>
                <w:rFonts w:ascii="Arial" w:cs="Arial" w:eastAsia="Arial" w:hAnsi="Arial"/>
                <w:sz w:val="14"/>
                <w:szCs w:val="14"/>
                <w:b w:val="1"/>
                <w:bCs w:val="1"/>
                <w:color w:val="auto"/>
              </w:rPr>
              <w:t>Commercial,</w:t>
            </w:r>
          </w:p>
        </w:tc>
        <w:tc>
          <w:tcPr>
            <w:tcW w:w="2100" w:type="dxa"/>
            <w:vAlign w:val="bottom"/>
            <w:gridSpan w:val="4"/>
            <w:vMerge w:val="restart"/>
          </w:tcPr>
          <w:p>
            <w:pPr>
              <w:jc w:val="right"/>
              <w:ind w:right="781"/>
              <w:spacing w:after="0"/>
              <w:rPr>
                <w:sz w:val="20"/>
                <w:szCs w:val="20"/>
                <w:color w:val="auto"/>
              </w:rPr>
            </w:pPr>
            <w:r>
              <w:rPr>
                <w:rFonts w:ascii="Arial" w:cs="Arial" w:eastAsia="Arial" w:hAnsi="Arial"/>
                <w:sz w:val="14"/>
                <w:szCs w:val="14"/>
                <w:b w:val="1"/>
                <w:bCs w:val="1"/>
                <w:color w:val="auto"/>
              </w:rPr>
              <w:t>Real Estate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Financial,</w:t>
            </w:r>
          </w:p>
        </w:tc>
        <w:tc>
          <w:tcPr>
            <w:tcW w:w="2100" w:type="dxa"/>
            <w:vAlign w:val="bottom"/>
            <w:gridSpan w:val="4"/>
            <w:vMerge w:val="continue"/>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060" w:type="dxa"/>
            <w:vAlign w:val="bottom"/>
            <w:tcBorders>
              <w:top w:val="single" w:sz="8" w:color="auto"/>
            </w:tcBorders>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940" w:type="dxa"/>
            <w:vAlign w:val="bottom"/>
            <w:gridSpan w:val="2"/>
          </w:tcPr>
          <w:p>
            <w:pPr>
              <w:jc w:val="right"/>
              <w:ind w:right="161"/>
              <w:spacing w:after="0" w:line="155" w:lineRule="exact"/>
              <w:rPr>
                <w:sz w:val="20"/>
                <w:szCs w:val="20"/>
                <w:color w:val="auto"/>
              </w:rPr>
            </w:pPr>
            <w:r>
              <w:rPr>
                <w:rFonts w:ascii="Arial" w:cs="Arial" w:eastAsia="Arial" w:hAnsi="Arial"/>
                <w:sz w:val="14"/>
                <w:szCs w:val="14"/>
                <w:b w:val="1"/>
                <w:bCs w:val="1"/>
                <w:color w:val="auto"/>
                <w:w w:val="98"/>
              </w:rPr>
              <w:t>Consumer</w:t>
            </w:r>
          </w:p>
        </w:tc>
        <w:tc>
          <w:tcPr>
            <w:tcW w:w="106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Unallocated</w:t>
            </w:r>
          </w:p>
        </w:tc>
        <w:tc>
          <w:tcPr>
            <w:tcW w:w="120" w:type="dxa"/>
            <w:vAlign w:val="bottom"/>
          </w:tcPr>
          <w:p>
            <w:pPr>
              <w:spacing w:after="0"/>
              <w:rPr>
                <w:sz w:val="13"/>
                <w:szCs w:val="13"/>
                <w:color w:val="auto"/>
              </w:rPr>
            </w:pPr>
          </w:p>
        </w:tc>
        <w:tc>
          <w:tcPr>
            <w:tcW w:w="96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right"/>
              <w:ind w:right="541"/>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Beginning balance</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366,094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322,201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56,033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229,118</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77,625</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$ 1,051,071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 accounting standard</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(61,474)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194,004</w:t>
            </w: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(77,625)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161,444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335,159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11,458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216,939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(63,425)</w:t>
            </w:r>
          </w:p>
        </w:tc>
        <w:tc>
          <w:tcPr>
            <w:tcW w:w="1060" w:type="dxa"/>
            <w:vAlign w:val="bottom"/>
            <w:gridSpan w:val="2"/>
          </w:tcPr>
          <w:p>
            <w:pPr>
              <w:jc w:val="right"/>
              <w:ind w:right="161"/>
              <w:spacing w:after="0"/>
              <w:rPr>
                <w:sz w:val="20"/>
                <w:szCs w:val="20"/>
                <w:color w:val="auto"/>
              </w:rPr>
            </w:pPr>
            <w:r>
              <w:rPr>
                <w:rFonts w:ascii="Arial" w:cs="Arial" w:eastAsia="Arial" w:hAnsi="Arial"/>
                <w:sz w:val="18"/>
                <w:szCs w:val="18"/>
                <w:color w:val="auto"/>
              </w:rPr>
              <w:t>(23,266)</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(8,227)</w:t>
            </w: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(116,409)</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(211,327)</w:t>
            </w: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11,109</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(52,316</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(19,236</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(74,766</w:t>
            </w:r>
          </w:p>
        </w:tc>
        <w:tc>
          <w:tcPr>
            <w:tcW w:w="160" w:type="dxa"/>
            <w:vAlign w:val="bottom"/>
            <w:tcBorders>
              <w:bottom w:val="single" w:sz="8" w:color="CFF0FC"/>
            </w:tcBorders>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(150,023</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413,748</w:t>
            </w: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661,780</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117,682</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565,295</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$ 1,758,505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- 20 -</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September 30, 2021 and December 31, 2020,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department.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61"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70"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Changes in the amount of the allowance for credit losses reflect the outcome of the procedures described herein. Improvement in the economic outlook at September 30, 2021 contributed to a reduced estimate of expected credit losses. Other factors considered included the impact of portfolio concentrations, changes in underwriting practices, product expansions into new markets, imprecision in economic forecasts and other risk factors that might influence the loss estimation process.</w:t>
      </w:r>
    </w:p>
    <w:p>
      <w:pPr>
        <w:spacing w:after="0" w:line="64"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The Company’s reserve for off-balance sheet credit exposures was not material at September 30, 2021 and December 31, 2020.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8"/>
          <w:szCs w:val="18"/>
          <w:color w:val="auto"/>
        </w:rPr>
        <w:t>Information with respect to loans and leases that were considered nonaccrual at the beginning and end of the reporting period and the interest income recognized on such loans for the three-month and nine-month periods ended September 30, 2021 and 2020 follows.</w:t>
      </w:r>
    </w:p>
    <w:tbl>
      <w:tblPr>
        <w:tblLayout w:type="fixed"/>
        <w:tblInd w:w="0" w:type="dxa"/>
        <w:tblCellMar>
          <w:top w:w="0" w:type="dxa"/>
          <w:left w:w="0" w:type="dxa"/>
          <w:bottom w:w="0" w:type="dxa"/>
          <w:right w:w="0" w:type="dxa"/>
        </w:tblCellMar>
      </w:tblPr>
      <w:tr>
        <w:trPr>
          <w:trHeight w:val="133"/>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Nine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8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September</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7"/>
            <w:vMerge w:val="restart"/>
          </w:tcPr>
          <w:p>
            <w:pPr>
              <w:jc w:val="right"/>
              <w:ind w:right="4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June 30, 2021</w:t>
            </w:r>
          </w:p>
        </w:tc>
        <w:tc>
          <w:tcPr>
            <w:tcW w:w="18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7"/>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920" w:type="dxa"/>
            <w:vAlign w:val="bottom"/>
            <w:gridSpan w:val="4"/>
          </w:tcPr>
          <w:p>
            <w:pPr>
              <w:jc w:val="center"/>
              <w:ind w:right="108"/>
              <w:spacing w:after="0" w:line="133" w:lineRule="exact"/>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920" w:type="dxa"/>
            <w:vAlign w:val="bottom"/>
            <w:gridSpan w:val="4"/>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Cost with</w:t>
            </w:r>
          </w:p>
        </w:tc>
        <w:tc>
          <w:tcPr>
            <w:tcW w:w="80" w:type="dxa"/>
            <w:vAlign w:val="bottom"/>
          </w:tcPr>
          <w:p>
            <w:pPr>
              <w:spacing w:after="0"/>
              <w:rPr>
                <w:sz w:val="12"/>
                <w:szCs w:val="12"/>
                <w:color w:val="auto"/>
              </w:rPr>
            </w:pPr>
          </w:p>
        </w:tc>
        <w:tc>
          <w:tcPr>
            <w:tcW w:w="11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Cost without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92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4"/>
                <w:szCs w:val="14"/>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$ 171,040</w:t>
            </w:r>
          </w:p>
        </w:tc>
        <w:tc>
          <w:tcPr>
            <w:tcW w:w="1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109,149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306,827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820,856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1,152,870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1,081,546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775,894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36,750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158,699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114,039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196,918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156,508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372,144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365,729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6,809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81,538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126,529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147,170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38,582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18,428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27,258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43,330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42,257</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38,231</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$ 946,452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1,295,811</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2,242,263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$ 2,242,057</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1,893,299</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15,571</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37,905</w:t>
            </w: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8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w w:val="94"/>
              </w:rPr>
              <w:t>September 30, 2020</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8"/>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6"/>
              </w:rPr>
              <w:t>Amortized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 Income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Cost with</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Cost without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(In thousands)</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264,515</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86,113</w:t>
            </w:r>
          </w:p>
        </w:tc>
        <w:tc>
          <w:tcPr>
            <w:tcW w:w="1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350,628</w:t>
            </w:r>
          </w:p>
        </w:tc>
        <w:tc>
          <w:tcPr>
            <w:tcW w:w="1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284,654</w:t>
            </w:r>
          </w:p>
        </w:tc>
        <w:tc>
          <w:tcPr>
            <w:tcW w:w="100" w:type="dxa"/>
            <w:vAlign w:val="bottom"/>
            <w:shd w:val="clear" w:color="auto" w:fill="CFF0FC"/>
          </w:tcPr>
          <w:p>
            <w:pPr>
              <w:spacing w:after="0"/>
              <w:rPr>
                <w:sz w:val="19"/>
                <w:szCs w:val="19"/>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346,743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5,999</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86,199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166,316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252,515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172,488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173,796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6,782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15,441</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22,186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37,627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85,426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35,881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66,302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231,334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297,636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306,907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322,504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29,824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85,959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115,783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118,695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36,134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42,686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78,820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77,094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65,039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17,637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24,191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24,152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37,355</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5,019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42,374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42,736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3,567</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34,998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38,565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42,750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35,394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558,807</w:t>
            </w:r>
          </w:p>
        </w:tc>
        <w:tc>
          <w:tcPr>
            <w:tcW w:w="14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681,165</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1,239,972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1,156,650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1,134,333</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12,255</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42,953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- 22 -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5500" w:firstLine="8"/>
        <w:spacing w:after="0" w:line="351" w:lineRule="auto"/>
        <w:tabs>
          <w:tab w:leader="none" w:pos="207"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Loans and leases and the allowance for credit losses, continued </w:t>
      </w:r>
      <w:r>
        <w:rPr>
          <w:rFonts w:ascii="Arial" w:cs="Arial" w:eastAsia="Arial" w:hAnsi="Arial"/>
          <w:sz w:val="21"/>
          <w:szCs w:val="21"/>
          <w:b w:val="1"/>
          <w:bCs w:val="1"/>
          <w:i w:val="1"/>
          <w:iCs w:val="1"/>
          <w:color w:val="auto"/>
        </w:rPr>
        <w:t>Loan modifications</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49"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and nine-month periods ended September 30, 2021 and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Post-modification (a)</w:t>
            </w: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Combination</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modification</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Recorded</w:t>
            </w: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Concession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800" w:type="dxa"/>
            <w:vAlign w:val="bottom"/>
            <w:vMerge w:val="restart"/>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Investment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56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36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49,884</w:t>
            </w: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6,051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40,242</w:t>
            </w:r>
          </w:p>
        </w:tc>
        <w:tc>
          <w:tcPr>
            <w:tcW w:w="2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3,479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49,772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30,311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12,281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125,101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56,116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40,504</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6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Three Months Ended September 30, 2020</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560" w:type="dxa"/>
            <w:vAlign w:val="bottom"/>
            <w:tcBorders>
              <w:top w:val="single" w:sz="8" w:color="auto"/>
            </w:tcBorders>
            <w:shd w:val="clear" w:color="auto" w:fill="CFF0FC"/>
          </w:tcPr>
          <w:p>
            <w:pPr>
              <w:spacing w:after="0"/>
              <w:rPr>
                <w:sz w:val="5"/>
                <w:szCs w:val="5"/>
                <w:color w:val="auto"/>
              </w:rPr>
            </w:pPr>
          </w:p>
        </w:tc>
        <w:tc>
          <w:tcPr>
            <w:tcW w:w="180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4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12,506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7,005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73,071</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35,178</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37,920</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- 23 -</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Post-modification (a)</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0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2"/>
              </w:rPr>
              <w:t>Nine Months Ended September 30, 2021</w:t>
            </w:r>
          </w:p>
        </w:tc>
        <w:tc>
          <w:tcPr>
            <w:tcW w:w="1720" w:type="dxa"/>
            <w:vAlign w:val="bottom"/>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4"/>
                <w:szCs w:val="1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8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20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174,366</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42,143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40,464</w:t>
            </w:r>
          </w:p>
        </w:tc>
        <w:tc>
          <w:tcPr>
            <w:tcW w:w="2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90,770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$ 173,377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223,209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48,841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141,456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221,129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88,067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511,038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196,378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239,908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$ 507,582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0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Nine Months Ended September 30, 2020</w:t>
            </w: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480" w:type="dxa"/>
            <w:vAlign w:val="bottom"/>
            <w:tcBorders>
              <w:top w:val="single" w:sz="8" w:color="auto"/>
            </w:tcBorders>
            <w:shd w:val="clear" w:color="auto" w:fill="CFF0FC"/>
          </w:tcPr>
          <w:p>
            <w:pPr>
              <w:spacing w:after="0"/>
              <w:rPr>
                <w:sz w:val="5"/>
                <w:szCs w:val="5"/>
                <w:color w:val="auto"/>
              </w:rPr>
            </w:pPr>
          </w:p>
        </w:tc>
        <w:tc>
          <w:tcPr>
            <w:tcW w:w="172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7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102,865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$ 101,678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Residential builder and developer</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Pr>
          <w:p>
            <w:pPr>
              <w:jc w:val="right"/>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33,541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33,539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3,575</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292,445</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117,336</w:t>
            </w: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36,435</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128,841</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$ 283,415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0</wp:posOffset>
            </wp:positionV>
            <wp:extent cx="4972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5" w:lineRule="exact"/>
        <w:rPr>
          <w:sz w:val="20"/>
          <w:szCs w:val="20"/>
          <w:color w:val="auto"/>
        </w:rPr>
      </w:pPr>
    </w:p>
    <w:p>
      <w:pPr>
        <w:ind w:left="380" w:right="2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-302260</wp:posOffset>
            </wp:positionV>
            <wp:extent cx="4397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8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2021 and 2020 and for which there was a subsequent payment default during the nine-month periods ended September 30, 2021 and 2020, respectively, were not material.</w:t>
      </w:r>
    </w:p>
    <w:p>
      <w:pPr>
        <w:spacing w:after="0" w:line="53"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The amount of foreclosed residential real estate property held by the Company was $25 million and $28 million at September 30, 2021 and December 31, 2020, respectively. There were $156 million and $214 million at September 30, 2021 and December 31, 2020, respectively, of loans secured by residential real estate that were in the process of foreclosure. Of all loans in the process of foreclosure at September 30, 2021, approximately 42% were government guaranteed.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M&amp;T had $531 million of fixed and variable rate junior subordinated deferrable interest debentures ("Junior Subordinated Debentures") outstanding at September 30, 2021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4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7"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8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 January 25, 2021, $350 million of variable rate senior notes of M&amp;T Bank, the principal bank subsidiary of M&amp;T, matured. In addition, on March 1, 2021, M&amp;T Bank redeemed $500 million of subordinated notes that were due to mature on December 1, 2021.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Shareholders’ equity</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Issued and outstanding preferred stock of M&amp;T as of September 30, 2021 and December 31, 2020 is presented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8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4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vMerge w:val="restart"/>
          </w:tcPr>
          <w:p>
            <w:pPr>
              <w:jc w:val="center"/>
              <w:ind w:left="5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920" w:type="dxa"/>
            <w:vAlign w:val="bottom"/>
          </w:tcPr>
          <w:p>
            <w:pPr>
              <w:jc w:val="center"/>
              <w:ind w:right="104"/>
              <w:spacing w:after="0" w:line="133" w:lineRule="exact"/>
              <w:rPr>
                <w:sz w:val="20"/>
                <w:szCs w:val="20"/>
                <w:color w:val="auto"/>
              </w:rPr>
            </w:pPr>
            <w:r>
              <w:rPr>
                <w:rFonts w:ascii="Arial" w:cs="Arial" w:eastAsia="Arial" w:hAnsi="Arial"/>
                <w:sz w:val="14"/>
                <w:szCs w:val="14"/>
                <w:b w:val="1"/>
                <w:bCs w:val="1"/>
                <w:color w:val="auto"/>
                <w:w w:val="89"/>
              </w:rPr>
              <w:t>Shares</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Issued and</w:t>
            </w: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0"/>
              </w:rPr>
              <w:t>Issued and</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Outstanding</w:t>
            </w:r>
          </w:p>
        </w:tc>
        <w:tc>
          <w:tcPr>
            <w:tcW w:w="880" w:type="dxa"/>
            <w:vAlign w:val="bottom"/>
          </w:tcPr>
          <w:p>
            <w:pPr>
              <w:jc w:val="center"/>
              <w:ind w:left="58"/>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0"/>
        </w:trPr>
        <w:tc>
          <w:tcPr>
            <w:tcW w:w="7240" w:type="dxa"/>
            <w:vAlign w:val="bottom"/>
            <w:vMerge w:val="restart"/>
          </w:tcPr>
          <w:p>
            <w:pPr>
              <w:spacing w:after="0"/>
              <w:rPr>
                <w:sz w:val="20"/>
                <w:szCs w:val="20"/>
                <w:color w:val="auto"/>
              </w:rPr>
            </w:pPr>
            <w:r>
              <w:rPr>
                <w:rFonts w:ascii="Arial" w:cs="Arial" w:eastAsia="Arial" w:hAnsi="Arial"/>
                <w:sz w:val="18"/>
                <w:szCs w:val="18"/>
                <w:color w:val="auto"/>
              </w:rPr>
              <w:t>Series E (a)</w:t>
            </w:r>
          </w:p>
        </w:tc>
        <w:tc>
          <w:tcPr>
            <w:tcW w:w="9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2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Fixed-to-Floating Rate Non-cumulative Perpetual Preferred</w:t>
            </w:r>
          </w:p>
        </w:tc>
        <w:tc>
          <w:tcPr>
            <w:tcW w:w="9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$1,000 liquidation preference per share</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350,000</w:t>
            </w:r>
          </w:p>
        </w:tc>
        <w:tc>
          <w:tcPr>
            <w:tcW w:w="880" w:type="dxa"/>
            <w:vAlign w:val="bottom"/>
            <w:shd w:val="clear" w:color="auto" w:fill="CFF0FC"/>
          </w:tcPr>
          <w:p>
            <w:pPr>
              <w:jc w:val="center"/>
              <w:ind w:left="58"/>
              <w:spacing w:after="0"/>
              <w:rPr>
                <w:sz w:val="20"/>
                <w:szCs w:val="20"/>
                <w:color w:val="auto"/>
              </w:rPr>
            </w:pPr>
            <w:r>
              <w:rPr>
                <w:rFonts w:ascii="Arial" w:cs="Arial" w:eastAsia="Arial" w:hAnsi="Arial"/>
                <w:sz w:val="18"/>
                <w:szCs w:val="18"/>
                <w:color w:val="auto"/>
                <w:w w:val="87"/>
              </w:rPr>
              <w:t>$ 350,000</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Series F (b)</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Fixed-to-Floating Rate Non-cumulative Perpetual Preferred</w:t>
            </w:r>
          </w:p>
        </w:tc>
        <w:tc>
          <w:tcPr>
            <w:tcW w:w="9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$10,000 liquidation preference per share</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50,000</w:t>
            </w:r>
          </w:p>
        </w:tc>
        <w:tc>
          <w:tcPr>
            <w:tcW w:w="880" w:type="dxa"/>
            <w:vAlign w:val="bottom"/>
            <w:shd w:val="clear" w:color="auto" w:fill="CFF0FC"/>
          </w:tcPr>
          <w:p>
            <w:pPr>
              <w:jc w:val="center"/>
              <w:ind w:left="58"/>
              <w:spacing w:after="0"/>
              <w:rPr>
                <w:sz w:val="20"/>
                <w:szCs w:val="20"/>
                <w:color w:val="auto"/>
              </w:rPr>
            </w:pPr>
            <w:r>
              <w:rPr>
                <w:rFonts w:ascii="Arial" w:cs="Arial" w:eastAsia="Arial" w:hAnsi="Arial"/>
                <w:sz w:val="18"/>
                <w:szCs w:val="18"/>
                <w:color w:val="auto"/>
                <w:w w:val="87"/>
              </w:rPr>
              <w:t>$ 500,000</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Series G (c)</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Fixed-Rate Reset Non-cumulative Perpetual Preferred Stock,</w:t>
            </w:r>
          </w:p>
        </w:tc>
        <w:tc>
          <w:tcPr>
            <w:tcW w:w="9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40,000</w:t>
            </w:r>
          </w:p>
        </w:tc>
        <w:tc>
          <w:tcPr>
            <w:tcW w:w="880" w:type="dxa"/>
            <w:vAlign w:val="bottom"/>
            <w:shd w:val="clear" w:color="auto" w:fill="CFF0FC"/>
          </w:tcPr>
          <w:p>
            <w:pPr>
              <w:jc w:val="center"/>
              <w:ind w:left="58"/>
              <w:spacing w:after="0"/>
              <w:rPr>
                <w:sz w:val="20"/>
                <w:szCs w:val="20"/>
                <w:color w:val="auto"/>
              </w:rPr>
            </w:pPr>
            <w:r>
              <w:rPr>
                <w:rFonts w:ascii="Arial" w:cs="Arial" w:eastAsia="Arial" w:hAnsi="Arial"/>
                <w:sz w:val="18"/>
                <w:szCs w:val="18"/>
                <w:color w:val="auto"/>
                <w:w w:val="87"/>
              </w:rPr>
              <w:t>$ 400,000</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Series I (d)</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Fixed-Rate Reset Non-cumulative Perpetual Preferred Stock,</w:t>
            </w: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4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50,000</w:t>
            </w:r>
          </w:p>
        </w:tc>
        <w:tc>
          <w:tcPr>
            <w:tcW w:w="880" w:type="dxa"/>
            <w:vAlign w:val="bottom"/>
          </w:tcPr>
          <w:p>
            <w:pPr>
              <w:jc w:val="center"/>
              <w:ind w:left="58"/>
              <w:spacing w:after="0"/>
              <w:rPr>
                <w:sz w:val="20"/>
                <w:szCs w:val="20"/>
                <w:color w:val="auto"/>
              </w:rPr>
            </w:pPr>
            <w:r>
              <w:rPr>
                <w:rFonts w:ascii="Arial" w:cs="Arial" w:eastAsia="Arial" w:hAnsi="Arial"/>
                <w:sz w:val="18"/>
                <w:szCs w:val="18"/>
                <w:color w:val="auto"/>
                <w:w w:val="87"/>
              </w:rPr>
              <w:t>$ 500,000</w:t>
            </w:r>
          </w:p>
        </w:tc>
        <w:tc>
          <w:tcPr>
            <w:tcW w:w="300" w:type="dxa"/>
            <w:vAlign w:val="bottom"/>
          </w:tcPr>
          <w:p>
            <w:pPr>
              <w:spacing w:after="0"/>
              <w:rPr>
                <w:sz w:val="19"/>
                <w:szCs w:val="19"/>
                <w:color w:val="auto"/>
              </w:rPr>
            </w:pPr>
          </w:p>
        </w:tc>
        <w:tc>
          <w:tcPr>
            <w:tcW w:w="92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jc w:val="both"/>
        <w:ind w:left="500" w:right="320" w:hanging="492"/>
        <w:spacing w:after="0" w:line="221" w:lineRule="auto"/>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jc w:val="both"/>
        <w:ind w:left="500" w:right="300" w:hanging="492"/>
        <w:spacing w:after="0" w:line="221" w:lineRule="auto"/>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ind w:left="460" w:hanging="452"/>
        <w:spacing w:after="0" w:line="221" w:lineRule="auto"/>
        <w:tabs>
          <w:tab w:leader="none" w:pos="4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5.0% through July 31, 2024 and thereafter will be paid semiannually at a rate of the five-year U.S. Treasury rate plus</w:t>
      </w:r>
    </w:p>
    <w:p>
      <w:pPr>
        <w:ind w:left="460" w:right="60"/>
        <w:spacing w:after="0" w:line="221" w:lineRule="auto"/>
        <w:rPr>
          <w:rFonts w:ascii="Arial" w:cs="Arial" w:eastAsia="Arial" w:hAnsi="Arial"/>
          <w:sz w:val="14"/>
          <w:szCs w:val="14"/>
          <w:i w:val="1"/>
          <w:iCs w:val="1"/>
          <w:color w:val="auto"/>
        </w:rPr>
      </w:pPr>
      <w:r>
        <w:rPr>
          <w:rFonts w:ascii="Arial" w:cs="Arial" w:eastAsia="Arial" w:hAnsi="Arial"/>
          <w:sz w:val="14"/>
          <w:szCs w:val="14"/>
          <w:i w:val="1"/>
          <w:iCs w:val="1"/>
          <w:color w:val="auto"/>
        </w:rPr>
        <w:t>3.174%. The shares are redeemable in whole or in part on or after August 1, 2024. Notwithstanding M&amp;T’s option to redeem the shares, if an event occurs such that the shares no longer qualify as Tier 1 capital, M&amp;T may redeem all of the shares within 90 days following that occurrence.</w:t>
      </w:r>
    </w:p>
    <w:p>
      <w:pPr>
        <w:ind w:left="460" w:hanging="452"/>
        <w:spacing w:after="0"/>
        <w:tabs>
          <w:tab w:leader="none" w:pos="46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Dividends, if declared, are paid semi-annually at a rate of 3.5% through August 31, 2026 and thereafter will be paid semiannually at a rate of the five-year U.S. Treasury rate plus</w:t>
      </w:r>
    </w:p>
    <w:p>
      <w:pPr>
        <w:ind w:left="460" w:right="280"/>
        <w:spacing w:after="0" w:line="237" w:lineRule="auto"/>
        <w:rPr>
          <w:rFonts w:ascii="Arial" w:cs="Arial" w:eastAsia="Arial" w:hAnsi="Arial"/>
          <w:sz w:val="13"/>
          <w:szCs w:val="13"/>
          <w:i w:val="1"/>
          <w:iCs w:val="1"/>
          <w:color w:val="auto"/>
        </w:rPr>
      </w:pPr>
      <w:r>
        <w:rPr>
          <w:rFonts w:ascii="Arial" w:cs="Arial" w:eastAsia="Arial" w:hAnsi="Arial"/>
          <w:sz w:val="14"/>
          <w:szCs w:val="14"/>
          <w:i w:val="1"/>
          <w:iCs w:val="1"/>
          <w:color w:val="auto"/>
        </w:rPr>
        <w:t>2.679%. The shares are redeemable in whole or in part on or after September 1, 2026. Notwithstanding M&amp;T’s option to redeem the shares, if an event occurs such that the shares no longer qualify as Tier 1 capital, M&amp;T may redeem all of the shares within 90 days following that occurrence.</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Revenue from contracts with customers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Revenue from contracts with customers, continued</w:t>
      </w:r>
    </w:p>
    <w:p>
      <w:pPr>
        <w:spacing w:after="0" w:line="116"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2021 and December 31, 2020, the Company had $65 million and $67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September 30, 2021 and December 31, 2020, the Company had deferred revenue of $41 million and $42 million, respectively, related to the sources in the accompanying tables recorded in accrued interest and other liabilities in the consolidated balance sheet.</w:t>
      </w:r>
    </w:p>
    <w:p>
      <w:pPr>
        <w:spacing w:after="0" w:line="56"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following tables summarize sources of the Company’s noninterest income during the three-month and nine-month periods ended September 30, 2021 and 2020 that are subject to the noted accounting guidance.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Business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Discretionary</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Residential</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Banking</w:t>
            </w: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Banking</w:t>
            </w:r>
          </w:p>
        </w:tc>
        <w:tc>
          <w:tcPr>
            <w:tcW w:w="2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Banking</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560" w:type="dxa"/>
            <w:vAlign w:val="bottom"/>
            <w:tcBorders>
              <w:top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$ 14,205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25,054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2,977</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61,696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105,426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156,876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156,876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640" w:type="dxa"/>
            <w:vAlign w:val="bottom"/>
          </w:tcPr>
          <w:p>
            <w:pPr>
              <w:jc w:val="right"/>
              <w:spacing w:after="0"/>
              <w:rPr>
                <w:sz w:val="20"/>
                <w:szCs w:val="20"/>
                <w:color w:val="auto"/>
              </w:rPr>
            </w:pPr>
            <w:r>
              <w:rPr>
                <w:rFonts w:ascii="Arial" w:cs="Arial" w:eastAsia="Arial" w:hAnsi="Arial"/>
                <w:sz w:val="16"/>
                <w:szCs w:val="16"/>
                <w:color w:val="auto"/>
              </w:rPr>
              <w:t>20,510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14,376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14,970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878</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5,912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1,879</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2,180</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1,501</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5,674</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8,311</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$ 28,581</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41,903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6,035</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1,501</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73,262</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187,329</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338,894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560" w:type="dxa"/>
            <w:vAlign w:val="bottom"/>
            <w:tcBorders>
              <w:top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$ 11,527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2,347</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53,379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149,936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149,937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11,602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10,533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10,785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492</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4,159</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2,940</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5,994</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10,212</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$ 22,060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36,542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3,768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1,127</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63,532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172,721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299,955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Revenue from contracts with customers, continued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Business</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Discretionary</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All Other</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Banking</w:t>
            </w: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260" w:type="dxa"/>
            <w:vAlign w:val="bottom"/>
          </w:tcPr>
          <w:p>
            <w:pPr>
              <w:spacing w:after="0"/>
              <w:rPr>
                <w:sz w:val="14"/>
                <w:szCs w:val="14"/>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Portfolio</w:t>
            </w: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$ 39,644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74,304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169,734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4,271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$ 296,721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475,889</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43,868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37,570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39,812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15,741</w:t>
            </w: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(207)</w:t>
            </w:r>
          </w:p>
        </w:tc>
        <w:tc>
          <w:tcPr>
            <w:tcW w:w="660" w:type="dxa"/>
            <w:vAlign w:val="bottom"/>
          </w:tcPr>
          <w:p>
            <w:pPr>
              <w:jc w:val="right"/>
              <w:spacing w:after="0"/>
              <w:rPr>
                <w:sz w:val="20"/>
                <w:szCs w:val="20"/>
                <w:color w:val="auto"/>
              </w:rPr>
            </w:pPr>
            <w:r>
              <w:rPr>
                <w:rFonts w:ascii="Arial" w:cs="Arial" w:eastAsia="Arial" w:hAnsi="Arial"/>
                <w:sz w:val="16"/>
                <w:szCs w:val="16"/>
                <w:color w:val="auto"/>
              </w:rPr>
              <w:t>94,739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3,890</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5,197</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4,670</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17,493</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30,456</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$ 77,214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118,006</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15,788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1,043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4,670</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202,968</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554,277</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$ 973,966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48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32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$ 38,048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69,487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7,724</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155,073</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4,639</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$ 274,971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450,110</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35,194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29,023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32,992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9,880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5,913</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2,960</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1,212</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3,101</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15,142</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32,149</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$ 67,089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108,834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12,404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1,212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3,101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180,095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522,353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$ 895,088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Pension plans and other postretirement benefits</w:t>
      </w:r>
    </w:p>
    <w:p>
      <w:pPr>
        <w:spacing w:after="0" w:line="11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Pension</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Benefits</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60" w:type="dxa"/>
            <w:vAlign w:val="bottom"/>
            <w:gridSpan w:val="7"/>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Three Months Ended September 30</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15,468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17,855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(35,862)</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(31,378)</w:t>
            </w:r>
          </w:p>
        </w:tc>
        <w:tc>
          <w:tcPr>
            <w:tcW w:w="13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 (gain)</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13,950</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Pension</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Benefits</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60" w:type="dxa"/>
            <w:vAlign w:val="bottom"/>
            <w:gridSpan w:val="7"/>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380" w:type="dxa"/>
            <w:vAlign w:val="bottom"/>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15,385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14,958</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53,565</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8"/>
              <w:spacing w:after="0"/>
              <w:rPr>
                <w:sz w:val="20"/>
                <w:szCs w:val="20"/>
                <w:color w:val="auto"/>
              </w:rPr>
            </w:pPr>
            <w:r>
              <w:rPr>
                <w:rFonts w:ascii="Arial" w:cs="Arial" w:eastAsia="Arial" w:hAnsi="Arial"/>
                <w:sz w:val="18"/>
                <w:szCs w:val="18"/>
                <w:color w:val="auto"/>
                <w:w w:val="95"/>
              </w:rPr>
              <w:t>(107,586)</w:t>
            </w:r>
          </w:p>
        </w:tc>
        <w:tc>
          <w:tcPr>
            <w:tcW w:w="1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(94,134)</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(3,554)</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66,763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42,998</w:t>
            </w:r>
          </w:p>
        </w:tc>
        <w:tc>
          <w:tcPr>
            <w:tcW w:w="3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cost (benefit)</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$23 million for each of the three-month periods ended September 30, 2021 and 2020 and $81 million and $73 million for the nine-month periods ended September 30, 2021 and 2020, respectively, and are included in salaries and employee benefits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80"/>
        </w:trPr>
        <w:tc>
          <w:tcPr>
            <w:tcW w:w="5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4"/>
              </w:rPr>
              <w:t>(In thousands, except per share)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67"/>
        </w:trPr>
        <w:tc>
          <w:tcPr>
            <w:tcW w:w="5120" w:type="dxa"/>
            <w:vAlign w:val="bottom"/>
          </w:tcPr>
          <w:p>
            <w:pPr>
              <w:spacing w:after="0"/>
              <w:rPr>
                <w:sz w:val="20"/>
                <w:szCs w:val="20"/>
                <w:color w:val="auto"/>
              </w:rPr>
            </w:pPr>
            <w:r>
              <w:rPr>
                <w:rFonts w:ascii="Arial" w:cs="Arial" w:eastAsia="Arial" w:hAnsi="Arial"/>
                <w:sz w:val="18"/>
                <w:szCs w:val="18"/>
                <w:color w:val="auto"/>
              </w:rPr>
              <w:t>Income available to common shareholders: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495,460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372,136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1,400,778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882,012</w:t>
            </w:r>
          </w:p>
        </w:tc>
        <w:tc>
          <w:tcPr>
            <w:tcW w:w="8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Less: Preferred stock dividends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(17,050)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(17,050)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(51,178)</w:t>
            </w:r>
          </w:p>
        </w:tc>
      </w:tr>
      <w:tr>
        <w:trPr>
          <w:trHeight w:val="223"/>
        </w:trPr>
        <w:tc>
          <w:tcPr>
            <w:tcW w:w="51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available to common equity</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478,410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355,086</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1,349,628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830,834</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5120" w:type="dxa"/>
            <w:vAlign w:val="bottom"/>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compensation awards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(2,452)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(1,687)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(3,631)</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475,958</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353,399</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1,342,805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827,203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outstanding (including common stock</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issuable) and unvested stock-based compensation</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w:t>
            </w: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129,580</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129,061</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129,529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129,518</w:t>
            </w:r>
          </w:p>
        </w:tc>
        <w:tc>
          <w:tcPr>
            <w:tcW w:w="80" w:type="dxa"/>
            <w:vAlign w:val="bottom"/>
            <w:shd w:val="clear" w:color="auto" w:fill="CFF0FC"/>
          </w:tcPr>
          <w:p>
            <w:pPr>
              <w:spacing w:after="0"/>
              <w:rPr>
                <w:sz w:val="20"/>
                <w:szCs w:val="20"/>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(891)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(776)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128,689</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128,285</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128,750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FF0FC"/>
          </w:tcPr>
          <w:p>
            <w:pPr>
              <w:spacing w:after="0"/>
              <w:rPr>
                <w:sz w:val="19"/>
                <w:szCs w:val="19"/>
                <w:color w:val="auto"/>
              </w:rPr>
            </w:pPr>
          </w:p>
        </w:tc>
      </w:tr>
    </w:tbl>
    <w:p>
      <w:pPr>
        <w:spacing w:after="0" w:line="39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tbl>
      <w:tblPr>
        <w:tblLayout w:type="fixed"/>
        <w:tblInd w:w="0" w:type="dxa"/>
        <w:tblCellMar>
          <w:top w:w="0" w:type="dxa"/>
          <w:left w:w="0" w:type="dxa"/>
          <w:bottom w:w="0" w:type="dxa"/>
          <w:right w:w="0" w:type="dxa"/>
        </w:tblCellMar>
      </w:tblPr>
      <w:tr>
        <w:trPr>
          <w:trHeight w:val="154"/>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jc w:val="right"/>
              <w:ind w:right="540"/>
              <w:spacing w:after="0" w:line="154" w:lineRule="exact"/>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5"/>
          </w:tcPr>
          <w:p>
            <w:pPr>
              <w:jc w:val="right"/>
              <w:ind w:right="440"/>
              <w:spacing w:after="0" w:line="154" w:lineRule="exact"/>
              <w:rPr>
                <w:sz w:val="20"/>
                <w:szCs w:val="20"/>
                <w:color w:val="auto"/>
              </w:rPr>
            </w:pPr>
            <w:r>
              <w:rPr>
                <w:rFonts w:ascii="Arial" w:cs="Arial" w:eastAsia="Arial" w:hAnsi="Arial"/>
                <w:sz w:val="14"/>
                <w:szCs w:val="14"/>
                <w:b w:val="1"/>
                <w:bCs w:val="1"/>
                <w:color w:val="auto"/>
              </w:rPr>
              <w:t>Nine Months Ended</w:t>
            </w:r>
          </w:p>
        </w:tc>
      </w:tr>
      <w:tr>
        <w:trPr>
          <w:trHeight w:val="162"/>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80"/>
        </w:trPr>
        <w:tc>
          <w:tcPr>
            <w:tcW w:w="6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(In thousands, except per share)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5"/>
        </w:trPr>
        <w:tc>
          <w:tcPr>
            <w:tcW w:w="600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478,410</w:t>
            </w:r>
          </w:p>
        </w:tc>
        <w:tc>
          <w:tcPr>
            <w:tcW w:w="1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355,086</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1,349,628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830,834</w:t>
            </w:r>
          </w:p>
        </w:tc>
        <w:tc>
          <w:tcPr>
            <w:tcW w:w="100" w:type="dxa"/>
            <w:vAlign w:val="bottom"/>
          </w:tcPr>
          <w:p>
            <w:pPr>
              <w:spacing w:after="0"/>
              <w:rPr>
                <w:sz w:val="24"/>
                <w:szCs w:val="24"/>
                <w:color w:val="auto"/>
              </w:rPr>
            </w:pPr>
          </w:p>
        </w:tc>
      </w:tr>
      <w:tr>
        <w:trPr>
          <w:trHeight w:val="215"/>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(2,449)</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(1,686)</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(6,816)</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(3,630)</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475,961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353,400</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1,342,812</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827,204</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8"/>
                <w:szCs w:val="18"/>
                <w:color w:val="auto"/>
              </w:rPr>
              <w:t>Common and unvested stock-based compensation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00" w:type="dxa"/>
            <w:vAlign w:val="bottom"/>
          </w:tcPr>
          <w:p>
            <w:pPr>
              <w:ind w:left="38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129,580</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129,061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129,529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129,518</w:t>
            </w:r>
          </w:p>
        </w:tc>
        <w:tc>
          <w:tcPr>
            <w:tcW w:w="100" w:type="dxa"/>
            <w:vAlign w:val="bottom"/>
          </w:tcPr>
          <w:p>
            <w:pPr>
              <w:spacing w:after="0"/>
              <w:rPr>
                <w:sz w:val="20"/>
                <w:szCs w:val="20"/>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(891)</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(776)</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(768)</w:t>
            </w:r>
          </w:p>
        </w:tc>
      </w:tr>
      <w:tr>
        <w:trPr>
          <w:trHeight w:val="215"/>
        </w:trPr>
        <w:tc>
          <w:tcPr>
            <w:tcW w:w="6000" w:type="dxa"/>
            <w:vAlign w:val="bottom"/>
          </w:tcPr>
          <w:p>
            <w:pPr>
              <w:ind w:left="260"/>
              <w:spacing w:after="0"/>
              <w:rPr>
                <w:sz w:val="20"/>
                <w:szCs w:val="20"/>
                <w:color w:val="auto"/>
              </w:rPr>
            </w:pPr>
            <w:r>
              <w:rPr>
                <w:rFonts w:ascii="Arial" w:cs="Arial" w:eastAsia="Arial" w:hAnsi="Arial"/>
                <w:sz w:val="18"/>
                <w:szCs w:val="18"/>
                <w:color w:val="auto"/>
              </w:rPr>
              <w:t>Plus: Incremental shares from assumed conversion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00" w:type="dxa"/>
            <w:vAlign w:val="bottom"/>
          </w:tcPr>
          <w:p>
            <w:pPr>
              <w:ind w:left="380"/>
              <w:spacing w:after="0"/>
              <w:rPr>
                <w:sz w:val="20"/>
                <w:szCs w:val="20"/>
                <w:color w:val="auto"/>
              </w:rPr>
            </w:pPr>
            <w:r>
              <w:rPr>
                <w:rFonts w:ascii="Arial" w:cs="Arial" w:eastAsia="Arial" w:hAnsi="Arial"/>
                <w:sz w:val="18"/>
                <w:szCs w:val="18"/>
                <w:color w:val="auto"/>
              </w:rPr>
              <w:t>purchase common stock</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128,844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128,355</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128,786</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128,813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19"/>
                <w:szCs w:val="19"/>
                <w:color w:val="auto"/>
              </w:rPr>
            </w:pPr>
          </w:p>
        </w:tc>
      </w:tr>
    </w:tbl>
    <w:p>
      <w:pPr>
        <w:spacing w:after="0" w:line="23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Stock-based compensation awards to purchase common stock of M&amp;T representing 460,710 and 483,182 common shares during the three-month periods ended September 30, 2021 and 2020, respectively, and 461,792 and 477,144 common shares during the nine-month periods ended September 30, 2021 and 2020, respectively, were not included in the computations of diluted earnings per common share because the effect on those periods would have been antidilutive.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Comprehensive income</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Defined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79"/>
              <w:spacing w:after="0" w:line="142" w:lineRule="exact"/>
              <w:rPr>
                <w:sz w:val="20"/>
                <w:szCs w:val="20"/>
                <w:color w:val="auto"/>
              </w:rPr>
            </w:pPr>
            <w:r>
              <w:rPr>
                <w:rFonts w:ascii="Arial" w:cs="Arial" w:eastAsia="Arial" w:hAnsi="Arial"/>
                <w:sz w:val="13"/>
                <w:szCs w:val="13"/>
                <w:b w:val="1"/>
                <w:bCs w:val="1"/>
                <w:color w:val="auto"/>
                <w:w w:val="96"/>
              </w:rPr>
              <w:t>Total</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0"/>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Benefit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79"/>
              <w:spacing w:after="0"/>
              <w:rPr>
                <w:sz w:val="20"/>
                <w:szCs w:val="20"/>
                <w:color w:val="auto"/>
              </w:rPr>
            </w:pPr>
            <w:r>
              <w:rPr>
                <w:rFonts w:ascii="Arial" w:cs="Arial" w:eastAsia="Arial" w:hAnsi="Arial"/>
                <w:sz w:val="13"/>
                <w:szCs w:val="13"/>
                <w:b w:val="1"/>
                <w:bCs w:val="1"/>
                <w:color w:val="auto"/>
                <w:w w:val="93"/>
              </w:rPr>
              <w:t>Amount</w:t>
            </w:r>
          </w:p>
        </w:tc>
        <w:tc>
          <w:tcPr>
            <w:tcW w:w="3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3"/>
              </w:rPr>
              <w:t>Securities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Plans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860" w:type="dxa"/>
            <w:vAlign w:val="bottom"/>
            <w:gridSpan w:val="3"/>
          </w:tcPr>
          <w:p>
            <w:pPr>
              <w:jc w:val="center"/>
              <w:ind w:right="79"/>
              <w:spacing w:after="0"/>
              <w:rPr>
                <w:sz w:val="20"/>
                <w:szCs w:val="20"/>
                <w:color w:val="auto"/>
              </w:rPr>
            </w:pPr>
            <w:r>
              <w:rPr>
                <w:rFonts w:ascii="Arial" w:cs="Arial" w:eastAsia="Arial" w:hAnsi="Arial"/>
                <w:sz w:val="13"/>
                <w:szCs w:val="13"/>
                <w:b w:val="1"/>
                <w:bCs w:val="1"/>
                <w:color w:val="auto"/>
                <w:w w:val="92"/>
              </w:rPr>
              <w:t>Before Tax</w:t>
            </w:r>
          </w:p>
        </w:tc>
        <w:tc>
          <w:tcPr>
            <w:tcW w:w="36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Tax</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3"/>
                <w:szCs w:val="13"/>
                <w:b w:val="1"/>
                <w:bCs w:val="1"/>
                <w:color w:val="auto"/>
              </w:rPr>
              <w:t>Net</w:t>
            </w:r>
          </w:p>
        </w:tc>
      </w:tr>
      <w:tr>
        <w:trPr>
          <w:trHeight w:val="168"/>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5"/>
          </w:tcPr>
          <w:p>
            <w:pPr>
              <w:jc w:val="right"/>
              <w:ind w:right="339"/>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311"/>
        </w:trPr>
        <w:tc>
          <w:tcPr>
            <w:tcW w:w="4580" w:type="dxa"/>
            <w:vAlign w:val="bottom"/>
          </w:tcPr>
          <w:p>
            <w:pPr>
              <w:spacing w:after="0"/>
              <w:rPr>
                <w:sz w:val="20"/>
                <w:szCs w:val="20"/>
                <w:color w:val="auto"/>
              </w:rPr>
            </w:pPr>
            <w:r>
              <w:rPr>
                <w:rFonts w:ascii="Arial" w:cs="Arial" w:eastAsia="Arial" w:hAnsi="Arial"/>
                <w:sz w:val="14"/>
                <w:szCs w:val="14"/>
                <w:color w:val="auto"/>
              </w:rPr>
              <w:t>Balance — January 1, 2021</w:t>
            </w:r>
          </w:p>
        </w:tc>
        <w:tc>
          <w:tcPr>
            <w:tcW w:w="1160" w:type="dxa"/>
            <w:vAlign w:val="bottom"/>
            <w:gridSpan w:val="2"/>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195,386</w:t>
            </w:r>
          </w:p>
        </w:tc>
        <w:tc>
          <w:tcPr>
            <w:tcW w:w="1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(650,087)</w:t>
            </w:r>
          </w:p>
        </w:tc>
        <w:tc>
          <w:tcPr>
            <w:tcW w:w="660" w:type="dxa"/>
            <w:vAlign w:val="bottom"/>
          </w:tcPr>
          <w:p>
            <w:pPr>
              <w:jc w:val="right"/>
              <w:spacing w:after="0"/>
              <w:rPr>
                <w:sz w:val="20"/>
                <w:szCs w:val="20"/>
                <w:color w:val="auto"/>
              </w:rPr>
            </w:pPr>
            <w:r>
              <w:rPr>
                <w:rFonts w:ascii="Arial" w:cs="Arial" w:eastAsia="Arial" w:hAnsi="Arial"/>
                <w:sz w:val="14"/>
                <w:szCs w:val="14"/>
                <w:color w:val="auto"/>
              </w:rPr>
              <w:t>369,558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(85,143)</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22,111</w:t>
            </w:r>
          </w:p>
        </w:tc>
        <w:tc>
          <w:tcPr>
            <w:tcW w:w="140" w:type="dxa"/>
            <w:vAlign w:val="bottom"/>
          </w:tcPr>
          <w:p>
            <w:pPr>
              <w:spacing w:after="0"/>
              <w:rPr>
                <w:sz w:val="24"/>
                <w:szCs w:val="2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(63,032)</w:t>
            </w:r>
          </w:p>
        </w:tc>
      </w:tr>
      <w:tr>
        <w:trPr>
          <w:trHeight w:val="162"/>
        </w:trPr>
        <w:tc>
          <w:tcPr>
            <w:tcW w:w="45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Unrealized holding losses, net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(57,388)</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(57,388)</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(42,264)</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(1,246)</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(1,246)</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(886)</w:t>
            </w: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Unrealized gains on cash flow hedges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4"/>
                <w:szCs w:val="14"/>
                <w:color w:val="auto"/>
              </w:rPr>
            </w:pPr>
          </w:p>
        </w:tc>
      </w:tr>
      <w:tr>
        <w:trPr>
          <w:trHeight w:val="123"/>
        </w:trPr>
        <w:tc>
          <w:tcPr>
            <w:tcW w:w="458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(loss) before</w:t>
            </w:r>
          </w:p>
        </w:tc>
        <w:tc>
          <w:tcPr>
            <w:tcW w:w="10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67"/>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(57,388)</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(57,813)</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(42,543)</w:t>
            </w:r>
          </w:p>
        </w:tc>
      </w:tr>
      <w:tr>
        <w:trPr>
          <w:trHeight w:val="137"/>
        </w:trPr>
        <w:tc>
          <w:tcPr>
            <w:tcW w:w="458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10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58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4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4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held-to-maturity (“HTM”) securities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3,333</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Gains realized in net income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(b)</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(90)</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(66)</w:t>
            </w:r>
          </w:p>
        </w:tc>
      </w:tr>
      <w:tr>
        <w:trPr>
          <w:trHeight w:val="143"/>
        </w:trPr>
        <w:tc>
          <w:tcPr>
            <w:tcW w:w="4580" w:type="dxa"/>
            <w:vAlign w:val="bottom"/>
          </w:tcPr>
          <w:p>
            <w:pPr>
              <w:ind w:left="260"/>
              <w:spacing w:after="0" w:line="143" w:lineRule="exact"/>
              <w:rPr>
                <w:sz w:val="20"/>
                <w:szCs w:val="20"/>
                <w:color w:val="auto"/>
              </w:rPr>
            </w:pPr>
            <w:r>
              <w:rPr>
                <w:rFonts w:ascii="Arial" w:cs="Arial" w:eastAsia="Arial" w:hAnsi="Arial"/>
                <w:sz w:val="14"/>
                <w:szCs w:val="14"/>
                <w:color w:val="auto"/>
              </w:rPr>
              <w:t>Net yield adjustment from cash flow hedges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580" w:type="dxa"/>
            <w:vAlign w:val="bottom"/>
          </w:tcPr>
          <w:p>
            <w:pPr>
              <w:ind w:left="360"/>
              <w:spacing w:after="0"/>
              <w:rPr>
                <w:sz w:val="20"/>
                <w:szCs w:val="20"/>
                <w:color w:val="auto"/>
              </w:rPr>
            </w:pPr>
            <w:r>
              <w:rPr>
                <w:rFonts w:ascii="Arial" w:cs="Arial" w:eastAsia="Arial" w:hAnsi="Arial"/>
                <w:sz w:val="14"/>
                <w:szCs w:val="14"/>
                <w:color w:val="auto"/>
              </w:rPr>
              <w:t>currently in effect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(206,713)</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(206,713)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660" w:type="dxa"/>
            <w:vAlign w:val="bottom"/>
          </w:tcPr>
          <w:p>
            <w:pPr>
              <w:jc w:val="right"/>
              <w:spacing w:after="0"/>
              <w:rPr>
                <w:sz w:val="20"/>
                <w:szCs w:val="20"/>
                <w:color w:val="auto"/>
              </w:rPr>
            </w:pPr>
            <w:r>
              <w:rPr>
                <w:rFonts w:ascii="Arial" w:cs="Arial" w:eastAsia="Arial" w:hAnsi="Arial"/>
                <w:sz w:val="14"/>
                <w:szCs w:val="14"/>
                <w:color w:val="auto"/>
              </w:rPr>
              <w:t>53,997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(152,716)</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(3,139)</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(3,139)</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(2,279)</w:t>
            </w: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65,792</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65,792</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(18,031)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47,761</w:t>
            </w:r>
          </w:p>
        </w:tc>
        <w:tc>
          <w:tcPr>
            <w:tcW w:w="120" w:type="dxa"/>
            <w:vAlign w:val="bottom"/>
          </w:tcPr>
          <w:p>
            <w:pPr>
              <w:spacing w:after="0"/>
              <w:rPr>
                <w:sz w:val="14"/>
                <w:szCs w:val="14"/>
                <w:color w:val="auto"/>
              </w:rPr>
            </w:pPr>
          </w:p>
        </w:tc>
      </w:tr>
      <w:tr>
        <w:trPr>
          <w:trHeight w:val="155"/>
        </w:trPr>
        <w:tc>
          <w:tcPr>
            <w:tcW w:w="45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10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(54,063)</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62,653</w:t>
            </w:r>
          </w:p>
        </w:tc>
        <w:tc>
          <w:tcPr>
            <w:tcW w:w="2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(207,228)</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(198,638)</w:t>
            </w:r>
          </w:p>
        </w:tc>
        <w:tc>
          <w:tcPr>
            <w:tcW w:w="10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51,251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(147,387)</w:t>
            </w:r>
          </w:p>
        </w:tc>
        <w:tc>
          <w:tcPr>
            <w:tcW w:w="120" w:type="dxa"/>
            <w:vAlign w:val="bottom"/>
            <w:tcBorders>
              <w:top w:val="single" w:sz="8" w:color="CFF0FC"/>
            </w:tcBorders>
            <w:shd w:val="clear" w:color="auto" w:fill="CFF0FC"/>
          </w:tcPr>
          <w:p>
            <w:pPr>
              <w:spacing w:after="0"/>
              <w:rPr>
                <w:sz w:val="13"/>
                <w:szCs w:val="13"/>
                <w:color w:val="auto"/>
              </w:rPr>
            </w:pPr>
          </w:p>
        </w:tc>
      </w:tr>
      <w:tr>
        <w:trPr>
          <w:trHeight w:val="196"/>
        </w:trPr>
        <w:tc>
          <w:tcPr>
            <w:tcW w:w="45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 September 30, 2021</w:t>
            </w:r>
          </w:p>
        </w:tc>
        <w:tc>
          <w:tcPr>
            <w:tcW w:w="10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141,323</w:t>
            </w:r>
          </w:p>
        </w:tc>
        <w:tc>
          <w:tcPr>
            <w:tcW w:w="1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(587,434)</w:t>
            </w:r>
          </w:p>
        </w:tc>
        <w:tc>
          <w:tcPr>
            <w:tcW w:w="2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162,330</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(283,781</w:t>
            </w:r>
          </w:p>
        </w:tc>
        <w:tc>
          <w:tcPr>
            <w:tcW w:w="100" w:type="dxa"/>
            <w:vAlign w:val="bottom"/>
            <w:tcBorders>
              <w:bottom w:val="single" w:sz="8" w:color="CFF0FC"/>
            </w:tcBorders>
          </w:tcPr>
          <w:p>
            <w:pPr>
              <w:jc w:val="right"/>
              <w:ind w:right="19"/>
              <w:spacing w:after="0"/>
              <w:rPr>
                <w:sz w:val="20"/>
                <w:szCs w:val="20"/>
                <w:color w:val="auto"/>
              </w:rPr>
            </w:pPr>
            <w:r>
              <w:rPr>
                <w:rFonts w:ascii="Arial" w:cs="Arial" w:eastAsia="Arial" w:hAnsi="Arial"/>
                <w:sz w:val="8"/>
                <w:szCs w:val="8"/>
                <w:color w:val="auto"/>
                <w:w w:val="73"/>
              </w:rPr>
              <w:t>)</w:t>
            </w:r>
          </w:p>
        </w:tc>
        <w:tc>
          <w:tcPr>
            <w:tcW w:w="3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73,362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(210,419</w:t>
            </w:r>
          </w:p>
        </w:tc>
        <w:tc>
          <w:tcPr>
            <w:tcW w:w="120" w:type="dxa"/>
            <w:vAlign w:val="bottom"/>
            <w:tcBorders>
              <w:bottom w:val="single" w:sz="8" w:color="CFF0FC"/>
            </w:tcBorders>
          </w:tcPr>
          <w:p>
            <w:pPr>
              <w:jc w:val="right"/>
              <w:ind w:right="39"/>
              <w:spacing w:after="0"/>
              <w:rPr>
                <w:sz w:val="20"/>
                <w:szCs w:val="20"/>
                <w:color w:val="auto"/>
              </w:rPr>
            </w:pPr>
            <w:r>
              <w:rPr>
                <w:rFonts w:ascii="Arial" w:cs="Arial" w:eastAsia="Arial" w:hAnsi="Arial"/>
                <w:sz w:val="8"/>
                <w:szCs w:val="8"/>
                <w:color w:val="auto"/>
                <w:w w:val="73"/>
              </w:rPr>
              <w:t>)</w:t>
            </w:r>
          </w:p>
        </w:tc>
      </w:tr>
      <w:tr>
        <w:trPr>
          <w:trHeight w:val="143"/>
        </w:trPr>
        <w:tc>
          <w:tcPr>
            <w:tcW w:w="45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8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2020</w:t>
            </w:r>
          </w:p>
        </w:tc>
        <w:tc>
          <w:tcPr>
            <w:tcW w:w="1160" w:type="dxa"/>
            <w:vAlign w:val="bottom"/>
            <w:gridSpan w:val="2"/>
            <w:shd w:val="clear" w:color="auto" w:fill="CFF0FC"/>
          </w:tcPr>
          <w:p>
            <w:pPr>
              <w:jc w:val="right"/>
              <w:ind w:right="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50,701</w:t>
            </w:r>
          </w:p>
        </w:tc>
        <w:tc>
          <w:tcPr>
            <w:tcW w:w="10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(464,548)</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(279,959)</w:t>
            </w: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73,279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(206,680)</w:t>
            </w: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holding gains, net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151,777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151,777</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(39,277)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112,500</w:t>
            </w:r>
          </w:p>
        </w:tc>
        <w:tc>
          <w:tcPr>
            <w:tcW w:w="120" w:type="dxa"/>
            <w:vAlign w:val="bottom"/>
            <w:shd w:val="clear" w:color="auto" w:fill="CFF0FC"/>
          </w:tcPr>
          <w:p>
            <w:pPr>
              <w:spacing w:after="0"/>
              <w:rPr>
                <w:sz w:val="14"/>
                <w:szCs w:val="14"/>
                <w:color w:val="auto"/>
              </w:rPr>
            </w:pP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(222)</w:t>
            </w:r>
          </w:p>
        </w:tc>
        <w:tc>
          <w:tcPr>
            <w:tcW w:w="3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(261)</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gains on cash flow hedges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508,226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508,226</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(131,504)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376,722</w:t>
            </w:r>
          </w:p>
        </w:tc>
        <w:tc>
          <w:tcPr>
            <w:tcW w:w="120" w:type="dxa"/>
            <w:vAlign w:val="bottom"/>
            <w:shd w:val="clear" w:color="auto" w:fill="CFF0FC"/>
          </w:tcPr>
          <w:p>
            <w:pPr>
              <w:spacing w:after="0"/>
              <w:rPr>
                <w:sz w:val="14"/>
                <w:szCs w:val="14"/>
                <w:color w:val="auto"/>
              </w:rPr>
            </w:pPr>
          </w:p>
        </w:tc>
      </w:tr>
      <w:tr>
        <w:trPr>
          <w:trHeight w:val="123"/>
        </w:trPr>
        <w:tc>
          <w:tcPr>
            <w:tcW w:w="4580" w:type="dxa"/>
            <w:vAlign w:val="bottom"/>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10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458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151,777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508,004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659,781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(170,820)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488,961</w:t>
            </w:r>
          </w:p>
        </w:tc>
        <w:tc>
          <w:tcPr>
            <w:tcW w:w="120" w:type="dxa"/>
            <w:vAlign w:val="bottom"/>
          </w:tcPr>
          <w:p>
            <w:pPr>
              <w:spacing w:after="0"/>
              <w:rPr>
                <w:sz w:val="14"/>
                <w:szCs w:val="14"/>
                <w:color w:val="auto"/>
              </w:rPr>
            </w:pPr>
          </w:p>
        </w:tc>
      </w:tr>
      <w:tr>
        <w:trPr>
          <w:trHeight w:val="137"/>
        </w:trPr>
        <w:tc>
          <w:tcPr>
            <w:tcW w:w="45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10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67"/>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4580" w:type="dxa"/>
            <w:vAlign w:val="bottom"/>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580" w:type="dxa"/>
            <w:vAlign w:val="bottom"/>
          </w:tcPr>
          <w:p>
            <w:pPr>
              <w:ind w:left="360"/>
              <w:spacing w:after="0"/>
              <w:rPr>
                <w:sz w:val="20"/>
                <w:szCs w:val="20"/>
                <w:color w:val="auto"/>
              </w:rPr>
            </w:pPr>
            <w:r>
              <w:rPr>
                <w:rFonts w:ascii="Arial" w:cs="Arial" w:eastAsia="Arial" w:hAnsi="Arial"/>
                <w:sz w:val="14"/>
                <w:szCs w:val="14"/>
                <w:color w:val="auto"/>
              </w:rPr>
              <w:t>HTM securities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2,678</w:t>
            </w:r>
          </w:p>
        </w:tc>
        <w:tc>
          <w:tcPr>
            <w:tcW w:w="100" w:type="dxa"/>
            <w:vAlign w:val="bottom"/>
          </w:tcPr>
          <w:p>
            <w:pPr>
              <w:spacing w:after="0"/>
              <w:rPr>
                <w:sz w:val="14"/>
                <w:szCs w:val="14"/>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4"/>
                <w:szCs w:val="14"/>
                <w:color w:val="auto"/>
              </w:rPr>
            </w:pP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Gains realized in net income</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(3)</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(b)</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w:t>
            </w: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(94)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(68)</w:t>
            </w:r>
          </w:p>
        </w:tc>
      </w:tr>
      <w:tr>
        <w:trPr>
          <w:trHeight w:val="143"/>
        </w:trPr>
        <w:tc>
          <w:tcPr>
            <w:tcW w:w="4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yield adjustment from cash flow hedges</w:t>
            </w: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4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currently in effect</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(183,598)</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(183,598)</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(136,092)</w:t>
            </w:r>
          </w:p>
        </w:tc>
      </w:tr>
      <w:tr>
        <w:trPr>
          <w:trHeight w:val="162"/>
        </w:trPr>
        <w:tc>
          <w:tcPr>
            <w:tcW w:w="4580" w:type="dxa"/>
            <w:vAlign w:val="bottom"/>
          </w:tcPr>
          <w:p>
            <w:pPr>
              <w:ind w:left="260"/>
              <w:spacing w:after="0"/>
              <w:rPr>
                <w:sz w:val="20"/>
                <w:szCs w:val="20"/>
                <w:color w:val="auto"/>
              </w:rPr>
            </w:pPr>
            <w:r>
              <w:rPr>
                <w:rFonts w:ascii="Arial" w:cs="Arial" w:eastAsia="Arial" w:hAnsi="Arial"/>
                <w:sz w:val="14"/>
                <w:szCs w:val="14"/>
                <w:color w:val="auto"/>
              </w:rPr>
              <w:t>Amortization of prior service credit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(3,140)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(3,140)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660" w:type="dxa"/>
            <w:vAlign w:val="bottom"/>
          </w:tcPr>
          <w:p>
            <w:pPr>
              <w:jc w:val="right"/>
              <w:spacing w:after="0"/>
              <w:rPr>
                <w:sz w:val="20"/>
                <w:szCs w:val="20"/>
                <w:color w:val="auto"/>
              </w:rPr>
            </w:pPr>
            <w:r>
              <w:rPr>
                <w:rFonts w:ascii="Arial" w:cs="Arial" w:eastAsia="Arial" w:hAnsi="Arial"/>
                <w:sz w:val="14"/>
                <w:szCs w:val="14"/>
                <w:color w:val="auto"/>
              </w:rPr>
              <w:t>927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(2,213)</w:t>
            </w:r>
          </w:p>
        </w:tc>
      </w:tr>
      <w:tr>
        <w:trPr>
          <w:trHeight w:val="162"/>
        </w:trPr>
        <w:tc>
          <w:tcPr>
            <w:tcW w:w="4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actuarial losses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42,080</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42,080</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(12,436)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29,644</w:t>
            </w:r>
          </w:p>
        </w:tc>
        <w:tc>
          <w:tcPr>
            <w:tcW w:w="120" w:type="dxa"/>
            <w:vAlign w:val="bottom"/>
            <w:shd w:val="clear" w:color="auto" w:fill="CFF0FC"/>
          </w:tcPr>
          <w:p>
            <w:pPr>
              <w:spacing w:after="0"/>
              <w:rPr>
                <w:sz w:val="14"/>
                <w:szCs w:val="14"/>
                <w:color w:val="auto"/>
              </w:rPr>
            </w:pPr>
          </w:p>
        </w:tc>
      </w:tr>
      <w:tr>
        <w:trPr>
          <w:trHeight w:val="155"/>
        </w:trPr>
        <w:tc>
          <w:tcPr>
            <w:tcW w:w="45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10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154,452</w:t>
            </w:r>
          </w:p>
        </w:tc>
        <w:tc>
          <w:tcPr>
            <w:tcW w:w="10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38,940</w:t>
            </w:r>
          </w:p>
        </w:tc>
        <w:tc>
          <w:tcPr>
            <w:tcW w:w="2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324,312</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517,704</w:t>
            </w: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(135,521)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382,183</w:t>
            </w:r>
          </w:p>
        </w:tc>
        <w:tc>
          <w:tcPr>
            <w:tcW w:w="120" w:type="dxa"/>
            <w:vAlign w:val="bottom"/>
            <w:tcBorders>
              <w:bottom w:val="single" w:sz="8" w:color="CFF0FC"/>
            </w:tcBorders>
          </w:tcPr>
          <w:p>
            <w:pPr>
              <w:spacing w:after="0"/>
              <w:rPr>
                <w:sz w:val="13"/>
                <w:szCs w:val="13"/>
                <w:color w:val="auto"/>
              </w:rPr>
            </w:pPr>
          </w:p>
        </w:tc>
      </w:tr>
      <w:tr>
        <w:trPr>
          <w:trHeight w:val="156"/>
        </w:trPr>
        <w:tc>
          <w:tcPr>
            <w:tcW w:w="45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2020</w:t>
            </w:r>
          </w:p>
        </w:tc>
        <w:tc>
          <w:tcPr>
            <w:tcW w:w="10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205,153</w:t>
            </w: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(425,608)</w:t>
            </w:r>
          </w:p>
        </w:tc>
        <w:tc>
          <w:tcPr>
            <w:tcW w:w="24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458,200</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237,745</w:t>
            </w: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(62,242)</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175,503</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00" w:hanging="492"/>
        <w:spacing w:after="0" w:line="221" w:lineRule="auto"/>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00" w:hanging="492"/>
        <w:spacing w:after="0" w:line="221" w:lineRule="auto"/>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00" w:hanging="492"/>
        <w:spacing w:after="0"/>
        <w:tabs>
          <w:tab w:leader="none" w:pos="5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-388620</wp:posOffset>
            </wp:positionV>
            <wp:extent cx="3497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Comprehensive income,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6"/>
              </w:rPr>
              <w:t>Defined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95"/>
              </w:rPr>
              <w:t>Benefit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6"/>
              </w:rPr>
              <w:t>Plans</w:t>
            </w:r>
          </w:p>
        </w:tc>
        <w:tc>
          <w:tcPr>
            <w:tcW w:w="36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r>
      <w:tr>
        <w:trPr>
          <w:trHeight w:val="168"/>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4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2020</w:t>
            </w:r>
          </w:p>
        </w:tc>
        <w:tc>
          <w:tcPr>
            <w:tcW w:w="17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144,602</w:t>
            </w:r>
          </w:p>
        </w:tc>
        <w:tc>
          <w:tcPr>
            <w:tcW w:w="18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(481,064)</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273,430</w:t>
            </w:r>
          </w:p>
        </w:tc>
        <w:tc>
          <w:tcPr>
            <w:tcW w:w="2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(63,032)</w:t>
            </w: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Net gain (loss) during period</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(39,808)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45,482</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(153,061)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(147,387)</w:t>
            </w:r>
          </w:p>
        </w:tc>
      </w:tr>
      <w:tr>
        <w:trPr>
          <w:trHeight w:val="156"/>
        </w:trPr>
        <w:tc>
          <w:tcPr>
            <w:tcW w:w="33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2021</w:t>
            </w:r>
          </w:p>
        </w:tc>
        <w:tc>
          <w:tcPr>
            <w:tcW w:w="15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104,794</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(435,582)</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120,369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(210,419)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Derivative financial instruments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September 30, 2021.</w:t>
      </w:r>
    </w:p>
    <w:p>
      <w:pPr>
        <w:spacing w:after="0" w:line="7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net effect of interest rate swap agreements was to increase net interest income by $67 million and $233 million during three-month and the nine-month periods ended September 30, 2021, respectively, and by $95 million and $212 million during the three-month and nine-month periods ended September 30, 2020, respectively.</w:t>
      </w:r>
    </w:p>
    <w:p>
      <w:pPr>
        <w:spacing w:after="0" w:line="76"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Notional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Average Rate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Fixed</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Variable</w:t>
            </w:r>
          </w:p>
        </w:tc>
        <w:tc>
          <w:tcPr>
            <w:tcW w:w="40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Gain (Loss) (a)</w:t>
            </w:r>
          </w:p>
        </w:tc>
      </w:tr>
      <w:tr>
        <w:trPr>
          <w:trHeight w:val="237"/>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0"/>
                <w:szCs w:val="20"/>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0.73%</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FF0FC"/>
          </w:tcPr>
          <w:p>
            <w:pPr>
              <w:spacing w:after="0"/>
              <w:rPr>
                <w:sz w:val="20"/>
                <w:szCs w:val="20"/>
                <w:color w:val="auto"/>
              </w:rPr>
            </w:pPr>
          </w:p>
        </w:tc>
      </w:tr>
      <w:tr>
        <w:trPr>
          <w:trHeight w:val="263"/>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27,350,000</w:t>
            </w:r>
          </w:p>
        </w:tc>
        <w:tc>
          <w:tcPr>
            <w:tcW w:w="3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0.79%</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20"/>
                <w:szCs w:val="20"/>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51,050,000</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jc w:val="both"/>
        <w:ind w:left="520" w:right="140" w:hanging="512"/>
        <w:spacing w:after="0" w:line="244" w:lineRule="auto"/>
        <w:tabs>
          <w:tab w:leader="none" w:pos="5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Certain clearinghouse exchanges consider payments by counterparties for variation margin on derivative instruments to be settlements of those positions. The impact of such treatment at September 30, 2021 and December 31, 2020 was a reduction of the estimated fair value gains on interest rate swap agreements designated as fair value hedges of $59.2 million and $101.5 million, respectively, and on interest rate swap agreements designated as cash flow hedges of $166.1 million and $372.2 million, respectively.</w:t>
      </w:r>
    </w:p>
    <w:p>
      <w:pPr>
        <w:spacing w:after="0" w:line="1" w:lineRule="exact"/>
        <w:rPr>
          <w:rFonts w:ascii="Arial" w:cs="Arial" w:eastAsia="Arial" w:hAnsi="Arial"/>
          <w:sz w:val="13"/>
          <w:szCs w:val="13"/>
          <w:i w:val="1"/>
          <w:iCs w:val="1"/>
          <w:color w:val="auto"/>
        </w:rPr>
      </w:pP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$8.4 billion of forward-starting interest rate swap agreements that become effective in 2021 - 2022.</w:t>
      </w:r>
    </w:p>
    <w:p>
      <w:pPr>
        <w:spacing w:after="0" w:line="9" w:lineRule="exact"/>
        <w:rPr>
          <w:rFonts w:ascii="Arial" w:cs="Arial" w:eastAsia="Arial" w:hAnsi="Arial"/>
          <w:sz w:val="14"/>
          <w:szCs w:val="14"/>
          <w:i w:val="1"/>
          <w:iCs w:val="1"/>
          <w:color w:val="auto"/>
        </w:rPr>
      </w:pPr>
    </w:p>
    <w:p>
      <w:pPr>
        <w:ind w:left="520" w:hanging="512"/>
        <w:spacing w:after="0" w:line="189" w:lineRule="auto"/>
        <w:tabs>
          <w:tab w:leader="none" w:pos="520" w:val="left"/>
        </w:tabs>
        <w:numPr>
          <w:ilvl w:val="0"/>
          <w:numId w:val="9"/>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Includes notional amount and terms of $32.1 billion of forward-starting interest rate swap agreements that become effective in 2021 - 2022</w:t>
      </w:r>
      <w:r>
        <w:rPr>
          <w:rFonts w:ascii="Arial" w:cs="Arial" w:eastAsia="Arial" w:hAnsi="Arial"/>
          <w:sz w:val="13"/>
          <w:szCs w:val="13"/>
          <w:i w:val="1"/>
          <w:iCs w:val="1"/>
          <w:color w:val="auto"/>
        </w:rPr>
        <w:t>.</w:t>
      </w:r>
    </w:p>
    <w:p>
      <w:pPr>
        <w:spacing w:after="0" w:line="208" w:lineRule="exact"/>
        <w:rPr>
          <w:rFonts w:ascii="Arial" w:cs="Arial" w:eastAsia="Arial" w:hAnsi="Arial"/>
          <w:sz w:val="20"/>
          <w:szCs w:val="20"/>
          <w:i w:val="1"/>
          <w:iCs w:val="1"/>
          <w:color w:val="auto"/>
          <w:vertAlign w:val="superscript"/>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$34.5 billion and $37.8 billion at September 30, 2021 and December 31, 2020, respectively. The notional amounts of foreign currency and other option and futures contracts entered into for trading account purposes aggregated $815 million and $776 million at September 30, 2021 and December 31, 2020, respectively.</w:t>
      </w:r>
    </w:p>
    <w:p>
      <w:pPr>
        <w:spacing w:after="0" w:line="68"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40"/>
              <w:spacing w:after="0"/>
              <w:rPr>
                <w:sz w:val="20"/>
                <w:szCs w:val="20"/>
                <w:color w:val="auto"/>
              </w:rPr>
            </w:pPr>
            <w:r>
              <w:rPr>
                <w:rFonts w:ascii="Arial" w:cs="Arial" w:eastAsia="Arial" w:hAnsi="Arial"/>
                <w:sz w:val="14"/>
                <w:szCs w:val="14"/>
                <w:b w:val="1"/>
                <w:bCs w:val="1"/>
                <w:color w:val="auto"/>
              </w:rPr>
              <w:t>Asset Derivatives</w:t>
            </w:r>
          </w:p>
        </w:tc>
        <w:tc>
          <w:tcPr>
            <w:tcW w:w="18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Liability Derivatives</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573"/>
              <w:spacing w:after="0" w:line="147"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left="335"/>
              <w:spacing w:after="0" w:line="147" w:lineRule="exact"/>
              <w:rPr>
                <w:sz w:val="20"/>
                <w:szCs w:val="20"/>
                <w:color w:val="auto"/>
              </w:rPr>
            </w:pPr>
            <w:r>
              <w:rPr>
                <w:rFonts w:ascii="Arial" w:cs="Arial" w:eastAsia="Arial" w:hAnsi="Arial"/>
                <w:sz w:val="14"/>
                <w:szCs w:val="14"/>
                <w:b w:val="1"/>
                <w:bCs w:val="1"/>
                <w:color w:val="auto"/>
                <w:w w:val="95"/>
              </w:rPr>
              <w:t>Fair Value</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8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6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43,599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 sale (a)</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565,332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1,008,913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105,768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6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609,699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1,064,529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131,135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6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618,019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1,067,985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140,485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other assets and liability derivatives are reported in other liabilities.</w:t>
      </w:r>
    </w:p>
    <w:p>
      <w:pPr>
        <w:spacing w:after="0" w:line="1" w:lineRule="exact"/>
        <w:rPr>
          <w:rFonts w:ascii="Arial" w:cs="Arial" w:eastAsia="Arial" w:hAnsi="Arial"/>
          <w:sz w:val="15"/>
          <w:szCs w:val="15"/>
          <w:i w:val="1"/>
          <w:iCs w:val="1"/>
          <w:color w:val="auto"/>
        </w:rPr>
      </w:pPr>
    </w:p>
    <w:p>
      <w:pPr>
        <w:jc w:val="both"/>
        <w:ind w:left="500" w:hanging="492"/>
        <w:spacing w:after="0" w:line="234" w:lineRule="auto"/>
        <w:tabs>
          <w:tab w:leader="none" w:pos="50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trading account assets and liability derivatives are reported in other liabilities. The impact of variation margin payments at September 30, 2021 and December 31, 2020 was a reduction of the estimated fair value of interest rate contracts in the trading account in an asset position of $41.7 million and $5.6 million, respectively, and in a liability position of $433.4 million and $806.5 million, respectively.</w:t>
      </w:r>
    </w:p>
    <w:p>
      <w:pPr>
        <w:spacing w:after="0" w:line="184" w:lineRule="exact"/>
        <w:rPr>
          <w:rFonts w:ascii="Arial" w:cs="Arial" w:eastAsia="Arial" w:hAnsi="Arial"/>
          <w:sz w:val="15"/>
          <w:szCs w:val="15"/>
          <w:i w:val="1"/>
          <w:iCs w:val="1"/>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rate contracts (b)</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rate contracts (b)</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95" w:lineRule="exact"/>
        <w:rPr>
          <w:sz w:val="20"/>
          <w:szCs w:val="20"/>
          <w:color w:val="auto"/>
        </w:rPr>
      </w:pPr>
    </w:p>
    <w:p>
      <w:pPr>
        <w:ind w:left="500" w:hanging="452"/>
        <w:spacing w:after="0"/>
        <w:tabs>
          <w:tab w:leader="none" w:pos="50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adjustment to interest expense.</w:t>
      </w:r>
    </w:p>
    <w:p>
      <w:pPr>
        <w:spacing w:after="0" w:line="22" w:lineRule="exact"/>
        <w:rPr>
          <w:rFonts w:ascii="Arial" w:cs="Arial" w:eastAsia="Arial" w:hAnsi="Arial"/>
          <w:sz w:val="16"/>
          <w:szCs w:val="16"/>
          <w:i w:val="1"/>
          <w:iCs w:val="1"/>
          <w:color w:val="auto"/>
        </w:rPr>
      </w:pPr>
    </w:p>
    <w:p>
      <w:pPr>
        <w:ind w:left="520" w:hanging="458"/>
        <w:spacing w:after="0" w:line="234" w:lineRule="auto"/>
        <w:tabs>
          <w:tab w:leader="none" w:pos="520" w:val="left"/>
        </w:tabs>
        <w:numPr>
          <w:ilvl w:val="1"/>
          <w:numId w:val="11"/>
        </w:numPr>
        <w:rPr>
          <w:rFonts w:ascii="Arial" w:cs="Arial" w:eastAsia="Arial" w:hAnsi="Arial"/>
          <w:sz w:val="18"/>
          <w:szCs w:val="18"/>
          <w:color w:val="auto"/>
        </w:rPr>
      </w:pPr>
      <w:r>
        <w:rPr>
          <w:rFonts w:ascii="Arial" w:cs="Arial" w:eastAsia="Arial" w:hAnsi="Arial"/>
          <w:sz w:val="16"/>
          <w:szCs w:val="16"/>
          <w:i w:val="1"/>
          <w:iCs w:val="1"/>
          <w:color w:val="auto"/>
        </w:rPr>
        <w:t>Reported as trading account and foreign exchange gains.</w:t>
      </w:r>
    </w:p>
    <w:p>
      <w:pPr>
        <w:spacing w:after="0" w:line="2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Amount of Gain (Loss) Recognized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6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gridSpan w:val="4"/>
          </w:tcPr>
          <w:p>
            <w:pPr>
              <w:jc w:val="center"/>
              <w:ind w:right="540"/>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3"/>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1"/>
                <w:szCs w:val="11"/>
                <w:color w:val="auto"/>
              </w:rPr>
            </w:pPr>
          </w:p>
        </w:tc>
      </w:tr>
      <w:tr>
        <w:trPr>
          <w:trHeight w:val="171"/>
        </w:trPr>
        <w:tc>
          <w:tcPr>
            <w:tcW w:w="160" w:type="dxa"/>
            <w:vAlign w:val="bottom"/>
          </w:tcPr>
          <w:p>
            <w:pPr>
              <w:spacing w:after="0"/>
              <w:rPr>
                <w:sz w:val="14"/>
                <w:szCs w:val="14"/>
                <w:color w:val="auto"/>
              </w:rPr>
            </w:pPr>
          </w:p>
        </w:tc>
        <w:tc>
          <w:tcPr>
            <w:tcW w:w="22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 2020</w:t>
            </w:r>
          </w:p>
        </w:tc>
      </w:tr>
      <w:tr>
        <w:trPr>
          <w:trHeight w:val="156"/>
        </w:trPr>
        <w:tc>
          <w:tcPr>
            <w:tcW w:w="1160" w:type="dxa"/>
            <w:vAlign w:val="bottom"/>
            <w:tcBorders>
              <w:top w:val="single" w:sz="8" w:color="auto"/>
              <w:bottom w:val="single" w:sz="8" w:color="auto"/>
            </w:tcBorders>
            <w:gridSpan w:val="3"/>
          </w:tcPr>
          <w:p>
            <w:pPr>
              <w:jc w:val="right"/>
              <w:ind w:right="361"/>
              <w:spacing w:after="0" w:line="155" w:lineRule="exact"/>
              <w:rPr>
                <w:sz w:val="20"/>
                <w:szCs w:val="20"/>
                <w:color w:val="auto"/>
              </w:rPr>
            </w:pPr>
            <w:r>
              <w:rPr>
                <w:rFonts w:ascii="Arial" w:cs="Arial" w:eastAsia="Arial" w:hAnsi="Arial"/>
                <w:sz w:val="14"/>
                <w:szCs w:val="14"/>
                <w:b w:val="1"/>
                <w:bCs w:val="1"/>
                <w:color w:val="auto"/>
              </w:rPr>
              <w:t>Derivative</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right"/>
              <w:ind w:right="381"/>
              <w:spacing w:after="0" w:line="155" w:lineRule="exact"/>
              <w:rPr>
                <w:sz w:val="20"/>
                <w:szCs w:val="20"/>
                <w:color w:val="auto"/>
              </w:rPr>
            </w:pPr>
            <w:r>
              <w:rPr>
                <w:rFonts w:ascii="Arial" w:cs="Arial" w:eastAsia="Arial" w:hAnsi="Arial"/>
                <w:sz w:val="14"/>
                <w:szCs w:val="14"/>
                <w:b w:val="1"/>
                <w:bCs w:val="1"/>
                <w:color w:val="auto"/>
              </w:rPr>
              <w:t>Derivative</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60" w:type="dxa"/>
            <w:vAlign w:val="bottom"/>
          </w:tcPr>
          <w:p>
            <w:pPr>
              <w:spacing w:after="0"/>
              <w:rPr>
                <w:sz w:val="13"/>
                <w:szCs w:val="13"/>
                <w:color w:val="auto"/>
              </w:rPr>
            </w:pPr>
          </w:p>
        </w:tc>
      </w:tr>
      <w:tr>
        <w:trPr>
          <w:trHeight w:val="180"/>
        </w:trPr>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64"/>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(9,713)</w:t>
            </w:r>
          </w:p>
        </w:tc>
        <w:tc>
          <w:tcPr>
            <w:tcW w:w="900" w:type="dxa"/>
            <w:vAlign w:val="bottom"/>
          </w:tcPr>
          <w:p>
            <w:pPr>
              <w:jc w:val="right"/>
              <w:spacing w:after="0"/>
              <w:rPr>
                <w:sz w:val="20"/>
                <w:szCs w:val="20"/>
                <w:color w:val="auto"/>
              </w:rPr>
            </w:pPr>
            <w:r>
              <w:rPr>
                <w:rFonts w:ascii="Arial" w:cs="Arial" w:eastAsia="Arial" w:hAnsi="Arial"/>
                <w:sz w:val="18"/>
                <w:szCs w:val="18"/>
                <w:color w:val="auto"/>
              </w:rPr>
              <w:t>9,636</w:t>
            </w:r>
          </w:p>
        </w:tc>
        <w:tc>
          <w:tcPr>
            <w:tcW w:w="360" w:type="dxa"/>
            <w:vAlign w:val="bottom"/>
          </w:tcPr>
          <w:p>
            <w:pPr>
              <w:spacing w:after="0"/>
              <w:rPr>
                <w:sz w:val="24"/>
                <w:szCs w:val="24"/>
                <w:color w:val="auto"/>
              </w:rPr>
            </w:pP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(13,067)</w:t>
            </w:r>
          </w:p>
        </w:tc>
        <w:tc>
          <w:tcPr>
            <w:tcW w:w="920" w:type="dxa"/>
            <w:vAlign w:val="bottom"/>
          </w:tcPr>
          <w:p>
            <w:pPr>
              <w:jc w:val="right"/>
              <w:spacing w:after="0"/>
              <w:rPr>
                <w:sz w:val="20"/>
                <w:szCs w:val="20"/>
                <w:color w:val="auto"/>
              </w:rPr>
            </w:pPr>
            <w:r>
              <w:rPr>
                <w:rFonts w:ascii="Arial" w:cs="Arial" w:eastAsia="Arial" w:hAnsi="Arial"/>
                <w:sz w:val="18"/>
                <w:szCs w:val="18"/>
                <w:color w:val="auto"/>
              </w:rPr>
              <w:t>12,822</w:t>
            </w:r>
          </w:p>
        </w:tc>
        <w:tc>
          <w:tcPr>
            <w:tcW w:w="60" w:type="dxa"/>
            <w:vAlign w:val="bottom"/>
          </w:tcPr>
          <w:p>
            <w:pPr>
              <w:spacing w:after="0"/>
              <w:rPr>
                <w:sz w:val="24"/>
                <w:szCs w:val="24"/>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(3,456)</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(4,776)</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181"/>
              <w:spacing w:after="0"/>
              <w:rPr>
                <w:sz w:val="20"/>
                <w:szCs w:val="20"/>
                <w:color w:val="auto"/>
              </w:rPr>
            </w:pPr>
            <w:r>
              <w:rPr>
                <w:rFonts w:ascii="Arial" w:cs="Arial" w:eastAsia="Arial" w:hAnsi="Arial"/>
                <w:sz w:val="14"/>
                <w:szCs w:val="14"/>
                <w:b w:val="1"/>
                <w:bCs w:val="1"/>
                <w:color w:val="auto"/>
                <w:w w:val="91"/>
              </w:rPr>
              <w:t>Amount of Gain (Loss) Recognized</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160" w:type="dxa"/>
            <w:vAlign w:val="bottom"/>
          </w:tcPr>
          <w:p>
            <w:pPr>
              <w:spacing w:after="0"/>
              <w:rPr>
                <w:sz w:val="11"/>
                <w:szCs w:val="11"/>
                <w:color w:val="auto"/>
              </w:rPr>
            </w:pPr>
          </w:p>
        </w:tc>
        <w:tc>
          <w:tcPr>
            <w:tcW w:w="2260" w:type="dxa"/>
            <w:vAlign w:val="bottom"/>
            <w:gridSpan w:val="4"/>
          </w:tcPr>
          <w:p>
            <w:pPr>
              <w:jc w:val="center"/>
              <w:ind w:right="540"/>
              <w:spacing w:after="0" w:line="133" w:lineRule="exact"/>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3"/>
          </w:tcPr>
          <w:p>
            <w:pPr>
              <w:jc w:val="center"/>
              <w:ind w:right="99"/>
              <w:spacing w:after="0" w:line="133" w:lineRule="exact"/>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11"/>
                <w:szCs w:val="11"/>
                <w:color w:val="auto"/>
              </w:rPr>
            </w:pPr>
          </w:p>
        </w:tc>
      </w:tr>
      <w:tr>
        <w:trPr>
          <w:trHeight w:val="171"/>
        </w:trPr>
        <w:tc>
          <w:tcPr>
            <w:tcW w:w="160" w:type="dxa"/>
            <w:vAlign w:val="bottom"/>
          </w:tcPr>
          <w:p>
            <w:pPr>
              <w:spacing w:after="0"/>
              <w:rPr>
                <w:sz w:val="14"/>
                <w:szCs w:val="14"/>
                <w:color w:val="auto"/>
              </w:rPr>
            </w:pPr>
          </w:p>
        </w:tc>
        <w:tc>
          <w:tcPr>
            <w:tcW w:w="22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 2020</w:t>
            </w:r>
          </w:p>
        </w:tc>
      </w:tr>
      <w:tr>
        <w:trPr>
          <w:trHeight w:val="156"/>
        </w:trPr>
        <w:tc>
          <w:tcPr>
            <w:tcW w:w="1160" w:type="dxa"/>
            <w:vAlign w:val="bottom"/>
            <w:tcBorders>
              <w:top w:val="single" w:sz="8" w:color="auto"/>
              <w:bottom w:val="single" w:sz="8" w:color="auto"/>
            </w:tcBorders>
            <w:gridSpan w:val="3"/>
          </w:tcPr>
          <w:p>
            <w:pPr>
              <w:jc w:val="right"/>
              <w:ind w:right="361"/>
              <w:spacing w:after="0" w:line="155" w:lineRule="exact"/>
              <w:rPr>
                <w:sz w:val="20"/>
                <w:szCs w:val="20"/>
                <w:color w:val="auto"/>
              </w:rPr>
            </w:pPr>
            <w:r>
              <w:rPr>
                <w:rFonts w:ascii="Arial" w:cs="Arial" w:eastAsia="Arial" w:hAnsi="Arial"/>
                <w:sz w:val="14"/>
                <w:szCs w:val="14"/>
                <w:b w:val="1"/>
                <w:bCs w:val="1"/>
                <w:color w:val="auto"/>
              </w:rPr>
              <w:t>Derivative</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right"/>
              <w:ind w:right="381"/>
              <w:spacing w:after="0" w:line="155" w:lineRule="exact"/>
              <w:rPr>
                <w:sz w:val="20"/>
                <w:szCs w:val="20"/>
                <w:color w:val="auto"/>
              </w:rPr>
            </w:pPr>
            <w:r>
              <w:rPr>
                <w:rFonts w:ascii="Arial" w:cs="Arial" w:eastAsia="Arial" w:hAnsi="Arial"/>
                <w:sz w:val="14"/>
                <w:szCs w:val="14"/>
                <w:b w:val="1"/>
                <w:bCs w:val="1"/>
                <w:color w:val="auto"/>
              </w:rPr>
              <w:t>Derivative</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Hedged Item</w:t>
            </w:r>
          </w:p>
        </w:tc>
        <w:tc>
          <w:tcPr>
            <w:tcW w:w="60" w:type="dxa"/>
            <w:vAlign w:val="bottom"/>
          </w:tcPr>
          <w:p>
            <w:pPr>
              <w:spacing w:after="0"/>
              <w:rPr>
                <w:sz w:val="13"/>
                <w:szCs w:val="13"/>
                <w:color w:val="auto"/>
              </w:rPr>
            </w:pPr>
          </w:p>
        </w:tc>
      </w:tr>
      <w:tr>
        <w:trPr>
          <w:trHeight w:val="180"/>
        </w:trPr>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64"/>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(42,217)</w:t>
            </w:r>
          </w:p>
        </w:tc>
        <w:tc>
          <w:tcPr>
            <w:tcW w:w="900" w:type="dxa"/>
            <w:vAlign w:val="bottom"/>
          </w:tcPr>
          <w:p>
            <w:pPr>
              <w:jc w:val="right"/>
              <w:spacing w:after="0"/>
              <w:rPr>
                <w:sz w:val="20"/>
                <w:szCs w:val="20"/>
                <w:color w:val="auto"/>
              </w:rPr>
            </w:pPr>
            <w:r>
              <w:rPr>
                <w:rFonts w:ascii="Arial" w:cs="Arial" w:eastAsia="Arial" w:hAnsi="Arial"/>
                <w:sz w:val="18"/>
                <w:szCs w:val="18"/>
                <w:color w:val="auto"/>
              </w:rPr>
              <w:t>41,456</w:t>
            </w:r>
          </w:p>
        </w:tc>
        <w:tc>
          <w:tcPr>
            <w:tcW w:w="360" w:type="dxa"/>
            <w:vAlign w:val="bottom"/>
          </w:tcPr>
          <w:p>
            <w:pPr>
              <w:spacing w:after="0"/>
              <w:rPr>
                <w:sz w:val="24"/>
                <w:szCs w:val="24"/>
                <w:color w:val="auto"/>
              </w:rPr>
            </w:pP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75,760</w:t>
            </w:r>
          </w:p>
        </w:tc>
        <w:tc>
          <w:tcPr>
            <w:tcW w:w="3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(75,607)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8"/>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(9,434)</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8,988</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15,543</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5900" w:space="720"/>
            <w:col w:w="4580"/>
          </w:cols>
          <w:pgMar w:left="320" w:top="125"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 Adjustment Increasing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(Decreasing) the Carrying Amount of</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Carrying Amount of the Hedged Item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6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5"/>
              </w:rPr>
              <w:t>Hedged Item</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Pr>
          <w:p>
            <w:pPr>
              <w:ind w:left="2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tcPr>
          <w:p>
            <w:pPr>
              <w:jc w:val="center"/>
              <w:ind w:left="282"/>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48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7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4"/>
          </w:tcPr>
          <w:p>
            <w:pPr>
              <w:jc w:val="right"/>
              <w:ind w:right="704"/>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the Hedged Items in Fair Value Hedges</w:t>
            </w:r>
          </w:p>
        </w:tc>
        <w:tc>
          <w:tcPr>
            <w:tcW w:w="1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  1,708,872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1,750,048</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59,714</w:t>
            </w: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amount of interest income recognized in the consolidated statement of income associated with derivatives designated as cash flow hedges was $58 million and $82 million for the three months ended September 30, 2021 and 2020, respectively, and $207 million and $184 million for the nine months ended September 30, 2021 and 2020, respectively. As of September 30, 2021 the unrealized gain recognized in other comprehensive income related to cash flow hedges was $167 million, of which $4 million, $119 million and $44 million related to interest rate swap agreements maturing in 2021, 2022, and 2023, respectively.</w:t>
      </w:r>
    </w:p>
    <w:p>
      <w:pPr>
        <w:spacing w:after="0" w:line="53"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$36 million and $64 million at September 30, 2021 and December 31, 2020, respectively. Changes in unrealized gains and losses are included in mortgage banking revenues and, in general, are realized in subsequent periods as the related loans are sold and commitments satisfied.</w:t>
      </w:r>
    </w:p>
    <w:p>
      <w:pPr>
        <w:spacing w:after="0" w:line="4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49" w:lineRule="exact"/>
        <w:rPr>
          <w:sz w:val="20"/>
          <w:szCs w:val="20"/>
          <w:color w:val="auto"/>
        </w:rPr>
      </w:pPr>
    </w:p>
    <w:p>
      <w:pPr>
        <w:jc w:val="both"/>
        <w:ind w:firstLine="464"/>
        <w:spacing w:after="0" w:line="244" w:lineRule="auto"/>
        <w:rPr>
          <w:sz w:val="20"/>
          <w:szCs w:val="20"/>
          <w:color w:val="auto"/>
        </w:rPr>
      </w:pPr>
      <w:r>
        <w:rPr>
          <w:rFonts w:ascii="Arial" w:cs="Arial" w:eastAsia="Arial" w:hAnsi="Arial"/>
          <w:sz w:val="21"/>
          <w:szCs w:val="21"/>
          <w:color w:val="auto"/>
        </w:rPr>
        <w:t>The aggregate fair value of derivative financial instruments in a liability position and the net liability positions with counterparties which are subject to master netting arrangements was $53 million and $114 million at September 30, 2021 and December 31, 2020, respectively. The Company was required to post collateral relating to those positions of $52 million and $103 million at September 30, 2021 and December 31, 2020,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2021 was not material.</w:t>
      </w:r>
    </w:p>
    <w:p>
      <w:pPr>
        <w:spacing w:after="0" w:line="85"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$4 million at September 30, 2021 and $3 million at December 31, 2020. Counterparties posted collateral relating to those positions of $4 million and $3 million at those respective dates. Trading account interest rate swap agreements entered into with customers are subject to the Company’s credit risk standards and often contain collateral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116"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$136 million and $135 million at September 30, 2021 and December 31, 2020,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Variable interest entities and asset securitizations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September 30, 2021 and December 31, 2020,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$2.9 billion at September 30, 2021 and $2.3 billion at December 31, 2020.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$858 million, including $341 million of unfunded commitments, at September 30, 2021 and $861 million, including $406 million of unfunded commitments, at December 31, 2020. Contingent commitments to provide additional capital contributions to these partnerships were not material at September 30, 2021. The Company has not provided financial or other support to the partnerships that was not contractually required. The Company’s maximum exposure to loss from its investments in such partnerships as of September 30, 2021 was $1.1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$25 million and $63 million of its investments in qualified affordable housing projects to income tax expense during the three-month and nine-month periods ended September 30, 2021, respectively, and recognized $27 million and $70 million of tax credits and other tax benefits during those periods. Similarly, for the three-month and nine-month periods ended September 30, 2020, the Company amortized $22 million and $65 million of its investments in qualified affordable housing projects to income tax expense, respectively, and recognized $26 million and $78 million of tax credits and other tax benefits during those respective periods.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Variable interest entities and asset securitizations,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7"/>
          <w:szCs w:val="17"/>
          <w:color w:val="auto"/>
        </w:rPr>
        <w: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September 30, 2021.</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6"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6"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720" w:firstLine="8"/>
        <w:spacing w:after="0" w:line="410" w:lineRule="auto"/>
        <w:tabs>
          <w:tab w:leader="none" w:pos="31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Real estate loans held for sale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following tables present assets and liabilities at September 30, 2021 and December 31, 2020 measured at estimated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Measurements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624,556</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50,335</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574,221</w:t>
            </w:r>
          </w:p>
        </w:tc>
        <w:tc>
          <w:tcPr>
            <w:tcW w:w="3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3,475,479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3,475,479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132,883</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132,883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3,618,106</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3,618,106</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82,456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75,169</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7,287</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838,051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838,051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44,383</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5,207,552</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125,504</w:t>
            </w:r>
          </w:p>
        </w:tc>
        <w:tc>
          <w:tcPr>
            <w:tcW w:w="3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5,057,589</w:t>
            </w:r>
          </w:p>
        </w:tc>
        <w:tc>
          <w:tcPr>
            <w:tcW w:w="3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92,649</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92,649</w:t>
            </w: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105,769</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101,455</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1,068,581</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50,060</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1,018,521</w:t>
            </w:r>
          </w:p>
        </w:tc>
        <w:tc>
          <w:tcPr>
            <w:tcW w:w="3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4,683,438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4,683,438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Privately issued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129,814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129,814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4,822,606</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4,822,590</w:t>
            </w:r>
          </w:p>
        </w:tc>
        <w:tc>
          <w:tcPr>
            <w:tcW w:w="3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92,985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29,856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1,054,676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1,054,676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49,464</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7,088,312</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113,189</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6,931,508</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116,902</w:t>
            </w:r>
          </w:p>
        </w:tc>
        <w:tc>
          <w:tcPr>
            <w:tcW w:w="360" w:type="dxa"/>
            <w:vAlign w:val="bottom"/>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116,902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23,583</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140,485</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140,120</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20" w:hanging="447"/>
        <w:spacing w:after="0" w:line="277" w:lineRule="auto"/>
        <w:tabs>
          <w:tab w:leader="none" w:pos="5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93"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2021 and 2020 were as follows:</w:t>
      </w:r>
    </w:p>
    <w:p>
      <w:pPr>
        <w:jc w:val="center"/>
        <w:ind w:left="680"/>
        <w:spacing w:after="0" w:line="226" w:lineRule="auto"/>
        <w:rPr>
          <w:sz w:val="20"/>
          <w:szCs w:val="20"/>
          <w:color w:val="auto"/>
        </w:rPr>
      </w:pPr>
      <w:r>
        <w:rPr>
          <w:rFonts w:ascii="Arial" w:cs="Arial" w:eastAsia="Arial" w:hAnsi="Arial"/>
          <w:sz w:val="14"/>
          <w:szCs w:val="14"/>
          <w:b w:val="1"/>
          <w:bCs w:val="1"/>
          <w:color w:val="auto"/>
        </w:rPr>
        <w:t>Investment</w:t>
      </w:r>
    </w:p>
    <w:p>
      <w:pPr>
        <w:jc w:val="center"/>
        <w:ind w:left="680"/>
        <w:spacing w:after="0" w:line="222" w:lineRule="auto"/>
        <w:rPr>
          <w:sz w:val="20"/>
          <w:szCs w:val="20"/>
          <w:color w:val="auto"/>
        </w:rPr>
      </w:pPr>
      <w:r>
        <w:rPr>
          <w:rFonts w:ascii="Arial" w:cs="Arial" w:eastAsia="Arial" w:hAnsi="Arial"/>
          <w:sz w:val="14"/>
          <w:szCs w:val="14"/>
          <w:b w:val="1"/>
          <w:bCs w:val="1"/>
          <w:color w:val="auto"/>
        </w:rPr>
        <w:t>Securities</w:t>
      </w:r>
    </w:p>
    <w:p>
      <w:pPr>
        <w:jc w:val="center"/>
        <w:ind w:left="68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tcBorders>
              <w:top w:val="single" w:sz="8" w:color="auto"/>
            </w:tcBorders>
          </w:tcPr>
          <w:p>
            <w:pPr>
              <w:jc w:val="center"/>
              <w:ind w:left="148"/>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Other Assets and</w:t>
            </w:r>
          </w:p>
        </w:tc>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Mortgage-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2021</w:t>
            </w:r>
          </w:p>
        </w:tc>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Backed Securities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Other Liabilities</w:t>
            </w:r>
          </w:p>
        </w:tc>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2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400" w:type="dxa"/>
            <w:vAlign w:val="bottom"/>
            <w:gridSpan w:val="2"/>
          </w:tcPr>
          <w:p>
            <w:pPr>
              <w:spacing w:after="0"/>
              <w:rPr>
                <w:sz w:val="20"/>
                <w:szCs w:val="20"/>
                <w:color w:val="auto"/>
              </w:rPr>
            </w:pPr>
            <w:r>
              <w:rPr>
                <w:rFonts w:ascii="Arial" w:cs="Arial" w:eastAsia="Arial" w:hAnsi="Arial"/>
                <w:sz w:val="18"/>
                <w:szCs w:val="18"/>
                <w:color w:val="auto"/>
              </w:rPr>
              <w:t>Balance — June 30, 2021</w:t>
            </w:r>
          </w:p>
        </w:tc>
        <w:tc>
          <w:tcPr>
            <w:tcW w:w="214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35,666</w:t>
            </w: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44,152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1020"/>
              <w:spacing w:after="0"/>
              <w:rPr>
                <w:sz w:val="20"/>
                <w:szCs w:val="20"/>
                <w:color w:val="auto"/>
              </w:rPr>
            </w:pPr>
            <w:r>
              <w:rPr>
                <w:rFonts w:ascii="Arial" w:cs="Arial" w:eastAsia="Arial" w:hAnsi="Arial"/>
                <w:sz w:val="18"/>
                <w:szCs w:val="18"/>
                <w:color w:val="auto"/>
                <w:w w:val="97"/>
              </w:rPr>
              <w:t>(59,673)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2021</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ind w:right="120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September 30, 2021</w:t>
            </w:r>
          </w:p>
        </w:tc>
        <w:tc>
          <w:tcPr>
            <w:tcW w:w="214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18,196</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60" w:type="dxa"/>
            <w:vAlign w:val="bottom"/>
            <w:tcBorders>
              <w:bottom w:val="single" w:sz="8" w:color="auto"/>
            </w:tcBorders>
            <w:vMerge w:val="continue"/>
          </w:tcPr>
          <w:p>
            <w:pPr>
              <w:spacing w:after="0"/>
              <w:rPr>
                <w:sz w:val="24"/>
                <w:szCs w:val="24"/>
                <w:color w:val="auto"/>
              </w:rPr>
            </w:pPr>
          </w:p>
        </w:tc>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400" w:type="dxa"/>
            <w:vAlign w:val="bottom"/>
            <w:gridSpan w:val="2"/>
          </w:tcPr>
          <w:p>
            <w:pPr>
              <w:spacing w:after="0"/>
              <w:rPr>
                <w:sz w:val="20"/>
                <w:szCs w:val="20"/>
                <w:color w:val="auto"/>
              </w:rPr>
            </w:pPr>
            <w:r>
              <w:rPr>
                <w:rFonts w:ascii="Arial" w:cs="Arial" w:eastAsia="Arial" w:hAnsi="Arial"/>
                <w:sz w:val="18"/>
                <w:szCs w:val="18"/>
                <w:color w:val="auto"/>
              </w:rPr>
              <w:t>Balance — June 30, 2020</w:t>
            </w:r>
          </w:p>
        </w:tc>
        <w:tc>
          <w:tcPr>
            <w:tcW w:w="214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16</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40,106</w:t>
            </w: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57,819</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7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w w:val="97"/>
              </w:rPr>
              <w:t>(46,422)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September 30, 2020</w:t>
            </w:r>
          </w:p>
        </w:tc>
        <w:tc>
          <w:tcPr>
            <w:tcW w:w="780" w:type="dxa"/>
            <w:vAlign w:val="bottom"/>
            <w:tcBorders>
              <w:bottom w:val="single" w:sz="8" w:color="CFF0FC"/>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20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9"/>
              </w:rPr>
              <w:t>16</w:t>
            </w:r>
          </w:p>
        </w:tc>
        <w:tc>
          <w:tcPr>
            <w:tcW w:w="240" w:type="dxa"/>
            <w:vAlign w:val="bottom"/>
            <w:tcBorders>
              <w:bottom w:val="single" w:sz="8" w:color="CFF0FC"/>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51,503</w:t>
            </w:r>
          </w:p>
        </w:tc>
        <w:tc>
          <w:tcPr>
            <w:tcW w:w="3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7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September 30, 2020</w:t>
            </w:r>
          </w:p>
        </w:tc>
        <w:tc>
          <w:tcPr>
            <w:tcW w:w="2140" w:type="dxa"/>
            <w:vAlign w:val="bottom"/>
            <w:gridSpan w:val="2"/>
            <w:shd w:val="clear" w:color="auto" w:fill="CFF0FC"/>
          </w:tcPr>
          <w:p>
            <w:pPr>
              <w:jc w:val="right"/>
              <w:ind w:right="120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44,127</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40" w:type="dxa"/>
            <w:vAlign w:val="bottom"/>
            <w:gridSpan w:val="2"/>
          </w:tcPr>
          <w:p>
            <w:pPr>
              <w:jc w:val="right"/>
              <w:ind w:right="648"/>
              <w:spacing w:after="0"/>
              <w:rPr>
                <w:sz w:val="20"/>
                <w:szCs w:val="20"/>
                <w:color w:val="auto"/>
              </w:rPr>
            </w:pPr>
            <w:r>
              <w:rPr>
                <w:rFonts w:ascii="Arial" w:cs="Arial" w:eastAsia="Arial" w:hAnsi="Arial"/>
                <w:sz w:val="18"/>
                <w:szCs w:val="18"/>
                <w:color w:val="auto"/>
              </w:rPr>
              <w:t>- 40 -</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2021 and 2020 were as follows:</w:t>
      </w:r>
    </w:p>
    <w:p>
      <w:pPr>
        <w:jc w:val="center"/>
        <w:ind w:left="840"/>
        <w:spacing w:after="0" w:line="226" w:lineRule="auto"/>
        <w:rPr>
          <w:sz w:val="20"/>
          <w:szCs w:val="20"/>
          <w:color w:val="auto"/>
        </w:rPr>
      </w:pPr>
      <w:r>
        <w:rPr>
          <w:rFonts w:ascii="Arial" w:cs="Arial" w:eastAsia="Arial" w:hAnsi="Arial"/>
          <w:sz w:val="14"/>
          <w:szCs w:val="14"/>
          <w:b w:val="1"/>
          <w:bCs w:val="1"/>
          <w:color w:val="auto"/>
        </w:rPr>
        <w:t>Investment</w:t>
      </w:r>
    </w:p>
    <w:p>
      <w:pPr>
        <w:jc w:val="center"/>
        <w:ind w:left="840"/>
        <w:spacing w:after="0" w:line="222" w:lineRule="auto"/>
        <w:rPr>
          <w:sz w:val="20"/>
          <w:szCs w:val="20"/>
          <w:color w:val="auto"/>
        </w:rPr>
      </w:pPr>
      <w:r>
        <w:rPr>
          <w:rFonts w:ascii="Arial" w:cs="Arial" w:eastAsia="Arial" w:hAnsi="Arial"/>
          <w:sz w:val="14"/>
          <w:szCs w:val="14"/>
          <w:b w:val="1"/>
          <w:bCs w:val="1"/>
          <w:color w:val="auto"/>
        </w:rPr>
        <w:t>Securities</w:t>
      </w:r>
    </w:p>
    <w:p>
      <w:pPr>
        <w:jc w:val="center"/>
        <w:ind w:left="84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520" w:type="dxa"/>
            <w:vAlign w:val="bottom"/>
            <w:gridSpan w:val="2"/>
          </w:tcPr>
          <w:p>
            <w:pPr>
              <w:spacing w:after="0"/>
              <w:rPr>
                <w:sz w:val="11"/>
                <w:szCs w:val="11"/>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Mortgage-</w:t>
            </w: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2021</w:t>
            </w: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1"/>
              </w:rPr>
              <w:t>Backed Securities</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Other Liabilities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240" w:type="dxa"/>
            <w:vAlign w:val="bottom"/>
            <w:gridSpan w:val="2"/>
          </w:tcPr>
          <w:p>
            <w:pPr>
              <w:spacing w:after="0"/>
              <w:rPr>
                <w:sz w:val="20"/>
                <w:szCs w:val="20"/>
                <w:color w:val="auto"/>
              </w:rPr>
            </w:pPr>
            <w:r>
              <w:rPr>
                <w:rFonts w:ascii="Arial" w:cs="Arial" w:eastAsia="Arial" w:hAnsi="Arial"/>
                <w:sz w:val="18"/>
                <w:szCs w:val="18"/>
                <w:color w:val="auto"/>
              </w:rPr>
              <w:t>Balance — January 1,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43,234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102,489</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w w:val="97"/>
              </w:rPr>
              <w:t>(125,578)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2021</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September 30, 2021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21,722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60" w:type="dxa"/>
            <w:vAlign w:val="bottom"/>
            <w:tcBorders>
              <w:bottom w:val="single" w:sz="8" w:color="auto"/>
            </w:tcBorders>
            <w:vMerge w:val="continue"/>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Total gains realized/unrealized:</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earnings</w:t>
            </w:r>
          </w:p>
        </w:tc>
        <w:tc>
          <w:tcPr>
            <w:tcW w:w="180" w:type="dxa"/>
            <w:vAlign w:val="bottom"/>
            <w:shd w:val="clear" w:color="auto" w:fill="CFF0FC"/>
          </w:tcPr>
          <w:p>
            <w:pPr>
              <w:spacing w:after="0"/>
              <w:rPr>
                <w:sz w:val="19"/>
                <w:szCs w:val="19"/>
                <w:color w:val="auto"/>
              </w:rPr>
            </w:pPr>
          </w:p>
        </w:tc>
        <w:tc>
          <w:tcPr>
            <w:tcW w:w="19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150,632</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560"/>
              <w:spacing w:after="0"/>
              <w:rPr>
                <w:sz w:val="20"/>
                <w:szCs w:val="20"/>
                <w:color w:val="auto"/>
              </w:rPr>
            </w:pPr>
            <w:r>
              <w:rPr>
                <w:rFonts w:ascii="Arial" w:cs="Arial" w:eastAsia="Arial" w:hAnsi="Arial"/>
                <w:sz w:val="18"/>
                <w:szCs w:val="18"/>
                <w:color w:val="auto"/>
                <w:w w:val="97"/>
              </w:rPr>
              <w:t>(109,869)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2020</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51,503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September 30,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50,411</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00" w:hanging="492"/>
        <w:spacing w:after="0" w:line="258" w:lineRule="auto"/>
        <w:tabs>
          <w:tab w:leader="none" w:pos="5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mortgage banking revenues in the consolidated statement of income and includes the fair value of commitment issuances and expirations.</w:t>
      </w:r>
    </w:p>
    <w:p>
      <w:pPr>
        <w:spacing w:after="0" w:line="1" w:lineRule="exact"/>
        <w:rPr>
          <w:rFonts w:ascii="Arial" w:cs="Arial" w:eastAsia="Arial" w:hAnsi="Arial"/>
          <w:sz w:val="18"/>
          <w:szCs w:val="18"/>
          <w:i w:val="1"/>
          <w:iCs w:val="1"/>
          <w:color w:val="auto"/>
        </w:rPr>
      </w:pPr>
    </w:p>
    <w:p>
      <w:pPr>
        <w:ind w:left="500" w:hanging="492"/>
        <w:spacing w:after="0"/>
        <w:tabs>
          <w:tab w:leader="none" w:pos="5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17" w:lineRule="exact"/>
        <w:rPr>
          <w:sz w:val="20"/>
          <w:szCs w:val="20"/>
          <w:color w:val="auto"/>
        </w:rPr>
      </w:pPr>
    </w:p>
    <w:p>
      <w:pPr>
        <w:ind w:firstLine="513"/>
        <w:spacing w:after="0" w:line="289"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720" w:firstLine="8"/>
        <w:spacing w:after="0" w:line="351" w:lineRule="auto"/>
        <w:tabs>
          <w:tab w:leader="none" w:pos="310"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Fair value measurements, continued </w:t>
      </w:r>
      <w:r>
        <w:rPr>
          <w:rFonts w:ascii="Arial" w:cs="Arial" w:eastAsia="Arial" w:hAnsi="Arial"/>
          <w:sz w:val="21"/>
          <w:szCs w:val="21"/>
          <w:b w:val="1"/>
          <w:bCs w:val="1"/>
          <w:i w:val="1"/>
          <w:iCs w:val="1"/>
          <w:color w:val="auto"/>
        </w:rPr>
        <w:t>Loans</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39% at September 30, 2021.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w:t>
      </w:r>
    </w:p>
    <w:p>
      <w:pPr>
        <w:spacing w:after="0" w:line="2" w:lineRule="exact"/>
        <w:rPr>
          <w:sz w:val="20"/>
          <w:szCs w:val="20"/>
          <w:color w:val="auto"/>
        </w:rPr>
      </w:pPr>
    </w:p>
    <w:p>
      <w:pPr>
        <w:jc w:val="both"/>
        <w:ind w:firstLine="8"/>
        <w:spacing w:after="0" w:line="255" w:lineRule="auto"/>
        <w:tabs>
          <w:tab w:leader="none" w:pos="264"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Collateral values for other consumer installment loans are generally estimated based on historical recovery rates for similar types of loans which at September 30, 2021 was 64%. As these recovery rates are not readily observable by market participants, such valuation adjustments have been classified as Level 3. Loans subject to nonrecurring fair value measurement were $591 million at September 30, 2021 ($330 million and $261 million of which were classified as Level 2 and Level 3, respectively), $652 million at December 31, 2020 ($339 million and $313 million of which were classified as Level 2 and Level 3, respectively) and $387 million at September 30, 2020 ($159 million and $228 million of which were classified as Level 2 and Level 3, respectively). Changes in fair value recognized for partial charge-offs of loans and loan impairment reserves on loans held by the Company on September 30, 2021 were decreases of $35 million and $125 million for the three-month and nine-month periods ended September 30, 2021, respectively. Changes in fair value recognized for partial charge-offs of loans and loan impairment reserves on loans held by the Company on September 30, 2020 were decreases of $82 million and $153 million for the three-month and nine-month periods ended September 30,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accordingly, the related nonrecurring fair value measurement adjustments have generally been classified as Level</w:t>
      </w:r>
    </w:p>
    <w:p>
      <w:pPr>
        <w:spacing w:after="0" w:line="3" w:lineRule="exact"/>
        <w:rPr>
          <w:sz w:val="20"/>
          <w:szCs w:val="20"/>
          <w:color w:val="auto"/>
        </w:rPr>
      </w:pPr>
    </w:p>
    <w:p>
      <w:pPr>
        <w:jc w:val="both"/>
        <w:ind w:firstLine="8"/>
        <w:spacing w:after="0" w:line="262" w:lineRule="auto"/>
        <w:tabs>
          <w:tab w:leader="none" w:pos="2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Assets taken in foreclosure of defaulted loans subject to nonrecurring fair value measurement were $4 million and $27 million at September 30, 2021 and 2020, respectively. Changes in fair value recognized for those foreclosed assets held by the Company were not material during the three-month and nine-month periods ended September 30, 2021 and 2020.</w:t>
      </w:r>
    </w:p>
    <w:p>
      <w:pPr>
        <w:spacing w:after="0" w:line="172" w:lineRule="exact"/>
        <w:rPr>
          <w:rFonts w:ascii="Arial" w:cs="Arial" w:eastAsia="Arial" w:hAnsi="Arial"/>
          <w:sz w:val="20"/>
          <w:szCs w:val="20"/>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720" w:firstLine="8"/>
        <w:spacing w:after="0" w:line="388" w:lineRule="auto"/>
        <w:tabs>
          <w:tab w:leader="none" w:pos="31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Fair value measurements, continued </w:t>
      </w:r>
      <w:r>
        <w:rPr>
          <w:rFonts w:ascii="Arial" w:cs="Arial" w:eastAsia="Arial" w:hAnsi="Arial"/>
          <w:sz w:val="19"/>
          <w:szCs w:val="19"/>
          <w:b w:val="1"/>
          <w:bCs w:val="1"/>
          <w:i w:val="1"/>
          <w:iCs w:val="1"/>
          <w:color w:val="auto"/>
        </w:rPr>
        <w:t>Capitalized servicing rights</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$147 million and $159 million at September 30, 2021 and December 31, 2020, respectively, required a valuation allowance of $29 million and $30 million, respectively. Significant unobservable inputs used in this Level 3 valuation included weighted-average prepayment speeds of 14.96% and 16.01% at September 30, 2021 and December 31, 2020, respectively, and a weighted-average option-adjusted spread of 900 basis points at each date. Changes in fair value recognized for impairment of capitalized servicing rights were a decrease in the valuation allowance of $1 million during the nine months ended September 30, 2021 and an increase in the valuation allowance of $20 million during the nine months ended September 30, 2020. There were no impairment charges for capitalized servicing rights during the three months ended September 30, 2021 or 2020.</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204" w:lineRule="exact"/>
        <w:rPr>
          <w:sz w:val="20"/>
          <w:szCs w:val="20"/>
          <w:color w:val="auto"/>
        </w:rPr>
      </w:pPr>
    </w:p>
    <w:p>
      <w:pPr>
        <w:ind w:right="34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Valuation</w:t>
            </w:r>
          </w:p>
        </w:tc>
        <w:tc>
          <w:tcPr>
            <w:tcW w:w="300" w:type="dxa"/>
            <w:vAlign w:val="bottom"/>
          </w:tcPr>
          <w:p>
            <w:pPr>
              <w:spacing w:after="0"/>
              <w:rPr>
                <w:sz w:val="14"/>
                <w:szCs w:val="14"/>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Unobservable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Technique</w:t>
            </w: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Inputs/Assumptions</w:t>
            </w:r>
          </w:p>
        </w:tc>
        <w:tc>
          <w:tcPr>
            <w:tcW w:w="40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 thousands)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30, 2021</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20,145</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 - 93% (14%)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Two independent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pricing quotes</w:t>
            </w:r>
          </w:p>
        </w:tc>
        <w:tc>
          <w:tcPr>
            <w:tcW w:w="3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43,234</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0% - 98% (16%)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00" w:lineRule="exact"/>
        <w:rPr>
          <w:rFonts w:ascii="Arial" w:cs="Arial" w:eastAsia="Arial" w:hAnsi="Arial"/>
          <w:sz w:val="18"/>
          <w:szCs w:val="18"/>
          <w:i w:val="1"/>
          <w:iCs w:val="1"/>
          <w:color w:val="auto"/>
        </w:rPr>
      </w:pPr>
    </w:p>
    <w:p>
      <w:pPr>
        <w:spacing w:after="0" w:line="281" w:lineRule="exact"/>
        <w:rPr>
          <w:rFonts w:ascii="Arial" w:cs="Arial" w:eastAsia="Arial" w:hAnsi="Arial"/>
          <w:sz w:val="18"/>
          <w:szCs w:val="18"/>
          <w:i w:val="1"/>
          <w:iCs w:val="1"/>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191" w:lineRule="exact"/>
        <w:rPr>
          <w:sz w:val="20"/>
          <w:szCs w:val="20"/>
          <w:color w:val="auto"/>
        </w:rPr>
      </w:pPr>
    </w:p>
    <w:p>
      <w:pPr>
        <w:jc w:val="both"/>
        <w:ind w:left="40"/>
        <w:spacing w:after="0" w:line="235"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Disclosures of fair value of financial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 2021</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080" w:type="dxa"/>
            <w:vAlign w:val="bottom"/>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1,479,712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1,479,712</w:t>
            </w: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1,351,944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127,768</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38,445,788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38,445,788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38,445,788</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624,556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624,556</w:t>
            </w:r>
          </w:p>
        </w:tc>
        <w:tc>
          <w:tcPr>
            <w:tcW w:w="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50,335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574,221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6,447,622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6,501,833</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75,169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6,364,735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22,514,940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22,315,530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22,315,530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37,023,952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36,312,089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558,970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35,753,119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16,209,354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16,397,551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3,902,745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12,494,806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17,834,648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17,935,068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17,935,068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(1,515,024)</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92,067,870</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92,960,238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4,461,715</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88,498,523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378,433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378,433</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(56,542,309)</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(56,542,309)</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(56,542,309)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(69,195,960)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(69,195,960)</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(69,195,960)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(2,963,027)</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(2,967,906)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(2,967,906)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(103,548)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(103,548)</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(103,548)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(3,500,391)</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(3,605,637)</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(3,605,637)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(38,808)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(38,808)</w:t>
            </w: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(38,808)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(92,649)</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(92,649)</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(92,649)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20,145</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9,734</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(124,145)</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(124,145)</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(124,145)</w:t>
            </w: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interest rate risk management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1,384</w:t>
            </w:r>
          </w:p>
        </w:tc>
        <w:tc>
          <w:tcPr>
            <w:tcW w:w="3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- 44 -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1,552,743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1,552,743</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1,497,457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55,286</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23,663,810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23,663,810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23,663,810</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1,068,581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1,068,581</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1,018,521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7,045,697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7,138,989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63,129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7,005,571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27,574,564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27,220,699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27,220,699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37,637,889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36,816,580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277,911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36,538,669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16,752,993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17,089,141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4,135,655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12,953,486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16,570,421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16,554,050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16,554,050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(1,736,387)</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96,799,480</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97,680,470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4,413,566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93,266,904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419,936</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(47,572,884)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(47,572,884)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(47,572,884)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(67,680,840)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(67,680,840)</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(67,680,840)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(3,899,910)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(3,919,367)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(3,919,367)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(652,104)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(652,104)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(652,104)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(59,482)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(59,482)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(59,482)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(4,382,193)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(4,490,433)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(4,490,433)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(59,916)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(59,916)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(59,916)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(116,902)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(116,902)</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(116,902)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43,234</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(18,429)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(18,429)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(18,429)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(133,354)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(133,354)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(133,354)</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 interest rate risk management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2"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14"/>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3"/>
          </w:tcPr>
          <w:p>
            <w:pPr>
              <w:jc w:val="right"/>
              <w:ind w:right="77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5,687,595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5,563,854</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433,529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363,735</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1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5,747,541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7,237,367</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750,820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1,026,118</w:t>
            </w:r>
          </w:p>
        </w:tc>
        <w:tc>
          <w:tcPr>
            <w:tcW w:w="8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1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840,039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665,259</w:t>
            </w:r>
          </w:p>
        </w:tc>
        <w:tc>
          <w:tcPr>
            <w:tcW w:w="8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21,685,356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19,427,886</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2,236,321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2,241,417</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34,495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27,332</w:t>
            </w:r>
          </w:p>
        </w:tc>
        <w:tc>
          <w:tcPr>
            <w:tcW w:w="8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0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4,133,648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4,220,531</w:t>
            </w:r>
          </w:p>
        </w:tc>
        <w:tc>
          <w:tcPr>
            <w:tcW w:w="8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1,788,113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2,108,823</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$10.6 billion and $10.4 billion at September 30, 2021 and December 31, 2020,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$3.9 billion and $4.0 billion at September 30, 2021 and December 31, 2020, respectively.</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Commitments and contingencies, continued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amount of those charges is based on the volume of loans sold, the level of reimbursement requests received from loan purchasers and estimates of losses that may be associated with previously sold loans. At September 30, 2021, the Company believes that its obligation to loan purchasers was not material to the Company’s consolidated financial position.</w:t>
      </w:r>
    </w:p>
    <w:p>
      <w:pPr>
        <w:spacing w:after="0" w:line="5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$25 million as of September 30, 2021.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15.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The financial information of the Company's segments was compiled utilizing the accounting policies described in note 22 of Notes to Financial Statements in the 2020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15. Segment information,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4"/>
          </w:tcPr>
          <w:p>
            <w:pPr>
              <w:jc w:val="center"/>
              <w:ind w:right="20"/>
              <w:spacing w:after="0"/>
              <w:rPr>
                <w:sz w:val="20"/>
                <w:szCs w:val="20"/>
                <w:color w:val="auto"/>
              </w:rPr>
            </w:pPr>
            <w:r>
              <w:rPr>
                <w:rFonts w:ascii="Arial" w:cs="Arial" w:eastAsia="Arial" w:hAnsi="Arial"/>
                <w:sz w:val="14"/>
                <w:szCs w:val="14"/>
                <w:b w:val="1"/>
                <w:bCs w:val="1"/>
                <w:color w:val="auto"/>
                <w:w w:val="93"/>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rPr>
              <w:t>Inter-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center"/>
              <w:ind w:right="48"/>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Inter-</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Revenues(a)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4"/>
                <w:szCs w:val="14"/>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Revenues(a)</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9"/>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360" w:type="dxa"/>
            <w:vAlign w:val="bottom"/>
          </w:tcPr>
          <w:p>
            <w:pPr>
              <w:spacing w:after="0"/>
              <w:rPr>
                <w:sz w:val="20"/>
                <w:szCs w:val="20"/>
                <w:color w:val="auto"/>
              </w:rPr>
            </w:pPr>
            <w:r>
              <w:rPr>
                <w:rFonts w:ascii="Arial" w:cs="Arial" w:eastAsia="Arial" w:hAnsi="Arial"/>
                <w:sz w:val="18"/>
                <w:szCs w:val="18"/>
                <w:color w:val="auto"/>
              </w:rPr>
              <w:t>Business Banking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181,873</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72,017</w:t>
            </w:r>
          </w:p>
        </w:tc>
        <w:tc>
          <w:tcPr>
            <w:tcW w:w="80" w:type="dxa"/>
            <w:vAlign w:val="bottom"/>
          </w:tcPr>
          <w:p>
            <w:pPr>
              <w:spacing w:after="0"/>
              <w:rPr>
                <w:sz w:val="24"/>
                <w:szCs w:val="24"/>
                <w:color w:val="auto"/>
              </w:rPr>
            </w:pPr>
          </w:p>
        </w:tc>
        <w:tc>
          <w:tcPr>
            <w:tcW w:w="24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131,566</w:t>
            </w: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35,614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295,209</w:t>
            </w:r>
          </w:p>
        </w:tc>
        <w:tc>
          <w:tcPr>
            <w:tcW w:w="90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144,367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276,125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228,317</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84,663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202,987</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tcPr>
          <w:p>
            <w:pPr>
              <w:jc w:val="right"/>
              <w:spacing w:after="0"/>
              <w:rPr>
                <w:sz w:val="20"/>
                <w:szCs w:val="20"/>
                <w:color w:val="auto"/>
              </w:rPr>
            </w:pPr>
            <w:r>
              <w:rPr>
                <w:rFonts w:ascii="Arial" w:cs="Arial" w:eastAsia="Arial" w:hAnsi="Arial"/>
                <w:sz w:val="18"/>
                <w:szCs w:val="18"/>
                <w:color w:val="auto"/>
              </w:rPr>
              <w:t>87,095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112,529</w:t>
            </w:r>
          </w:p>
        </w:tc>
        <w:tc>
          <w:tcPr>
            <w:tcW w:w="980" w:type="dxa"/>
            <w:vAlign w:val="bottom"/>
            <w:gridSpan w:val="8"/>
            <w:shd w:val="clear" w:color="auto" w:fill="CFF0FC"/>
          </w:tcPr>
          <w:p>
            <w:pPr>
              <w:jc w:val="right"/>
              <w:ind w:right="20"/>
              <w:spacing w:after="0"/>
              <w:rPr>
                <w:sz w:val="20"/>
                <w:szCs w:val="20"/>
                <w:color w:val="auto"/>
              </w:rPr>
            </w:pPr>
            <w:r>
              <w:rPr>
                <w:rFonts w:ascii="Arial" w:cs="Arial" w:eastAsia="Arial" w:hAnsi="Arial"/>
                <w:sz w:val="18"/>
                <w:szCs w:val="18"/>
                <w:color w:val="auto"/>
              </w:rPr>
              <w:t>(14,448)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74,666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140,135</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(10,748)</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159,213</w:t>
            </w:r>
          </w:p>
        </w:tc>
        <w:tc>
          <w:tcPr>
            <w:tcW w:w="900" w:type="dxa"/>
            <w:vAlign w:val="bottom"/>
            <w:gridSpan w:val="7"/>
          </w:tcPr>
          <w:p>
            <w:pPr>
              <w:jc w:val="right"/>
              <w:spacing w:after="0"/>
              <w:rPr>
                <w:sz w:val="20"/>
                <w:szCs w:val="20"/>
                <w:color w:val="auto"/>
              </w:rPr>
            </w:pPr>
            <w:r>
              <w:rPr>
                <w:rFonts w:ascii="Arial" w:cs="Arial" w:eastAsia="Arial" w:hAnsi="Arial"/>
                <w:sz w:val="18"/>
                <w:szCs w:val="18"/>
                <w:color w:val="auto"/>
              </w:rPr>
              <w:t>25,150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161,151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22,190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357,335</w:t>
            </w:r>
          </w:p>
        </w:tc>
        <w:tc>
          <w:tcPr>
            <w:tcW w:w="980" w:type="dxa"/>
            <w:vAlign w:val="bottom"/>
            <w:gridSpan w:val="8"/>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88,004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351,312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201,900</w:t>
            </w:r>
          </w:p>
        </w:tc>
        <w:tc>
          <w:tcPr>
            <w:tcW w:w="980" w:type="dxa"/>
            <w:vAlign w:val="bottom"/>
            <w:gridSpan w:val="8"/>
          </w:tcPr>
          <w:p>
            <w:pPr>
              <w:jc w:val="right"/>
              <w:ind w:right="20"/>
              <w:spacing w:after="0"/>
              <w:rPr>
                <w:sz w:val="20"/>
                <w:szCs w:val="20"/>
                <w:color w:val="auto"/>
              </w:rPr>
            </w:pPr>
            <w:r>
              <w:rPr>
                <w:rFonts w:ascii="Arial" w:cs="Arial" w:eastAsia="Arial" w:hAnsi="Arial"/>
                <w:sz w:val="18"/>
                <w:szCs w:val="18"/>
                <w:color w:val="auto"/>
              </w:rPr>
              <w:t>(12,579)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(14,334)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200,380</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(11,809)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(109,933)</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6"/>
              </w:rPr>
              <w:t>$ 1,536,376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495,460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84"/>
              </w:rPr>
              <w:t>$ 1,463,656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4"/>
          </w:tcPr>
          <w:p>
            <w:pPr>
              <w:jc w:val="center"/>
              <w:ind w:right="160"/>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4"/>
          </w:tcPr>
          <w:p>
            <w:pPr>
              <w:jc w:val="center"/>
              <w:ind w:left="52"/>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4"/>
          </w:tcPr>
          <w:p>
            <w:pPr>
              <w:jc w:val="center"/>
              <w:ind w:right="220"/>
              <w:spacing w:after="0" w:line="133" w:lineRule="exact"/>
              <w:rPr>
                <w:sz w:val="20"/>
                <w:szCs w:val="20"/>
                <w:color w:val="auto"/>
              </w:rPr>
            </w:pPr>
            <w:r>
              <w:rPr>
                <w:rFonts w:ascii="Arial" w:cs="Arial" w:eastAsia="Arial" w:hAnsi="Arial"/>
                <w:sz w:val="14"/>
                <w:szCs w:val="14"/>
                <w:b w:val="1"/>
                <w:bCs w:val="1"/>
                <w:color w:val="auto"/>
              </w:rPr>
              <w:t>Inter-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3"/>
          </w:tcPr>
          <w:p>
            <w:pPr>
              <w:jc w:val="center"/>
              <w:ind w:right="168"/>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Inter-</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98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w w:val="91"/>
              </w:rPr>
              <w:t>Revenues(a)</w:t>
            </w:r>
          </w:p>
        </w:tc>
        <w:tc>
          <w:tcPr>
            <w:tcW w:w="80" w:type="dxa"/>
            <w:vAlign w:val="bottom"/>
          </w:tcPr>
          <w:p>
            <w:pPr>
              <w:spacing w:after="0"/>
              <w:rPr>
                <w:sz w:val="14"/>
                <w:szCs w:val="14"/>
                <w:color w:val="auto"/>
              </w:rPr>
            </w:pPr>
          </w:p>
        </w:tc>
        <w:tc>
          <w:tcPr>
            <w:tcW w:w="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4"/>
                <w:szCs w:val="14"/>
                <w:color w:val="auto"/>
              </w:rPr>
            </w:pPr>
          </w:p>
        </w:tc>
        <w:tc>
          <w:tcPr>
            <w:tcW w:w="10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Revenues(a)</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10"/>
          </w:tcPr>
          <w:p>
            <w:pPr>
              <w:jc w:val="center"/>
              <w:ind w:right="54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5360" w:type="dxa"/>
            <w:vAlign w:val="bottom"/>
          </w:tcPr>
          <w:p>
            <w:pPr>
              <w:spacing w:after="0"/>
              <w:rPr>
                <w:sz w:val="20"/>
                <w:szCs w:val="20"/>
                <w:color w:val="auto"/>
              </w:rPr>
            </w:pPr>
            <w:r>
              <w:rPr>
                <w:rFonts w:ascii="Arial" w:cs="Arial" w:eastAsia="Arial" w:hAnsi="Arial"/>
                <w:sz w:val="18"/>
                <w:szCs w:val="18"/>
                <w:color w:val="auto"/>
              </w:rPr>
              <w:t>Business Banking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482,874</w:t>
            </w:r>
          </w:p>
        </w:tc>
        <w:tc>
          <w:tcPr>
            <w:tcW w:w="140" w:type="dxa"/>
            <w:vAlign w:val="bottom"/>
          </w:tcPr>
          <w:p>
            <w:pPr>
              <w:spacing w:after="0"/>
              <w:rPr>
                <w:sz w:val="24"/>
                <w:szCs w:val="24"/>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2,157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159,895</w:t>
            </w:r>
          </w:p>
        </w:tc>
        <w:tc>
          <w:tcPr>
            <w:tcW w:w="80" w:type="dxa"/>
            <w:vAlign w:val="bottom"/>
          </w:tcPr>
          <w:p>
            <w:pPr>
              <w:spacing w:after="0"/>
              <w:rPr>
                <w:sz w:val="24"/>
                <w:szCs w:val="24"/>
                <w:color w:val="auto"/>
              </w:rPr>
            </w:pPr>
          </w:p>
        </w:tc>
        <w:tc>
          <w:tcPr>
            <w:tcW w:w="24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407,485</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865,780</w:t>
            </w:r>
          </w:p>
        </w:tc>
        <w:tc>
          <w:tcPr>
            <w:tcW w:w="140" w:type="dxa"/>
            <w:vAlign w:val="bottom"/>
            <w:shd w:val="clear" w:color="auto" w:fill="CFF0FC"/>
          </w:tcPr>
          <w:p>
            <w:pPr>
              <w:spacing w:after="0"/>
              <w:rPr>
                <w:sz w:val="19"/>
                <w:szCs w:val="19"/>
                <w:color w:val="auto"/>
              </w:rPr>
            </w:pPr>
          </w:p>
        </w:tc>
        <w:tc>
          <w:tcPr>
            <w:tcW w:w="7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378,040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855,426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629,719</w:t>
            </w:r>
          </w:p>
        </w:tc>
        <w:tc>
          <w:tcPr>
            <w:tcW w:w="1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242,625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653,405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365,380</w:t>
            </w:r>
          </w:p>
        </w:tc>
        <w:tc>
          <w:tcPr>
            <w:tcW w:w="140" w:type="dxa"/>
            <w:vAlign w:val="bottom"/>
            <w:shd w:val="clear" w:color="auto" w:fill="CFF0FC"/>
          </w:tcPr>
          <w:p>
            <w:pPr>
              <w:spacing w:after="0"/>
              <w:rPr>
                <w:sz w:val="19"/>
                <w:szCs w:val="19"/>
                <w:color w:val="auto"/>
              </w:rPr>
            </w:pPr>
          </w:p>
        </w:tc>
        <w:tc>
          <w:tcPr>
            <w:tcW w:w="84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(34,554)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243,744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328,181</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(33,646)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459,655</w:t>
            </w:r>
          </w:p>
        </w:tc>
        <w:tc>
          <w:tcPr>
            <w:tcW w:w="1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70,208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125,791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428,757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64,623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1,055,240</w:t>
            </w:r>
          </w:p>
        </w:tc>
        <w:tc>
          <w:tcPr>
            <w:tcW w:w="140" w:type="dxa"/>
            <w:vAlign w:val="bottom"/>
            <w:shd w:val="clear" w:color="auto" w:fill="CFF0FC"/>
          </w:tcPr>
          <w:p>
            <w:pPr>
              <w:spacing w:after="0"/>
              <w:rPr>
                <w:sz w:val="19"/>
                <w:szCs w:val="19"/>
                <w:color w:val="auto"/>
              </w:rPr>
            </w:pPr>
          </w:p>
        </w:tc>
        <w:tc>
          <w:tcPr>
            <w:tcW w:w="7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262,562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1,107,516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620,694</w:t>
            </w:r>
          </w:p>
        </w:tc>
        <w:tc>
          <w:tcPr>
            <w:tcW w:w="140" w:type="dxa"/>
            <w:vAlign w:val="bottom"/>
          </w:tcPr>
          <w:p>
            <w:pPr>
              <w:spacing w:after="0"/>
              <w:rPr>
                <w:sz w:val="19"/>
                <w:szCs w:val="19"/>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(41,820)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(11,879)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633,461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(34,678)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(529,918)</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6"/>
              </w:rPr>
              <w:t>$ 4,479,342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1,400,778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84"/>
              </w:rPr>
              <w:t>$ 4,414,231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882,012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2"/>
          </w:tcPr>
          <w:p>
            <w:pPr>
              <w:jc w:val="right"/>
              <w:ind w:right="160"/>
              <w:spacing w:after="0"/>
              <w:rPr>
                <w:sz w:val="20"/>
                <w:szCs w:val="20"/>
                <w:color w:val="auto"/>
              </w:rPr>
            </w:pPr>
            <w:r>
              <w:rPr>
                <w:rFonts w:ascii="Arial" w:cs="Arial" w:eastAsia="Arial" w:hAnsi="Arial"/>
                <w:sz w:val="14"/>
                <w:szCs w:val="14"/>
                <w:b w:val="1"/>
                <w:bCs w:val="1"/>
                <w:color w:val="auto"/>
              </w:rPr>
              <w:t>Average Total Assets</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11"/>
          </w:tcPr>
          <w:p>
            <w:pPr>
              <w:jc w:val="center"/>
              <w:ind w:left="28"/>
              <w:spacing w:after="0" w:line="133" w:lineRule="exact"/>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3"/>
              </w:rPr>
              <w:t>Year Ended</w:t>
            </w:r>
          </w:p>
        </w:tc>
        <w:tc>
          <w:tcPr>
            <w:tcW w:w="56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9"/>
          </w:tcPr>
          <w:p>
            <w:pPr>
              <w:jc w:val="center"/>
              <w:ind w:right="28"/>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91"/>
              </w:rPr>
              <w:t>December 31</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10"/>
          </w:tcPr>
          <w:p>
            <w:pPr>
              <w:jc w:val="right"/>
              <w:ind w:right="420"/>
              <w:spacing w:after="0"/>
              <w:rPr>
                <w:sz w:val="20"/>
                <w:szCs w:val="20"/>
                <w:color w:val="auto"/>
              </w:rPr>
            </w:pPr>
            <w:r>
              <w:rPr>
                <w:rFonts w:ascii="Arial" w:cs="Arial" w:eastAsia="Arial" w:hAnsi="Arial"/>
                <w:sz w:val="14"/>
                <w:szCs w:val="14"/>
                <w:b w:val="1"/>
                <w:bCs w:val="1"/>
                <w:color w:val="auto"/>
                <w:w w:val="99"/>
              </w:rPr>
              <w:t>(In millions)</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360" w:type="dxa"/>
            <w:vAlign w:val="bottom"/>
          </w:tcPr>
          <w:p>
            <w:pPr>
              <w:spacing w:after="0"/>
              <w:rPr>
                <w:sz w:val="20"/>
                <w:szCs w:val="20"/>
                <w:color w:val="auto"/>
              </w:rPr>
            </w:pPr>
            <w:r>
              <w:rPr>
                <w:rFonts w:ascii="Arial" w:cs="Arial" w:eastAsia="Arial" w:hAnsi="Arial"/>
                <w:sz w:val="18"/>
                <w:szCs w:val="18"/>
                <w:color w:val="auto"/>
              </w:rPr>
              <w:t>Business Banking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8,386</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7,902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8,152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29,109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30,450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30,338</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25,913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25,594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25,792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22,317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27,878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27,726</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6,582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17,701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7"/>
              </w:rPr>
              <w:t>16,231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40,959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20,845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22,996</w:t>
            </w:r>
          </w:p>
        </w:tc>
        <w:tc>
          <w:tcPr>
            <w:tcW w:w="80" w:type="dxa"/>
            <w:vAlign w:val="bottom"/>
            <w:tcBorders>
              <w:bottom w:val="single" w:sz="8" w:color="CFF0FC"/>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w w:val="94"/>
              </w:rPr>
              <w:t>$ 150,967</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w w:val="95"/>
              </w:rPr>
              <w:t>132,430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2"/>
              </w:rPr>
              <w:t>135,480</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00" w:hanging="492"/>
        <w:spacing w:after="0" w:line="288" w:lineRule="auto"/>
        <w:tabs>
          <w:tab w:leader="none" w:pos="500" w:val="left"/>
        </w:tabs>
        <w:numPr>
          <w:ilvl w:val="0"/>
          <w:numId w:val="21"/>
        </w:numPr>
        <w:rPr>
          <w:rFonts w:ascii="Arial" w:cs="Arial" w:eastAsia="Arial" w:hAnsi="Arial"/>
          <w:sz w:val="15"/>
          <w:szCs w:val="15"/>
          <w:i w:val="1"/>
          <w:iCs w:val="1"/>
          <w:color w:val="auto"/>
        </w:rPr>
      </w:pPr>
      <w:r>
        <w:rPr>
          <w:rFonts w:ascii="Arial" w:cs="Arial" w:eastAsia="Arial" w:hAnsi="Arial"/>
          <w:sz w:val="15"/>
          <w:szCs w:val="15"/>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$3,703,000 and $4,019,000 for the three-month periods ended September 30, 2021 and 2020, respectively, and $11,168,000 and $13,316,000 for the nine-month periods ended September 30, 2021 and 2020, respectively, and is eliminated in "All Other" total revenues. Intersegment revenues are included in total revenues of the reportable segments. The elimination of intersegment revenues is included in the determination of "All Other" total revenues</w:t>
      </w:r>
      <w:r>
        <w:rPr>
          <w:rFonts w:ascii="Arial" w:cs="Arial" w:eastAsia="Arial" w:hAnsi="Arial"/>
          <w:sz w:val="13"/>
          <w:szCs w:val="13"/>
          <w:i w:val="1"/>
          <w:iCs w:val="1"/>
          <w:color w:val="auto"/>
        </w:rPr>
        <w:t>.</w:t>
      </w:r>
    </w:p>
    <w:p>
      <w:pPr>
        <w:spacing w:after="0" w:line="174" w:lineRule="exact"/>
        <w:rPr>
          <w:rFonts w:ascii="Arial" w:cs="Arial" w:eastAsia="Arial" w:hAnsi="Arial"/>
          <w:sz w:val="15"/>
          <w:szCs w:val="15"/>
          <w:i w:val="1"/>
          <w:iCs w:val="1"/>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Relationship with Bayview Lending Group LLC and Bayview Financial Holdings, L.P.</w:t>
      </w:r>
    </w:p>
    <w:p>
      <w:pPr>
        <w:spacing w:after="0" w:line="116" w:lineRule="exact"/>
        <w:rPr>
          <w:sz w:val="20"/>
          <w:szCs w:val="20"/>
          <w:color w:val="auto"/>
        </w:rPr>
      </w:pPr>
    </w:p>
    <w:p>
      <w:pPr>
        <w:jc w:val="both"/>
        <w:ind w:right="100"/>
        <w:spacing w:after="0" w:line="279" w:lineRule="auto"/>
        <w:rPr>
          <w:sz w:val="20"/>
          <w:szCs w:val="20"/>
          <w:color w:val="auto"/>
        </w:rPr>
      </w:pPr>
      <w:r>
        <w:rPr>
          <w:rFonts w:ascii="Arial" w:cs="Arial" w:eastAsia="Arial" w:hAnsi="Arial"/>
          <w:sz w:val="19"/>
          <w:szCs w:val="19"/>
          <w:color w:val="auto"/>
        </w:rPr>
        <w:t>M&amp;T holds a 20% minority interest in Bayview Lending Group LLC ("BLG"), a privately-held commercial mortgage company. That investment had no remaining carrying value at September 30, 2021 as a result of cumulative losses recognized and cash distributions received in prior years. Cash distributions now received from BLG are recognized as income by M&amp;T and included in other revenues from operations. That income totaled $23 million during the nine-month period ended September 30, 2020. There were no similar cash distributions during the nine-month period ended September 30, 2021 or in the three-month period ended September 30, 2020.</w:t>
      </w:r>
    </w:p>
    <w:p>
      <w:pPr>
        <w:spacing w:after="0" w:line="53" w:lineRule="exact"/>
        <w:rPr>
          <w:sz w:val="20"/>
          <w:szCs w:val="20"/>
          <w:color w:val="auto"/>
        </w:rPr>
      </w:pPr>
    </w:p>
    <w:p>
      <w:pPr>
        <w:jc w:val="both"/>
        <w:ind w:right="100" w:firstLine="510"/>
        <w:spacing w:after="0" w:line="270"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$1.7 billion and $1.9 billion at September 30, 2021 and December 31, 2020, respectively. Revenues from those servicing rights were $2 million in each of the three-month periods ended September 30, 2021 and 2020 and $7 million for each of the nine-month periods ended September 30, 2021 and 2020. The Company sub-services residential mortgage loans for Bayview Financial having outstanding principal balances of $73.2 billion and $68.1 billion at September 30, 2021 and December 31, 2020, respectively. Revenues earned for sub-servicing loans for Bayview Financial were $39 million and $30 million for the three-month periods ended September 30, 2021 and 2020, respectively, and $110 million and $101 million in the nine-month periods ended September 30, 2021 and 2020, respectively. In addition, the Company held $65 million and $77 million of mortgage-backed securities in its held-to-maturity portfolio at September 30, 2021 and December 31, 2020, respectively, that were securitized by Bayview Financial. At September 30, 2021, the Company held $130 million of Bayview Financial’s $1.1 billion syndicated loan facility. In the first three months of 2021, the Company purchased $965 million of delinquent FHA guaranteed mortgage loans, including past due accrued interest, from Bayview Financial for $1.0 billion. The servicing rights for such loans were retained by Bayview Financial, but the Company continues to sub-service the loans.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2021 as well as standards that are not effective that could have an impact to M&amp;T’s consolidated financial statements upon adoption.</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32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Adopted in 2021</w:t>
            </w:r>
          </w:p>
        </w:tc>
        <w:tc>
          <w:tcPr>
            <w:tcW w:w="1500" w:type="dxa"/>
            <w:vAlign w:val="bottom"/>
            <w:tcBorders>
              <w:bottom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Clarifying the</w:t>
            </w:r>
          </w:p>
        </w:tc>
        <w:tc>
          <w:tcPr>
            <w:tcW w:w="38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amendments clarify the following guidance: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2021</w:t>
            </w: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Interactions Between</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That an entity should consider observable transactions</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2021 using a prospective transition method. The adoption did not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Equity Securities,</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that require it to either apply or discontinue the equity</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have a material impact on the Company’s consolidated financial</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Equity Method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method of accounting for the purposes of applying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Joint Ventures,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measurement alternative in the equity securities</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Derivatives and</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investments guidance immediately before applying or upon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Hedging</w:t>
            </w: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discontinuing the equity method of accounting.</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 For the purpose of applying the derivatives and hedging</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 an entity should not consider whether, upon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settlement of a forward contract or exercise of a purchased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option, individually or with existing investments,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underlying securities would be accounted for under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equity method of accounting or the fair value option in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accordance with the financial instruments guidance. An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entity also would evaluate the remaining characteristics in</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derivatives and hedging guidance to determine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accounting for those forward contracts and purchased</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options.</w:t>
            </w: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43287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2879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66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260" w:type="dxa"/>
            <w:vAlign w:val="bottom"/>
            <w:tcBorders>
              <w:top w:val="single" w:sz="8" w:color="auto"/>
            </w:tcBorders>
          </w:tcPr>
          <w:p>
            <w:pPr>
              <w:spacing w:after="0"/>
              <w:rPr>
                <w:sz w:val="12"/>
                <w:szCs w:val="12"/>
                <w:color w:val="auto"/>
              </w:rPr>
            </w:pPr>
          </w:p>
        </w:tc>
        <w:tc>
          <w:tcPr>
            <w:tcW w:w="3620" w:type="dxa"/>
            <w:vAlign w:val="bottom"/>
            <w:tcBorders>
              <w:top w:val="single" w:sz="8" w:color="auto"/>
              <w:right w:val="single" w:sz="8" w:color="auto"/>
            </w:tcBorders>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bottom w:val="single" w:sz="8" w:color="auto"/>
              <w:right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Standards Adopted in 2021</w:t>
            </w:r>
          </w:p>
        </w:tc>
        <w:tc>
          <w:tcPr>
            <w:tcW w:w="3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Pr>
          <w:p>
            <w:pPr>
              <w:ind w:left="140"/>
              <w:spacing w:after="0" w:line="123" w:lineRule="exact"/>
              <w:rPr>
                <w:sz w:val="20"/>
                <w:szCs w:val="20"/>
                <w:color w:val="auto"/>
              </w:rPr>
            </w:pPr>
            <w:r>
              <w:rPr>
                <w:rFonts w:ascii="Arial" w:cs="Arial" w:eastAsia="Arial" w:hAnsi="Arial"/>
                <w:sz w:val="14"/>
                <w:szCs w:val="14"/>
                <w:color w:val="auto"/>
              </w:rPr>
              <w:t>Simplifying the</w:t>
            </w:r>
          </w:p>
        </w:tc>
        <w:tc>
          <w:tcPr>
            <w:tcW w:w="2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500" w:type="dxa"/>
            <w:vAlign w:val="bottom"/>
          </w:tcPr>
          <w:p>
            <w:pPr>
              <w:jc w:val="center"/>
              <w:spacing w:after="0" w:line="123" w:lineRule="exact"/>
              <w:rPr>
                <w:sz w:val="20"/>
                <w:szCs w:val="20"/>
                <w:color w:val="auto"/>
              </w:rPr>
            </w:pPr>
            <w:r>
              <w:rPr>
                <w:rFonts w:ascii="Arial" w:cs="Arial" w:eastAsia="Arial" w:hAnsi="Arial"/>
                <w:sz w:val="14"/>
                <w:szCs w:val="14"/>
                <w:color w:val="auto"/>
                <w:w w:val="91"/>
              </w:rPr>
              <w:t>January 1, 2021</w:t>
            </w:r>
          </w:p>
        </w:tc>
        <w:tc>
          <w:tcPr>
            <w:tcW w:w="4200" w:type="dxa"/>
            <w:vAlign w:val="bottom"/>
          </w:tcPr>
          <w:p>
            <w:pPr>
              <w:ind w:left="100"/>
              <w:spacing w:after="0" w:line="123" w:lineRule="exact"/>
              <w:rPr>
                <w:sz w:val="20"/>
                <w:szCs w:val="20"/>
                <w:color w:val="auto"/>
              </w:rPr>
            </w:pPr>
            <w:r>
              <w:rPr>
                <w:rFonts w:ascii="Arial" w:cs="Arial" w:eastAsia="Arial" w:hAnsi="Arial"/>
                <w:sz w:val="14"/>
                <w:szCs w:val="14"/>
                <w:color w:val="auto"/>
              </w:rPr>
              <w:t>The amendments related to separate financial statements of legal</w:t>
            </w: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Accounting for Income</w:t>
            </w: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The amendments remove the following exceptions for</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8"/>
        </w:trPr>
        <w:tc>
          <w:tcPr>
            <w:tcW w:w="1660" w:type="dxa"/>
            <w:vAlign w:val="bottom"/>
          </w:tcPr>
          <w:p>
            <w:pPr>
              <w:ind w:left="140"/>
              <w:spacing w:after="0" w:line="149" w:lineRule="exact"/>
              <w:rPr>
                <w:sz w:val="20"/>
                <w:szCs w:val="20"/>
                <w:color w:val="auto"/>
              </w:rPr>
            </w:pPr>
            <w:r>
              <w:rPr>
                <w:rFonts w:ascii="Arial" w:cs="Arial" w:eastAsia="Arial" w:hAnsi="Arial"/>
                <w:sz w:val="14"/>
                <w:szCs w:val="14"/>
                <w:color w:val="auto"/>
              </w:rPr>
              <w:t>Taxes</w:t>
            </w: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accounting for income taxes: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retrospective basis for all periods presented. The amendments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1.</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incremental approach for intraperiod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related to changes in ownership of foreign equity method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allocation when there is a loss from continuing operations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7"/>
              </w:rPr>
              <w:t>investments or foreign subsidiaries should be applied on a modified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income or a gain from other items (for example,</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retrospective basis through a cumulative-effect adjustment to</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discontinued operations or other comprehensive income)</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8"/>
              </w:rPr>
              <w:t>retained earnings as of the beginning of the fiscal year of adoption.</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2.</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requirement to recognize a deferred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w w:val="98"/>
              </w:rPr>
              <w:t>The amendments related to franchise taxes that are partially based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liability for equity method investments when a foreign</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on income should be applied on either a retrospective basis for all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subsidiary becomes an equity method investment</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periods presented or a modified retrospective basis through a</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3.</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ability not to recognize a deferred tax</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cumulative-effect adjustment to retained earnings as of the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liability for a foreign subsidiary when a foreign equity</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beginning of the fiscal year of adoption. All other amendments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method investment becomes a subsidiary</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should be applied on a prospective basis.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4.</w:t>
            </w:r>
          </w:p>
        </w:tc>
        <w:tc>
          <w:tcPr>
            <w:tcW w:w="3620" w:type="dxa"/>
            <w:vAlign w:val="bottom"/>
          </w:tcPr>
          <w:p>
            <w:pPr>
              <w:ind w:left="20"/>
              <w:spacing w:after="0" w:line="149" w:lineRule="exact"/>
              <w:rPr>
                <w:sz w:val="20"/>
                <w:szCs w:val="20"/>
                <w:color w:val="auto"/>
              </w:rPr>
            </w:pPr>
            <w:r>
              <w:rPr>
                <w:rFonts w:ascii="Arial" w:cs="Arial" w:eastAsia="Arial" w:hAnsi="Arial"/>
                <w:sz w:val="14"/>
                <w:szCs w:val="14"/>
                <w:color w:val="auto"/>
              </w:rPr>
              <w:t>Exception to the general methodology for calculating</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The adoption did not have a material impact on the Company’s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income taxes in an interim period when a year-to-date loss</w:t>
            </w:r>
          </w:p>
        </w:tc>
        <w:tc>
          <w:tcPr>
            <w:tcW w:w="1500" w:type="dxa"/>
            <w:vAlign w:val="bottom"/>
          </w:tcPr>
          <w:p>
            <w:pPr>
              <w:spacing w:after="0"/>
              <w:rPr>
                <w:sz w:val="12"/>
                <w:szCs w:val="12"/>
                <w:color w:val="auto"/>
              </w:rPr>
            </w:pPr>
          </w:p>
        </w:tc>
        <w:tc>
          <w:tcPr>
            <w:tcW w:w="4200" w:type="dxa"/>
            <w:vAlign w:val="bottom"/>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82"/>
        </w:trPr>
        <w:tc>
          <w:tcPr>
            <w:tcW w:w="1660" w:type="dxa"/>
            <w:vAlign w:val="bottom"/>
          </w:tcPr>
          <w:p>
            <w:pPr>
              <w:spacing w:after="0"/>
              <w:rPr>
                <w:sz w:val="15"/>
                <w:szCs w:val="15"/>
                <w:color w:val="auto"/>
              </w:rPr>
            </w:pPr>
          </w:p>
        </w:tc>
        <w:tc>
          <w:tcPr>
            <w:tcW w:w="3880" w:type="dxa"/>
            <w:vAlign w:val="bottom"/>
            <w:gridSpan w:val="2"/>
          </w:tcPr>
          <w:p>
            <w:pPr>
              <w:ind w:left="120"/>
              <w:spacing w:after="0"/>
              <w:rPr>
                <w:sz w:val="20"/>
                <w:szCs w:val="20"/>
                <w:color w:val="auto"/>
              </w:rPr>
            </w:pPr>
            <w:r>
              <w:rPr>
                <w:rFonts w:ascii="Arial" w:cs="Arial" w:eastAsia="Arial" w:hAnsi="Arial"/>
                <w:sz w:val="14"/>
                <w:szCs w:val="14"/>
                <w:color w:val="auto"/>
              </w:rPr>
              <w:t>exceeds the anticipated loss for the year.</w:t>
            </w:r>
          </w:p>
        </w:tc>
        <w:tc>
          <w:tcPr>
            <w:tcW w:w="1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The amendments also simplify the accounting for income</w:t>
      </w:r>
    </w:p>
    <w:p>
      <w:pPr>
        <w:ind w:left="1780"/>
        <w:spacing w:after="0" w:line="221" w:lineRule="auto"/>
        <w:rPr>
          <w:sz w:val="20"/>
          <w:szCs w:val="20"/>
          <w:color w:val="auto"/>
        </w:rPr>
      </w:pPr>
      <w:r>
        <w:rPr>
          <w:rFonts w:ascii="Arial" w:cs="Arial" w:eastAsia="Arial" w:hAnsi="Arial"/>
          <w:sz w:val="14"/>
          <w:szCs w:val="14"/>
          <w:color w:val="auto"/>
        </w:rPr>
        <w:t>taxes by doing the following:</w:t>
      </w:r>
    </w:p>
    <w:p>
      <w:pPr>
        <w:ind w:left="1780" w:right="6040" w:firstLine="9"/>
        <w:spacing w:after="0" w:line="221" w:lineRule="auto"/>
        <w:tabs>
          <w:tab w:leader="none" w:pos="1924"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Requiring that an entity recognize a franchise tax (or similar tax) that is partially based on income as an income-based tax and account for any incremental amount incurred as a non-income-based tax.</w:t>
      </w:r>
    </w:p>
    <w:p>
      <w:pPr>
        <w:spacing w:after="0" w:line="1" w:lineRule="exact"/>
        <w:rPr>
          <w:rFonts w:ascii="Arial" w:cs="Arial" w:eastAsia="Arial" w:hAnsi="Arial"/>
          <w:sz w:val="14"/>
          <w:szCs w:val="14"/>
          <w:color w:val="auto"/>
        </w:rPr>
      </w:pPr>
    </w:p>
    <w:p>
      <w:pPr>
        <w:ind w:left="1780" w:right="6160" w:firstLine="9"/>
        <w:spacing w:after="0" w:line="221" w:lineRule="auto"/>
        <w:tabs>
          <w:tab w:leader="none" w:pos="1924"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Requiring that an entity evaluate when a step up in the tax basis of goodwill should be considered part of the business combination in which the book goodwill was originally recognized and when it should be considered a separate transaction.</w:t>
      </w:r>
    </w:p>
    <w:p>
      <w:pPr>
        <w:spacing w:after="0" w:line="1" w:lineRule="exact"/>
        <w:rPr>
          <w:rFonts w:ascii="Arial" w:cs="Arial" w:eastAsia="Arial" w:hAnsi="Arial"/>
          <w:sz w:val="14"/>
          <w:szCs w:val="14"/>
          <w:color w:val="auto"/>
        </w:rPr>
      </w:pPr>
    </w:p>
    <w:p>
      <w:pPr>
        <w:ind w:left="1780" w:right="6040" w:firstLine="9"/>
        <w:spacing w:after="0" w:line="238" w:lineRule="auto"/>
        <w:tabs>
          <w:tab w:leader="none" w:pos="1924" w:val="left"/>
        </w:tabs>
        <w:numPr>
          <w:ilvl w:val="0"/>
          <w:numId w:val="22"/>
        </w:numPr>
        <w:rPr>
          <w:rFonts w:ascii="Arial" w:cs="Arial" w:eastAsia="Arial" w:hAnsi="Arial"/>
          <w:sz w:val="13"/>
          <w:szCs w:val="13"/>
          <w:color w:val="auto"/>
        </w:rPr>
      </w:pPr>
      <w:r>
        <w:rPr>
          <w:rFonts w:ascii="Arial" w:cs="Arial" w:eastAsia="Arial" w:hAnsi="Arial"/>
          <w:sz w:val="13"/>
          <w:szCs w:val="13"/>
          <w:color w:val="auto"/>
        </w:rPr>
        <w:t>Specifying that an entity is not required to allocate the consolidated amount of current and deferred tax expense to a legal entity that is not subject to tax in its separate financial statements. However, an entity may elect to do so (on an entity-by-entity basis) for a legal entity that is both not subject to tax and disregarded by the taxing authority.</w:t>
      </w:r>
    </w:p>
    <w:p>
      <w:pPr>
        <w:spacing w:after="0" w:line="1" w:lineRule="exact"/>
        <w:rPr>
          <w:rFonts w:ascii="Arial" w:cs="Arial" w:eastAsia="Arial" w:hAnsi="Arial"/>
          <w:sz w:val="13"/>
          <w:szCs w:val="13"/>
          <w:color w:val="auto"/>
        </w:rPr>
      </w:pPr>
    </w:p>
    <w:p>
      <w:pPr>
        <w:jc w:val="both"/>
        <w:ind w:left="1780" w:right="6140" w:firstLine="9"/>
        <w:spacing w:after="0" w:line="221" w:lineRule="auto"/>
        <w:tabs>
          <w:tab w:leader="none" w:pos="1924"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Requiring that an entity reflect the effect of an enacted change in tax laws or rates in the annual effective tax rate computation in the interim period that includes the enactment date.</w:t>
      </w:r>
    </w:p>
    <w:p>
      <w:pPr>
        <w:spacing w:after="0" w:line="1" w:lineRule="exact"/>
        <w:rPr>
          <w:rFonts w:ascii="Arial" w:cs="Arial" w:eastAsia="Arial" w:hAnsi="Arial"/>
          <w:sz w:val="14"/>
          <w:szCs w:val="14"/>
          <w:color w:val="auto"/>
        </w:rPr>
      </w:pPr>
    </w:p>
    <w:p>
      <w:pPr>
        <w:ind w:left="1780" w:right="6200" w:firstLine="9"/>
        <w:spacing w:after="0" w:line="249" w:lineRule="auto"/>
        <w:tabs>
          <w:tab w:leader="none" w:pos="1924"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Making minor Codification improvements for income taxes related to employee stock ownership plans and investments in qualified affordable housing projects accounted for using the equity method.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September 30, 2021</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Changes to Accounting</w:t>
            </w:r>
          </w:p>
        </w:tc>
        <w:tc>
          <w:tcPr>
            <w:tcW w:w="38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The amendments reduce the number of accounting models</w:t>
            </w:r>
          </w:p>
        </w:tc>
        <w:tc>
          <w:tcPr>
            <w:tcW w:w="15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January 1, 2022</w:t>
            </w:r>
          </w:p>
        </w:tc>
        <w:tc>
          <w:tcPr>
            <w:tcW w:w="42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7"/>
              </w:rPr>
              <w:t>The amendments can be applied either on a modified retrospective</w:t>
            </w:r>
          </w:p>
        </w:tc>
        <w:tc>
          <w:tcPr>
            <w:tcW w:w="0" w:type="dxa"/>
            <w:vAlign w:val="bottom"/>
          </w:tcPr>
          <w:p>
            <w:pPr>
              <w:spacing w:after="0"/>
              <w:rPr>
                <w:sz w:val="1"/>
                <w:szCs w:val="1"/>
                <w:color w:val="auto"/>
              </w:rPr>
            </w:pPr>
          </w:p>
        </w:tc>
      </w:tr>
      <w:tr>
        <w:trPr>
          <w:trHeight w:val="140"/>
        </w:trPr>
        <w:tc>
          <w:tcPr>
            <w:tcW w:w="1660" w:type="dxa"/>
            <w:vAlign w:val="bottom"/>
            <w:tcBorders>
              <w:left w:val="single" w:sz="8" w:color="auto"/>
              <w:right w:val="single" w:sz="8" w:color="auto"/>
            </w:tcBorders>
          </w:tcPr>
          <w:p>
            <w:pPr>
              <w:ind w:left="140"/>
              <w:spacing w:after="0" w:line="141" w:lineRule="exact"/>
              <w:rPr>
                <w:sz w:val="20"/>
                <w:szCs w:val="20"/>
                <w:color w:val="auto"/>
              </w:rPr>
            </w:pPr>
            <w:r>
              <w:rPr>
                <w:rFonts w:ascii="Arial" w:cs="Arial" w:eastAsia="Arial" w:hAnsi="Arial"/>
                <w:sz w:val="14"/>
                <w:szCs w:val="14"/>
                <w:color w:val="auto"/>
              </w:rPr>
              <w:t>for Convertible</w:t>
            </w:r>
          </w:p>
        </w:tc>
        <w:tc>
          <w:tcPr>
            <w:tcW w:w="388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4"/>
                <w:szCs w:val="14"/>
                <w:color w:val="auto"/>
                <w:w w:val="98"/>
              </w:rPr>
              <w:t>method of transition or a fully retrospective method of transition. In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Instruments and</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for convertible debt instruments and convertible preferred</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6"/>
              </w:rPr>
              <w:t>applying the modified retrospective method, the guidance should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Contracts in an</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stock. The amendments also reduce form-over-substance-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applied to transactions outstanding as of the beginning of the fiscal</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Entity’s Own Equity</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based guidance for the derivatives scope exception for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year in which the amendments are adopted. Transactions that were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contacts in an entity’s own equity. For convertible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settled (or expired) during prior reporting periods are unaffected.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instruments, embedded conversion features no longer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separated from the host contract for convertible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5"/>
              </w:rPr>
              <w:t>adjustment to the opening balance of retained earnings at the date of</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with conversion features that are not required to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adoption. If applying the fully retrospective method of transition,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accounted for as derivatives, or that do not result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cumulative effect of the change should be recognized as an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substantial premiums accounted for as paid-in capital.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adjustment to the opening balance of retained earnings in the first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Consequently, a convertible debt instrument will be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comparative period presented.</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accounted for as a single liability measured at its amortized</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cost and a convertible preferred stock will be accounted for</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fair value option is allowed to be irrevocably elected for any</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a single equity instrument measured at its historical cost,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instrument that is a convertible security upon adoption of</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long as no other features require bifurcation and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recognition as derivatives. By removing those separation</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models, the interest rate of convertible debt instruments</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9"/>
              </w:rPr>
              <w:t>The Company has not yet decided on which transition method will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typically will be closer to the coupon interest rate on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be applied to the extent applicable. The Company does not expect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instrument. The amendments also require certain changes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guidance will have a material impact on its consolidated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EPS calculations for convertible instruments as well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16"/>
        </w:trPr>
        <w:tc>
          <w:tcPr>
            <w:tcW w:w="1660" w:type="dxa"/>
            <w:vAlign w:val="bottom"/>
            <w:tcBorders>
              <w:left w:val="single" w:sz="8" w:color="auto"/>
              <w:right w:val="single" w:sz="8" w:color="auto"/>
            </w:tcBorders>
          </w:tcPr>
          <w:p>
            <w:pPr>
              <w:spacing w:after="0"/>
              <w:rPr>
                <w:sz w:val="10"/>
                <w:szCs w:val="10"/>
                <w:color w:val="auto"/>
              </w:rPr>
            </w:pPr>
          </w:p>
        </w:tc>
        <w:tc>
          <w:tcPr>
            <w:tcW w:w="3880" w:type="dxa"/>
            <w:vAlign w:val="bottom"/>
            <w:tcBorders>
              <w:right w:val="single" w:sz="8" w:color="auto"/>
            </w:tcBorders>
          </w:tcPr>
          <w:p>
            <w:pPr>
              <w:ind w:left="120"/>
              <w:spacing w:after="0" w:line="116" w:lineRule="exact"/>
              <w:rPr>
                <w:sz w:val="20"/>
                <w:szCs w:val="20"/>
                <w:color w:val="auto"/>
              </w:rPr>
            </w:pPr>
            <w:r>
              <w:rPr>
                <w:rFonts w:ascii="Arial" w:cs="Arial" w:eastAsia="Arial" w:hAnsi="Arial"/>
                <w:sz w:val="13"/>
                <w:szCs w:val="13"/>
                <w:color w:val="auto"/>
              </w:rPr>
              <w:t>additional disclosures relating to conditions that cause</w:t>
            </w:r>
          </w:p>
        </w:tc>
        <w:tc>
          <w:tcPr>
            <w:tcW w:w="1500" w:type="dxa"/>
            <w:vAlign w:val="bottom"/>
            <w:tcBorders>
              <w:right w:val="single" w:sz="8" w:color="auto"/>
            </w:tcBorders>
          </w:tcPr>
          <w:p>
            <w:pPr>
              <w:spacing w:after="0"/>
              <w:rPr>
                <w:sz w:val="10"/>
                <w:szCs w:val="10"/>
                <w:color w:val="auto"/>
              </w:rPr>
            </w:pPr>
          </w:p>
        </w:tc>
        <w:tc>
          <w:tcPr>
            <w:tcW w:w="4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conversion features to be met.</w:t>
            </w: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For contacts in an entity’s own equity, the</w:t>
            </w:r>
          </w:p>
        </w:tc>
        <w:tc>
          <w:tcPr>
            <w:tcW w:w="1500" w:type="dxa"/>
            <w:vAlign w:val="bottom"/>
            <w:tcBorders>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amendments revise the derivatives scope exception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 as follows: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Remove the settlement in unregistered shares, collateral,</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and shareholder rights conditions from the settlement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guidance.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2. Clarify that payment penalties for failure to timely file do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not preclude equity classification.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3. Require instruments that are required to be classified as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 asset or liability to be measured subsequently at fair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value, with changes reported in earnings and disclosed in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financial statements. 4. Clarifiy that the scope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disclosure requirements in the Contracts in an Entity’s Own</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Equity section of the Derivatives guidance applies only to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freestanding instruments.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8"/>
              </w:rPr>
              <w:t>5. Clarify that the scope of the reassessment guidance in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Contracts in an Entity’s Own Equity section of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Derivatives guidance applies to both freestanding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instruments and embedded features.</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 continued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of September 30, 2021</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shd w:val="clear" w:color="auto" w:fill="CFF0FC"/>
          </w:tcPr>
          <w:p>
            <w:pPr>
              <w:ind w:left="140"/>
              <w:spacing w:after="0" w:line="123" w:lineRule="exact"/>
              <w:rPr>
                <w:sz w:val="20"/>
                <w:szCs w:val="20"/>
                <w:color w:val="auto"/>
              </w:rPr>
            </w:pPr>
            <w:r>
              <w:rPr>
                <w:rFonts w:ascii="Arial" w:cs="Arial" w:eastAsia="Arial" w:hAnsi="Arial"/>
                <w:sz w:val="14"/>
                <w:szCs w:val="14"/>
                <w:color w:val="auto"/>
              </w:rPr>
              <w:t>Issuer’s Accounting</w:t>
            </w:r>
          </w:p>
        </w:tc>
        <w:tc>
          <w:tcPr>
            <w:tcW w:w="3880" w:type="dxa"/>
            <w:vAlign w:val="bottom"/>
            <w:tcBorders>
              <w:right w:val="single" w:sz="8" w:color="auto"/>
            </w:tcBorders>
            <w:shd w:val="clear" w:color="auto" w:fill="CFF0FC"/>
          </w:tcPr>
          <w:p>
            <w:pPr>
              <w:spacing w:after="0"/>
              <w:rPr>
                <w:sz w:val="10"/>
                <w:szCs w:val="10"/>
                <w:color w:val="auto"/>
              </w:rPr>
            </w:pPr>
          </w:p>
        </w:tc>
        <w:tc>
          <w:tcPr>
            <w:tcW w:w="150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91"/>
              </w:rPr>
              <w:t>January 1, 2022</w:t>
            </w:r>
          </w:p>
        </w:tc>
        <w:tc>
          <w:tcPr>
            <w:tcW w:w="4200" w:type="dxa"/>
            <w:vAlign w:val="bottom"/>
            <w:tcBorders>
              <w:right w:val="single" w:sz="8" w:color="auto"/>
            </w:tcBorders>
            <w:shd w:val="clear" w:color="auto" w:fill="CFF0FC"/>
          </w:tcPr>
          <w:p>
            <w:pPr>
              <w:ind w:left="100"/>
              <w:spacing w:after="0" w:line="123" w:lineRule="exact"/>
              <w:rPr>
                <w:sz w:val="20"/>
                <w:szCs w:val="20"/>
                <w:color w:val="auto"/>
              </w:rPr>
            </w:pPr>
            <w:r>
              <w:rPr>
                <w:rFonts w:ascii="Arial" w:cs="Arial" w:eastAsia="Arial" w:hAnsi="Arial"/>
                <w:sz w:val="14"/>
                <w:szCs w:val="14"/>
                <w:color w:val="auto"/>
              </w:rPr>
              <w:t>The amendments should be applied on a prospective basis. The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for Certain</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amendments clarify and reduce diversity in an issuer’s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Company currently does not have any instruments that fall within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Modifications or</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for modifications or exchanges of freestanding</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the guidance and does not expect the guidance to have a material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Exchanges of</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equity-classified written call options (for example,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impact on its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Freestanding Equity-</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warrants) that remain equity classified after modification 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Classified Written Call</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Options</w:t>
            </w:r>
          </w:p>
        </w:tc>
        <w:tc>
          <w:tcPr>
            <w:tcW w:w="3880" w:type="dxa"/>
            <w:vAlign w:val="bottom"/>
            <w:tcBorders>
              <w:right w:val="single" w:sz="8" w:color="auto"/>
            </w:tcBorders>
            <w:vMerge w:val="restart"/>
            <w:shd w:val="clear" w:color="auto" w:fill="CFF0FC"/>
          </w:tcPr>
          <w:p>
            <w:pPr>
              <w:ind w:left="120"/>
              <w:spacing w:after="0"/>
              <w:rPr>
                <w:sz w:val="20"/>
                <w:szCs w:val="20"/>
                <w:color w:val="auto"/>
              </w:rPr>
            </w:pPr>
            <w:r>
              <w:rPr>
                <w:rFonts w:ascii="Arial" w:cs="Arial" w:eastAsia="Arial" w:hAnsi="Arial"/>
                <w:sz w:val="14"/>
                <w:szCs w:val="14"/>
                <w:color w:val="auto"/>
              </w:rPr>
              <w:t>The amendments clarify that:</w:t>
            </w:r>
          </w:p>
        </w:tc>
        <w:tc>
          <w:tcPr>
            <w:tcW w:w="1500" w:type="dxa"/>
            <w:vAlign w:val="bottom"/>
            <w:tcBorders>
              <w:right w:val="single" w:sz="8" w:color="auto"/>
            </w:tcBorders>
            <w:shd w:val="clear" w:color="auto" w:fill="CFF0FC"/>
          </w:tcPr>
          <w:p>
            <w:pPr>
              <w:spacing w:after="0"/>
              <w:rPr>
                <w:sz w:val="15"/>
                <w:szCs w:val="15"/>
                <w:color w:val="auto"/>
              </w:rPr>
            </w:pPr>
          </w:p>
        </w:tc>
        <w:tc>
          <w:tcPr>
            <w:tcW w:w="420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shd w:val="clear" w:color="auto" w:fill="CFF0FC"/>
          </w:tcPr>
          <w:p>
            <w:pPr>
              <w:spacing w:after="0"/>
              <w:rPr>
                <w:sz w:val="6"/>
                <w:szCs w:val="6"/>
                <w:color w:val="auto"/>
              </w:rPr>
            </w:pPr>
          </w:p>
        </w:tc>
        <w:tc>
          <w:tcPr>
            <w:tcW w:w="3880" w:type="dxa"/>
            <w:vAlign w:val="bottom"/>
            <w:tcBorders>
              <w:right w:val="single" w:sz="8" w:color="auto"/>
            </w:tcBorders>
            <w:vMerge w:val="continue"/>
            <w:shd w:val="clear" w:color="auto" w:fill="CFF0FC"/>
          </w:tcPr>
          <w:p>
            <w:pPr>
              <w:spacing w:after="0"/>
              <w:rPr>
                <w:sz w:val="6"/>
                <w:szCs w:val="6"/>
                <w:color w:val="auto"/>
              </w:rPr>
            </w:pPr>
          </w:p>
        </w:tc>
        <w:tc>
          <w:tcPr>
            <w:tcW w:w="1500" w:type="dxa"/>
            <w:vAlign w:val="bottom"/>
            <w:tcBorders>
              <w:right w:val="single" w:sz="8" w:color="auto"/>
            </w:tcBorders>
            <w:shd w:val="clear" w:color="auto" w:fill="CFF0FC"/>
          </w:tcPr>
          <w:p>
            <w:pPr>
              <w:spacing w:after="0"/>
              <w:rPr>
                <w:sz w:val="6"/>
                <w:szCs w:val="6"/>
                <w:color w:val="auto"/>
              </w:rPr>
            </w:pPr>
          </w:p>
        </w:tc>
        <w:tc>
          <w:tcPr>
            <w:tcW w:w="4200" w:type="dxa"/>
            <w:vAlign w:val="bottom"/>
            <w:tcBorders>
              <w:right w:val="single" w:sz="8" w:color="auto"/>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1. A modification of the terms or conditions or an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a freestanding equity-classified written call option that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remains equity classified after modification or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treated as an exchange of the original instrument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 a new instrument.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2. The effect of a modification or an exchange of a</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freestanding equity-classified written call option that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remains equity classified after modification or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measured as follows: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a. For a modification or an exchange that is a part of 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directly related to a modification or an exchange of an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existing debt instrument or line-of-credit or revolving-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debt arrangements, as the difference between the fair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value of the modified or exchanged written call option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and the fair value of that written call option immediately</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before it is modified or exchanged.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w w:val="98"/>
              </w:rPr>
              <w:t>b. For all other modifications or exchanges, as the excess,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if any, of the fair value of the modified or exchanged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written call option over the fair value of that written call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280"/>
              <w:spacing w:after="0" w:line="149" w:lineRule="exact"/>
              <w:rPr>
                <w:sz w:val="20"/>
                <w:szCs w:val="20"/>
                <w:color w:val="auto"/>
              </w:rPr>
            </w:pPr>
            <w:r>
              <w:rPr>
                <w:rFonts w:ascii="Arial" w:cs="Arial" w:eastAsia="Arial" w:hAnsi="Arial"/>
                <w:sz w:val="14"/>
                <w:szCs w:val="14"/>
                <w:color w:val="auto"/>
              </w:rPr>
              <w:t>option immediately before it is modified or exchanged.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3. The effect of a modification or an exchange of a</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freestanding equity-classified written call option that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remains equity classified after modification or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recognized on the basis of the substance of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transaction, in the same manner as if cash had been paid as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consideration. The effect of a modification or an exchange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a freestanding equity-classified written call option to</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compensate for goods or services should be recognized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accordance with the Stock Compensation guidance. In a</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multiple-element transaction (for example, one that includes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both debt financing and equity financing), the total effect of</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modification should be allocated to the respective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shd w:val="clear" w:color="auto" w:fill="CFF0FC"/>
          </w:tcPr>
          <w:p>
            <w:pPr>
              <w:spacing w:after="0"/>
              <w:rPr>
                <w:sz w:val="15"/>
                <w:szCs w:val="15"/>
                <w:color w:val="auto"/>
              </w:rPr>
            </w:pPr>
          </w:p>
        </w:tc>
        <w:tc>
          <w:tcPr>
            <w:tcW w:w="38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elements in the transaction.</w:t>
            </w:r>
          </w:p>
        </w:tc>
        <w:tc>
          <w:tcPr>
            <w:tcW w:w="1500" w:type="dxa"/>
            <w:vAlign w:val="bottom"/>
            <w:tcBorders>
              <w:right w:val="single" w:sz="8" w:color="auto"/>
            </w:tcBorders>
            <w:shd w:val="clear" w:color="auto" w:fill="CFF0FC"/>
          </w:tcPr>
          <w:p>
            <w:pPr>
              <w:spacing w:after="0"/>
              <w:rPr>
                <w:sz w:val="15"/>
                <w:szCs w:val="15"/>
                <w:color w:val="auto"/>
              </w:rPr>
            </w:pPr>
          </w:p>
        </w:tc>
        <w:tc>
          <w:tcPr>
            <w:tcW w:w="420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shd w:val="clear" w:color="auto" w:fill="CFF0FC"/>
          </w:tcPr>
          <w:p>
            <w:pPr>
              <w:spacing w:after="0"/>
              <w:rPr>
                <w:sz w:val="11"/>
                <w:szCs w:val="11"/>
                <w:color w:val="auto"/>
              </w:rPr>
            </w:pPr>
          </w:p>
        </w:tc>
        <w:tc>
          <w:tcPr>
            <w:tcW w:w="3880" w:type="dxa"/>
            <w:vAlign w:val="bottom"/>
            <w:tcBorders>
              <w:bottom w:val="single" w:sz="8" w:color="auto"/>
              <w:right w:val="single" w:sz="8" w:color="auto"/>
            </w:tcBorders>
            <w:shd w:val="clear" w:color="auto" w:fill="CFF0FC"/>
          </w:tcPr>
          <w:p>
            <w:pPr>
              <w:spacing w:after="0"/>
              <w:rPr>
                <w:sz w:val="11"/>
                <w:szCs w:val="11"/>
                <w:color w:val="auto"/>
              </w:rPr>
            </w:pPr>
          </w:p>
        </w:tc>
        <w:tc>
          <w:tcPr>
            <w:tcW w:w="1500" w:type="dxa"/>
            <w:vAlign w:val="bottom"/>
            <w:tcBorders>
              <w:bottom w:val="single" w:sz="8" w:color="auto"/>
              <w:right w:val="single" w:sz="8" w:color="auto"/>
            </w:tcBorders>
            <w:shd w:val="clear" w:color="auto" w:fill="CFF0FC"/>
          </w:tcPr>
          <w:p>
            <w:pPr>
              <w:spacing w:after="0"/>
              <w:rPr>
                <w:sz w:val="11"/>
                <w:szCs w:val="11"/>
                <w:color w:val="auto"/>
              </w:rPr>
            </w:pPr>
          </w:p>
        </w:tc>
        <w:tc>
          <w:tcPr>
            <w:tcW w:w="4200" w:type="dxa"/>
            <w:vAlign w:val="bottom"/>
            <w:tcBorders>
              <w:bottom w:val="single" w:sz="8" w:color="auto"/>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September 30, 2021</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Lessor’s Accounting</w:t>
            </w:r>
          </w:p>
        </w:tc>
        <w:tc>
          <w:tcPr>
            <w:tcW w:w="3880" w:type="dxa"/>
            <w:vAlign w:val="bottom"/>
            <w:tcBorders>
              <w:right w:val="single" w:sz="8" w:color="auto"/>
            </w:tcBorders>
          </w:tcPr>
          <w:p>
            <w:pPr>
              <w:ind w:left="120"/>
              <w:spacing w:after="0" w:line="123" w:lineRule="exact"/>
              <w:rPr>
                <w:sz w:val="20"/>
                <w:szCs w:val="20"/>
                <w:color w:val="auto"/>
              </w:rPr>
            </w:pPr>
            <w:r>
              <w:rPr>
                <w:rFonts w:ascii="Arial" w:cs="Arial" w:eastAsia="Arial" w:hAnsi="Arial"/>
                <w:sz w:val="14"/>
                <w:szCs w:val="14"/>
                <w:color w:val="auto"/>
              </w:rPr>
              <w:t>The amendments update the classification guidance for</w:t>
            </w:r>
          </w:p>
        </w:tc>
        <w:tc>
          <w:tcPr>
            <w:tcW w:w="15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January 1, 2022</w:t>
            </w:r>
          </w:p>
        </w:tc>
        <w:tc>
          <w:tcPr>
            <w:tcW w:w="420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w w:val="94"/>
              </w:rPr>
              <w:t>The amendments can be applied either on a retrospective basis or on</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for Certain Leases with</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lessors. Under the amended guidance lessors should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5"/>
              </w:rPr>
              <w:t>a prospective basis. The Company does not expect the guidance will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Variable Lease</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classify and account for a lease with variable lease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have a material impact on its financial statements.</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Payments</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payments that do not depend on a reference index or a rate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as an operating lease if both of the following criteria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met: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1. The lease would have been classified as a sales-type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lease or a direct financing lease.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2. The lessor would have otherwise recognized a day-one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loss.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When a lease is classified as operating, the lessor does not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recognize a net investment in the lease, does not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derecognize the underlying asset, and, therefore, does not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recognize a selling profit or loss.</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Accounting for</w:t>
            </w:r>
          </w:p>
        </w:tc>
        <w:tc>
          <w:tcPr>
            <w:tcW w:w="38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amendments require that an entity (acquirer) recognize</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2023</w:t>
            </w:r>
          </w:p>
        </w:tc>
        <w:tc>
          <w:tcPr>
            <w:tcW w:w="42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amendments should be applied prospectively to business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Contract Assets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and measure contract assets and contract liabilities acquired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combinations occurring on or after the effective date of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Contract Liabilities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in a business combination in accordance with revenue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amendments. However, if early adoption is elected, the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from Contracts with</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recognition guidance Topic 606. At the acquisition date, an</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amendments should be applied (1) retrospectively to all business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Customers in a</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acquirer should account for the related revenue contracts as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combinations for which the acquisition date occurs on or after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Business Combination</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if it had originated the contracts. To achieve this, an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beginning of the fiscal year that includes the interim period of early</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acquirer may assess how the acquiree applied the revenue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application and (2) prospectively to all business combinations that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guidance to determine what to record for the acquired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occur on or after the date of initial application.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revenue contracts. Generally, this should result in an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acquirer recognizing and measuring the acquired contract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The Company has not yet decided on which transition method will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assets and contract liabilities consistent with how they were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be applied to the extent applicable. The Company does not expect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recognized and measured in the acquiree’s financial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guidance will have a material impact on its consolidated</w:t>
            </w: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statements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Net income for M&amp;T Bank Corporation (“M&amp;T”) in the third quarter of 2021 was $495 million, up from $372 million in the corresponding quarter of 2020 and $458 million in the second quarter of 2021. Diluted and basic earnings per common share were $3.69 and $3.70, respectively, in the recent quarter. Diluted and basic earnings per common share in the third quarter of 2020 were each $2.75 and in the second quarter of 2021 were each $3.41. The after-tax impact of merger-related expenses was $7 million ($9 million pre-tax), or $.05 of basic and diluted earnings per common share in the recent quarter and $3 million ($4 million pre-tax), or $.02 of basic and diluted earnings per common share in the second quarter of 2021. Such expenses were associated with M&amp;T’s pending acquisition of People’s United Financial, Inc. (“People’s United”), headquartered in Bridgeport, Connecticut, and consisted predominantly of professional services related to planned integration efforts associated with the merger. Net income aggregated $1.40 billion or $10.43 of diluted earnings per common share and $10.44 of basic earnings per common share in the first nine months of 2021, compared with $882 million or $6.42 of diluted and basic earnings per common share in the year-earlier period. After-tax merger related expenses for the nine-month period ended September 30, 2021 were $17 million ($23 million pre-tax), or $.13 of basic and diluted earnings per common share. There were no merger-related expenses during 2020.</w:t>
      </w:r>
    </w:p>
    <w:p>
      <w:pPr>
        <w:spacing w:after="0" w:line="6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the third quarter of 2021 was 1.28%, compared with 1.06 % in the third quarter of 2020 and 1.22% in 2021’s second quarter. The annualized rate of return on average common shareholders’ equity was 12.16% in the recent quarter, 9.53% in the year-earlier quarter and 11.55% in the second quarter of 2021. During the nine-month period ended September 30, 2021, the annualized rates of return on average assets and average common shareholders’ equity were 1.24% and 11.76%, respectively, compared with .89% and 7.57%, respectively, in the similar 2020 period.</w:t>
      </w:r>
    </w:p>
    <w:p>
      <w:pPr>
        <w:spacing w:after="0" w:line="8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On February 22, 2021, M&amp;T announced that it had entered into a definitive agreement with People’s United under which People’s United will be acquired by M&amp;T in an all-stock transaction. Pursuant to the terms of the agreement, People’s United shareholders will receive consideration valued at .118 of an M&amp;T share in the form of M&amp;T common stock. People’s United outstanding preferred stock will be converted to a new series of M&amp;T preferred stock upon completion of the acquisition. The transaction is valued at approximately $7.6 billion (with the price based on M&amp;T’s closing price of $149.34 per share as of September 30, 2021).</w:t>
      </w:r>
    </w:p>
    <w:p>
      <w:pPr>
        <w:spacing w:after="0" w:line="8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As of September 30, 2021, People’s United reported $63.7 billion of assets, including $39.5 billion of loans and $10.5 billion of investment securities, $55.9 billion of liabilities, including $52.9 billion of deposits, and $7.8 billion of stockholders’ equity. The merger has been approved by the common shareholders of M&amp;T and People’s United, but remains subject to approval by the Board of Governors of the Federal Reserve System. The merger is expected to be completed promptly after the parties have obtained that approval and satisfied other customary closing conditions.</w:t>
      </w:r>
    </w:p>
    <w:p>
      <w:pPr>
        <w:spacing w:after="0" w:line="80"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Financial results during 2020 and through the third quarter of 2021 were adversely impacted by the Coronavirus Disease 2019 (“COVID-19”) pandemic. Large portions of the U.S. economy were substantially curtailed for extended periods of time and, as a result, many commercial and consumer customers were negatively impacted. Specifically, those adverse economic impacts resulted in the Company recognizing elevated levels of provisions for credit losses during 2020 that reflected projections of credit losses based on macroeconomic forecasts at the end of each quarter of that year. The Company recorded provisions for credit losses of $150 million and $725 million in the three months and nine months ended September 30, 2020. An improvement in economic conditions and forecasts at the end of each of the first three quarters of 2021 as compared with previous forecasts led the Company to recognize provision recaptures of $20 million and $60 million in the three months and nine months ended September 30, 2021, respectively. In response to the pandemic, the Federal Reserve took actions to lower interest rates that have negatively affected the Company’s net interest income since the beginning of the pandemic.</w:t>
      </w:r>
    </w:p>
    <w:p>
      <w:pPr>
        <w:spacing w:after="0" w:line="75"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On March 27, 2020, the Coronavirus Aid, Relief, and Economic Security Act (“CARES Act”) was signed into law. The CARES Act and applicable extensions provide relief to borrowers, including the opportunity to defer loan payments while not negatively affecting their credit standing, and also provided funding opportunities for small businesses under the Paycheck Protection Program (“PPP”) from approved Small Business Administration (“SBA”)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4" w:name="page55"/>
    <w:bookmarkEnd w:id="54"/>
    <w:p>
      <w:pPr>
        <w:jc w:val="both"/>
        <w:spacing w:after="0" w:line="265" w:lineRule="auto"/>
        <w:rPr>
          <w:sz w:val="20"/>
          <w:szCs w:val="20"/>
          <w:color w:val="auto"/>
        </w:rPr>
      </w:pPr>
      <w:r>
        <w:rPr>
          <w:rFonts w:ascii="Arial" w:cs="Arial" w:eastAsia="Arial" w:hAnsi="Arial"/>
          <w:sz w:val="20"/>
          <w:szCs w:val="20"/>
          <w:color w:val="auto"/>
        </w:rPr>
        <w:t>lenders, including M&amp;T Bank, the principal bank subsidiary of M&amp;T. For commercial and consumer customers, the Company provided a host of relief options, including payment deferrals (including maturity extensions), loan covenant waivers and low interest rate loan products. M&amp;T Bank funded approximately $7.0 billion of PPP loans during 2020 and another $2.9 billion in 2021. PPP loans outstanding at September 30, 2021 and December 31, 2020 totaled $2.2 billion and $5.4 billion, respectively.</w:t>
      </w:r>
    </w:p>
    <w:p>
      <w:pPr>
        <w:spacing w:after="0" w:line="6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Updated economic forecasts at the end of each of the quarters of 2020 resulted in higher estimates of expected credit losses in the Company’s loan portfolio than at January 1, 2020, when the Company adopted amended accounting guidance for the measurement of credit losses on financial instruments, resulting in historically high levels of the provision for credit losses. Specifically, the level of the provision in 2020 reflected the ongoing impacts of the pandemic on economic activity in the hospitality and retail sectors, the uncertainty at December 31, 2020 as to the sufficiency and effectiveness of economic stimulus provided by the U.S. government to the economy, and concerns about ultimate collectability of real estate loans where borrowers requested re-payment forbearance. Improvement in the economic outlook at the end of each of the first three quarters of 2021 resulted in reduced estimates of expected credit losses. Nevertheless, concerns remain about large sectors of the economy, including the hotel, healthcare and office space sectors, and possible threat of resurgence of spread of the COVID-19 virus. The Company expects that certain aspects of its businesses will continue to be negatively impacted by the COVID-19 pandemic after September 30, 2021.</w:t>
      </w:r>
    </w:p>
    <w:p>
      <w:pPr>
        <w:spacing w:after="0" w:line="62" w:lineRule="exact"/>
        <w:rPr>
          <w:sz w:val="20"/>
          <w:szCs w:val="20"/>
          <w:color w:val="auto"/>
        </w:rPr>
      </w:pPr>
    </w:p>
    <w:p>
      <w:pPr>
        <w:ind w:firstLine="464"/>
        <w:spacing w:after="0" w:line="247" w:lineRule="auto"/>
        <w:rPr>
          <w:sz w:val="20"/>
          <w:szCs w:val="20"/>
          <w:color w:val="auto"/>
        </w:rPr>
      </w:pPr>
      <w:r>
        <w:rPr>
          <w:rFonts w:ascii="Arial" w:cs="Arial" w:eastAsia="Arial" w:hAnsi="Arial"/>
          <w:sz w:val="21"/>
          <w:szCs w:val="21"/>
          <w:color w:val="auto"/>
        </w:rPr>
        <w:t>The national effort to mitigate the pandemic resulted in a challenging environment for businesses and their employees. The Company took actions designed to help maintain a safe environment for its customers and employees and to provide relief to customers in a variety of ways. Examples of those actions include:</w:t>
      </w:r>
    </w:p>
    <w:p>
      <w:pPr>
        <w:spacing w:after="0" w:line="1" w:lineRule="exact"/>
        <w:rPr>
          <w:sz w:val="20"/>
          <w:szCs w:val="20"/>
          <w:color w:val="auto"/>
        </w:rPr>
      </w:pPr>
    </w:p>
    <w:p>
      <w:pPr>
        <w:ind w:left="740" w:right="40" w:hanging="368"/>
        <w:spacing w:after="0" w:line="241" w:lineRule="auto"/>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deployment of a Pandemic Response Plan to manage the pandemic’s effects on operations, employees and customers, including seeking to ensure employee safety, maintaining continuity of operations and service levels for customers, preserving the Company’s financial strength, and complying with applicable laws and regulations. Actions included placing restrictions on travel, implementing social distancing, health screening, sanitation and other protocols, and mandating for all employees whose jobs could be performed remotely to work from home where possible. In accordance with changes in Federal guidelines (e.g., the Centers for Disease Control and Prevention) and state and local regulations, the Company has begun to roll back certain of these measures;</w:t>
      </w:r>
    </w:p>
    <w:p>
      <w:pPr>
        <w:spacing w:after="0" w:line="3" w:lineRule="exact"/>
        <w:rPr>
          <w:rFonts w:ascii="Arial" w:cs="Arial" w:eastAsia="Arial" w:hAnsi="Arial"/>
          <w:sz w:val="21"/>
          <w:szCs w:val="21"/>
          <w:color w:val="auto"/>
        </w:rPr>
      </w:pPr>
    </w:p>
    <w:p>
      <w:pPr>
        <w:ind w:left="740" w:right="160" w:hanging="368"/>
        <w:spacing w:after="0" w:line="241" w:lineRule="auto"/>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vast majority of the Company’s non-branch employees continue to work remotely, and the Company is continuing to develop its future operating model (e.g., onsite, hybrid and remote) in preparation for the eventual return of employees to the office;</w:t>
      </w:r>
    </w:p>
    <w:p>
      <w:pPr>
        <w:spacing w:after="0" w:line="1" w:lineRule="exact"/>
        <w:rPr>
          <w:rFonts w:ascii="Arial" w:cs="Arial" w:eastAsia="Arial" w:hAnsi="Arial"/>
          <w:sz w:val="21"/>
          <w:szCs w:val="21"/>
          <w:color w:val="auto"/>
        </w:rPr>
      </w:pPr>
    </w:p>
    <w:p>
      <w:pPr>
        <w:ind w:left="740" w:hanging="368"/>
        <w:spacing w:after="0"/>
        <w:tabs>
          <w:tab w:leader="none" w:pos="7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M&amp;T Bank branches remain open, with open lobbies and normal access to drive-through windows and ATMs; and</w:t>
      </w:r>
    </w:p>
    <w:p>
      <w:pPr>
        <w:spacing w:after="0" w:line="13" w:lineRule="exact"/>
        <w:rPr>
          <w:rFonts w:ascii="Arial" w:cs="Arial" w:eastAsia="Arial" w:hAnsi="Arial"/>
          <w:sz w:val="20"/>
          <w:szCs w:val="20"/>
          <w:color w:val="auto"/>
        </w:rPr>
      </w:pPr>
    </w:p>
    <w:p>
      <w:pPr>
        <w:ind w:left="740" w:right="360" w:hanging="368"/>
        <w:spacing w:after="0" w:line="290" w:lineRule="auto"/>
        <w:tabs>
          <w:tab w:leader="none" w:pos="7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Many loan customers are still receiving COVID-19 related relief in various forms, including modification and forbearance requests as of September 30, 2021 as described herein and in note 4 of 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Net operating income totaled $504 million in the third quarter of 2021, compared with $375 million in the year-earlier quarter and $463 million in the second 2021 quarter. Diluted net operating earnings per common share in the third quarters of 2021 and 2020 were $3.76 and $2.77, respectively, and $3.45 in the second quarter of 2021. For the first nine months of 2021, net operating income and diluted net operating earnings per common share were $1.42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billion and $10.61, respectively, compared with $891 million and $6.49, respectively, in the corresponding 2020 period.</w:t>
      </w:r>
    </w:p>
    <w:p>
      <w:pPr>
        <w:spacing w:after="0" w:line="11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Net operating income in the recent quarter expressed as an annualized rate of return on average tangible assets was 1.34%, compared with 1.10% in the third quarter of 2020 and 1.27% in the second quarter of 2021. Net operating income represented an annualized return on average tangible common equity of 17.54% in the third quarter of 2021, 13.94% in the year-earlier quarter and 16.68% in the second quarter of 2021. For the first three quarters of 2021, net operating income represented an annualized return on average tangible assets and average tangible common shareholders’ equity of 1.30% and 17.10%, respectively, compared with .93% and 11.15%, respectively, in the corresponding 2020 period.</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Taxable-equivalent net interest income was $971 million in the third quarter of 2021, compared with $947 million in the year-earlier quarter. That improvement reflects lower rates paid on deposit accounts offset, in part, by the impact of lower average outstanding loan balances. When compared with the third quarter of 2020, the results for the recent quarter reflected the impact of a $12.7 billion or 10% increase in average earning assets that was partially offset by a 21 basis point (hundredths of one percent) narrowing of the net interest margin, or taxable-equivalent net interest income expressed as an annualized percentage of average earnings assets, to 2.74% in the recent quarter from 2.95% in the year-earlier quarter. The higher average earning assets reflected growth in low-yielding balances at the Federal Reserve Bank of New York, partially offset by declines in average balances of loans, investment securities and agreements to resell securities. The narrowing of the net interest margin reflects the impact of the low-yielding balances at the Federal Reserve Bank of New York constituting a higher percentage of average earning assets. Those balances add to net interest income, but due to their low yield lower the reported net interest margin. Taxable-equivalent net interest income in the recent quarter increased $25 million, or 3%, from the second quarter of 2021. The higher net interest income was predominantly the result of increased yields on loans, reflecting fees earned from payoffs of PPP loans. The net interest margin in the third quarter of 2021 reflected a three basis point narrowing compared with the second quarter of 2021 that was attributable to $6.9 billion of higher balances of low-yielding deposits held at the Federal Reserve Bank of New York, offset, in part, by the higher loan yields. In aggregate, average earning assets in the recent quarter increased $3.5 billion, or approximately 3%, from the second 2021 quarter.</w:t>
      </w:r>
    </w:p>
    <w:p>
      <w:pPr>
        <w:spacing w:after="0" w:line="66" w:lineRule="exact"/>
        <w:rPr>
          <w:sz w:val="20"/>
          <w:szCs w:val="20"/>
          <w:color w:val="auto"/>
        </w:rPr>
      </w:pPr>
    </w:p>
    <w:p>
      <w:pPr>
        <w:jc w:val="both"/>
        <w:ind w:firstLine="752"/>
        <w:spacing w:after="0" w:line="249" w:lineRule="auto"/>
        <w:rPr>
          <w:sz w:val="20"/>
          <w:szCs w:val="20"/>
          <w:color w:val="auto"/>
        </w:rPr>
      </w:pPr>
      <w:r>
        <w:rPr>
          <w:rFonts w:ascii="Arial" w:cs="Arial" w:eastAsia="Arial" w:hAnsi="Arial"/>
          <w:sz w:val="21"/>
          <w:szCs w:val="21"/>
          <w:color w:val="auto"/>
        </w:rPr>
        <w:t>For the first nine months of 2021, taxable-equivalent net interest income was $2.90 billion, up from $2.89 billion in the corresponding 2020 period. The increase was primarily attributable to a $17.4 billion, or 15% increase in average earning assets, partially offset by a 39 basis point narrowing of the net interest margin to 2.83% in the 2021 period from 3.22% in the year-earlier period.</w:t>
      </w:r>
    </w:p>
    <w:p>
      <w:pPr>
        <w:spacing w:after="0" w:line="78"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Average loans and leases totaled $95.3 billion in the third quarter of 2021, down $2.9 billion or 3% from $98.2 billion in the similar quarter of 2020. Commercial loans and leases averaged $23.7 billion in the recent quarter, $4.6 billion or 16% lower than in the year-earlier quarter. That decline was largely the result of decreased average balances of PPP loans, due to loan payoffs, lower dealer floor plan balances, reflecting automobile production and inventory issues experienced by the industry, and subdued loan demand by commercial customers, in general. Average commercial real estate loans were $37.5 billion in the recent quarter, up $304 million, or 1%, from $37.2 billion in the corresponding 2020 quarter. Included in average commercial real estate loans in the third quarters of 2021 and 2020 were loans held for sale of $411 million and $260 million, respectively. Average residential real estate loans declined $179 million, or 1%, to $16.4 billion in the third quarter of 2021 from $16.6 billion in the year-earlier quarter. Included in average residential real estate loans were loans held for sale of $537 million in the recent quarter and $494 million in the third quarter of 2020. Consumer loans averaged $17.7 billion in the third quarter of 2021 up $1.6 billion, or 10%, from $16.1 billion in the year-earlier quarter due to growth in average recreational finance loans (consisting predominantly of loans secured by recreational vehicles and boats) and, to a lesser extent, automobile loans that was partially offset by declines in outstanding balances of home equity loans and lines of credit.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6" w:name="page57"/>
    <w:bookmarkEnd w:id="56"/>
    <w:p>
      <w:pPr>
        <w:jc w:val="both"/>
        <w:ind w:firstLine="510"/>
        <w:spacing w:after="0" w:line="272" w:lineRule="auto"/>
        <w:rPr>
          <w:sz w:val="20"/>
          <w:szCs w:val="20"/>
          <w:color w:val="auto"/>
        </w:rPr>
      </w:pPr>
      <w:r>
        <w:rPr>
          <w:rFonts w:ascii="Arial" w:cs="Arial" w:eastAsia="Arial" w:hAnsi="Arial"/>
          <w:sz w:val="19"/>
          <w:szCs w:val="19"/>
          <w:color w:val="auto"/>
        </w:rPr>
        <w:t>Average loan and lease balances in the third quarter of 2021 decreased $3.3 billion, or 3%, from $98.6 billion in the second quarter of 2021. Commercial loan and lease average balances in the recent quarter decreased $3.3 billion, or 12%, from the second quarter of 2021, primarily due to PPP loan payoffs and lower dealer floor plan loans. Average commercial real estate loans in the third quarter of 2021 increased $129 million from $37.4 billion in the second quarter of 2021. Commercial real estate loans held for sale averaged $82 million in the second quarter of 2021. Average balances of residential real estate loans in the recently completed quarter declined $643 million, or 4%, from $17.0 billion in 2021’s second quarter, largely reflecting the impact of loan repayments by customers and lower average balances of loans held for sale. Residential real estate loans held for sale averaged $685 million in the second quarter of 2021. Average consumer loans in the recent quarter increased $544 million, or 3%, from $17.1 billion in 2021’s second quarter, reflecting growth in recreational finance and automobile loans. The accompanying table summarizes quarterly changes in the major components of the loan and lease portfolio.</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3rd Qtr.</w:t>
            </w:r>
          </w:p>
        </w:tc>
        <w:tc>
          <w:tcPr>
            <w:tcW w:w="20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tcBorders>
              <w:top w:val="single" w:sz="8" w:color="auto"/>
            </w:tcBorders>
            <w:gridSpan w:val="2"/>
          </w:tcPr>
          <w:p>
            <w:pPr>
              <w:jc w:val="right"/>
              <w:ind w:right="420"/>
              <w:spacing w:after="0" w:line="147" w:lineRule="exact"/>
              <w:rPr>
                <w:sz w:val="20"/>
                <w:szCs w:val="20"/>
                <w:color w:val="auto"/>
              </w:rPr>
            </w:pPr>
            <w:r>
              <w:rPr>
                <w:rFonts w:ascii="Arial" w:cs="Arial" w:eastAsia="Arial" w:hAnsi="Arial"/>
                <w:sz w:val="14"/>
                <w:szCs w:val="14"/>
                <w:b w:val="1"/>
                <w:bCs w:val="1"/>
                <w:color w:val="auto"/>
              </w:rPr>
              <w:t>3rd Qtr.</w:t>
            </w:r>
          </w:p>
        </w:tc>
        <w:tc>
          <w:tcPr>
            <w:tcW w:w="740" w:type="dxa"/>
            <w:vAlign w:val="bottom"/>
            <w:tcBorders>
              <w:top w:val="single" w:sz="8" w:color="auto"/>
            </w:tcBorders>
          </w:tcPr>
          <w:p>
            <w:pPr>
              <w:jc w:val="right"/>
              <w:ind w:right="33"/>
              <w:spacing w:after="0" w:line="147" w:lineRule="exact"/>
              <w:rPr>
                <w:sz w:val="20"/>
                <w:szCs w:val="20"/>
                <w:color w:val="auto"/>
              </w:rPr>
            </w:pPr>
            <w:r>
              <w:rPr>
                <w:rFonts w:ascii="Arial" w:cs="Arial" w:eastAsia="Arial" w:hAnsi="Arial"/>
                <w:sz w:val="14"/>
                <w:szCs w:val="14"/>
                <w:b w:val="1"/>
                <w:bCs w:val="1"/>
                <w:color w:val="auto"/>
              </w:rPr>
              <w:t>2nd Qtr.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 %</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37,547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16,379</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consumer</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17,658</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7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95,314</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For the first nine months of 2021, average loans and leases totaled $97.7 billion, up 2%, from $95.9 billion in the corresponding 2020 period. Contributing to the rise were increases of $1.5 billion in average consumer loans, $900 million in average residential real estate loan balances (reflecting repurchases of government-guaranteed loans) and $782 million in average commercial real estate balances offset, in part, by a $1.3 billion decrease in average commercial loan and lease balances. Loans purchased from Ginnie Mae pools averaged $3.8 billion in the first nine months of 2021, compared with $1.2 billion in the year-earlier period. Loans are purchased to reduce associated servicing costs, namely a requirement to advance principal and interest payments that had not been received from individual mortgagors, including payments deferred under COVID-19 forbearance arrangements.</w:t>
      </w:r>
    </w:p>
    <w:p>
      <w:pPr>
        <w:spacing w:after="0" w:line="5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The investment securities portfolio averaged $6.0 billion in the third quarter of 2021, down $1.9 billion, or 24%, from $7.9 billion in the year-earlier quarter and $192 million lower than the $6.2 billion averaged in the second quarter of 2021. For the first nine months of 2021 and 2020, investment securities averaged $6.3 billion and $8.5 billion, respectively. The lower average balances in the recent periods reflect net reductions of mortgage-backed securities due to paydowns, partially offset by purchases. During the three months and nine months ended September 30, 2021, the Company purchased $782 million and $1.1 billion, respectively, of fixed rate residential mortgage-backed securities. There were no significant purchases of investment securities during the first nine months of 2020. There were no significant sales of investment securities during the first nine months of 2021 or 2020. The Company routinely has increases and decreases in its holdings of capital stock of the Federal Home Loan Bank (“FHLB”) of New York and the Federal Reserve Bank of New York. Those holdings are accounted for at cost and are adjusted based on amounts of outstanding borrowings and available lines of credit with those entities.</w:t>
      </w:r>
    </w:p>
    <w:p>
      <w:pPr>
        <w:spacing w:after="0" w:line="75"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The investment securities portfolio is largely comprised of residential mortgage-backed securities and shorter-term U.S. Treasury and federal agency notes. When purchasing investment securities, the Company considers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7" w:name="page58"/>
    <w:bookmarkEnd w:id="57"/>
    <w:p>
      <w:pPr>
        <w:jc w:val="both"/>
        <w:spacing w:after="0" w:line="245" w:lineRule="auto"/>
        <w:rPr>
          <w:sz w:val="20"/>
          <w:szCs w:val="20"/>
          <w:color w:val="auto"/>
        </w:rPr>
      </w:pPr>
      <w:r>
        <w:rPr>
          <w:rFonts w:ascii="Arial" w:cs="Arial" w:eastAsia="Arial" w:hAnsi="Arial"/>
          <w:sz w:val="21"/>
          <w:szCs w:val="21"/>
          <w:color w:val="auto"/>
        </w:rPr>
        <w:t>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83"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Fair value changes in equity securities with readily determinable fair values are recognized in the consolidated statement of income. Net unrealized gains on such securities were less than $1 million in the third quarter of 2021 and $3 million in the year-earlier quarter, compared with net unrealized losses of $11 million in the second quarter of 2021. Net unrealized losses for the first nine months of 2021 and 2020 were $23 million and $11 million, respectively. Those gains and losses were predominantly related to the Company’s holdings of Fannie Mae and Freddie Mac preferred stock.</w:t>
      </w:r>
    </w:p>
    <w:p>
      <w:pPr>
        <w:spacing w:after="0" w:line="68"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nine-month periods ended September 30, 2021 or 2020. Based on management’s assessment of future cash flows associated with individual investment securities as of September 30, 2021, the Company did not expect to incur any material credit-related losses in its portfolios of debt investment securities. Additional information about the investment securities portfolio is included in notes 3 and 13 of Notes to Financial Statements.</w:t>
      </w:r>
    </w:p>
    <w:p>
      <w:pPr>
        <w:spacing w:after="0" w:line="71"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8"/>
          <w:szCs w:val="18"/>
          <w:color w:val="auto"/>
        </w:rPr>
        <w:t>Other earning assets include interest-bearing deposits at the Federal Reserve Bank of New York and other banks, trading account assets, federal funds sold and agreements to resell securities. Those other earning assets in the aggregate averaged $39.1 billion in the third quarter of 2021, compared with $21.6 billion in the year-earlier quarter and $32.1 billion in the second quarter of 2021. Interest-bearing deposits at banks averaged $39.0 billion, $16.4 billion and $32.1 billion for the three months ended September 30, 2021, September 30, 2020 and June 30, 2021,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 The higher balances in the two most recent quarters compared with the year-earlier period reflect increased commercial and consumer deposit balances. Agreements to resell securities averaged $5.1 billion during the quarter ended September 30, 2020. There were no agreements to resell securities outstanding during the quarters ended September 30, 2021 or June 30, 2021.</w:t>
      </w:r>
    </w:p>
    <w:p>
      <w:pPr>
        <w:spacing w:after="0" w:line="4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As a result of the changes described herein, average earning assets totaled $140.4 billion in the most recent quarter, compared with $127.7 billion in the third quarter of 2020 and $137.0 billion in the second quarter of 2021. Average earning assets totaled $137.3 billion and $119.8 billion during the first nine months of 2021 and 2020, respectively.</w:t>
      </w:r>
    </w:p>
    <w:p>
      <w:pPr>
        <w:spacing w:after="0" w:line="58"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$127.1 billion in the third quarter of 2021, compared with $110.6 billion in the similar 2020 quarter and $124.2 billion in the second quarter of 2021. The increase in average core deposits in the two most recent quarters as compared with the third quarter of 2020 reflected higher balances of noninterest-bearing deposits and savings and interest-checking deposits. Average balances of savings and interest-checking core deposits rose $5.5 billion or 9% to $67.1 billion in the third 2021 quarter from $61.7 billion in the year-earlier quarter. Average noninterest-bearing deposits increased $12.4 billion or 28% to $57.2 billion in the recent quarter from $44.8 billion in the third 2020 quarter. Those increases reflected higher average deposits of commercial, consumer and trust customers. Average core deposits were $124.2 billion in the second quarter of 2021. Average savings and interest-checking core deposits decreased $710 million or 1% in the third 2021 quarter from $67.9 billion in the immediately preceding quarter. Average noninterest-bearing deposits in the recent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quarter were $3.8 billion or 7% higher than the second quarter 2021 average of $53.4 billion, reflecting higher levels of trust deposits.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provides an analysis of quarterly changes in the components of average core deposits.</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3rd Qtr.</w:t>
            </w:r>
          </w:p>
        </w:tc>
        <w:tc>
          <w:tcPr>
            <w:tcW w:w="22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tcBorders>
              <w:top w:val="single" w:sz="8" w:color="auto"/>
            </w:tcBorders>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3rd Qtr.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2nd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540" w:type="dxa"/>
            <w:vAlign w:val="bottom"/>
            <w:gridSpan w:val="4"/>
          </w:tcPr>
          <w:p>
            <w:pPr>
              <w:ind w:left="14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24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5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67,145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57,218</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127,067</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Company also receives funding from other deposit sources, including branch-related time deposits over $250,000, brokered deposits and, prior to June 30, 2021, deposits associated with the Company’s Cayman Islands office. Cayman Islands office deposits consisted predominantly of balances swept from lower-yielding commercial customer accounts. Time deposits over $250,000, excluding brokered deposits, averaged $357 million in the recent quarter, compared with $612 million in the third quarter of 2020 and $411 million in the second 2021 quarter. The decreases in such deposits since the third quarter of 2020 were predominantly the result of maturities of higher-rate time deposits. Cayman Islands office deposits averaged $50 million for the quarter ended June 30, 2021 and $1.0 billion for the quarter ended September 30, 2020. During the second quarter of 2021, the Company introduced a new interest-bearing sweep product (included in savings and interest-bearing deposits) that replaced the Eurodollar sweep product previously recorded as Cayman Islands office deposits. As a result, there were no outstanding deposits at the Cayman Islands office during the third quarter of 2021 and the office is closed. The Company had brokered savings and interest-bearing transaction accounts, which in the aggregate averaged $3.8 billion, $4.2 billion and $3.7 billion during the quarters ended September 30, 2021, September 30, 2020 and June 30, 2021,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9" w:name="page60"/>
    <w:bookmarkEnd w:id="59"/>
    <w:p>
      <w:pPr>
        <w:ind w:right="280"/>
        <w:spacing w:after="0" w:line="264" w:lineRule="auto"/>
        <w:rPr>
          <w:sz w:val="20"/>
          <w:szCs w:val="20"/>
          <w:color w:val="auto"/>
        </w:rPr>
      </w:pPr>
      <w:r>
        <w:rPr>
          <w:rFonts w:ascii="Arial" w:cs="Arial" w:eastAsia="Arial" w:hAnsi="Arial"/>
          <w:sz w:val="21"/>
          <w:szCs w:val="21"/>
          <w:color w:val="auto"/>
        </w:rPr>
        <w:t>The following table summarizes average total deposits for the quarters ended September 30, 2021, June 30, 2021 and September 30, 2020.</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AVERAGE DEPOSITS</w:t>
      </w:r>
    </w:p>
    <w:tbl>
      <w:tblPr>
        <w:tblLayout w:type="fixed"/>
        <w:tblInd w:w="0" w:type="dxa"/>
        <w:tblCellMar>
          <w:top w:w="0" w:type="dxa"/>
          <w:left w:w="0" w:type="dxa"/>
          <w:bottom w:w="0" w:type="dxa"/>
          <w:right w:w="0" w:type="dxa"/>
        </w:tblCellMar>
      </w:tblPr>
      <w:tr>
        <w:trPr>
          <w:trHeight w:val="154"/>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9"/>
              </w:rPr>
              <w:t>Retail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Trust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72"/>
              <w:spacing w:after="0" w:line="154" w:lineRule="exact"/>
              <w:rPr>
                <w:sz w:val="20"/>
                <w:szCs w:val="20"/>
                <w:color w:val="auto"/>
              </w:rPr>
            </w:pPr>
            <w:r>
              <w:rPr>
                <w:rFonts w:ascii="Arial" w:cs="Arial" w:eastAsia="Arial" w:hAnsi="Arial"/>
                <w:sz w:val="14"/>
                <w:szCs w:val="14"/>
                <w:b w:val="1"/>
                <w:bCs w:val="1"/>
                <w:color w:val="auto"/>
                <w:w w:val="97"/>
              </w:rPr>
              <w:t>Commercial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12,022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17,968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131,255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15,374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128,413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10,780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64,195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116,306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$91 million in the third quarter of 2021, compared with $62 million in the year-earlier quarter and $61 million in the second quarter of 2021.</w:t>
      </w:r>
    </w:p>
    <w:p>
      <w:pPr>
        <w:spacing w:after="0" w:line="4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Long-term borrowings averaged $3.4 billion in the recent quarter and the second quarter of 2021, compared with $5.5 billion in the third quarter of 2020. Average balances of outstanding senior notes were $2.4 billion during each of the three-month periods ended September 30, 2021 and June 30, 2021 and $3.5 billion during the three-month period ended September 30, 2020. In January 2021, $350 million of variable rate senior notes of M&amp;T Bank matured. In July 2020, M&amp;T Bank redeemed $750 million of fixed rate senior notes and in December 2020 redeemed $650 million of fixed rate senior notes that were due to mature on January 25, 2021. Subordinated capital notes included in long-term borrowings averaged $500 million in the third and second quarters of 2021 and $1.4 billion in the third quarter of 2020. In March 2021, M&amp;T Bank redeemed $500 million of subordinated capital notes that were due to mature on December 1, 2021, and during December 2020, $409 million of subordinated capital notes of M&amp;T Bank matured. Junior subordinated debentures associated with trust preferred securities that were included in average long-term borrowings were $530 million, $527 million and $529 million during the quarters ended September 30, 2021, September 30, 2020 and June 30, 2021. Additional information regarding junior subordinated debentures is provided in note 5 of Notes to Financial Statements.</w:t>
      </w:r>
    </w:p>
    <w:p>
      <w:pPr>
        <w:spacing w:after="0" w:line="6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Company has utilized interest rate swap agreements to modify the repricing characteristics of certain components of its loans and long-term debt. As of September 30, 2021, interest rate swap agreements were used as fair value hedges of approximately $1.65 billion of outstanding fixed rate long-term borrowings. Additionally, interest rate swap agreements with a notional amount of $17.35 billion were used as cash flow hedges of interest payments associated with variable rate commercial real estate loans. Further information on interest rate swap agreements is provided herein and in note 11 of Notes to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0" w:name="page61"/>
    <w:bookmarkEnd w:id="60"/>
    <w:p>
      <w:pPr>
        <w:jc w:val="both"/>
        <w:ind w:firstLine="510"/>
        <w:spacing w:after="0" w:line="271" w:lineRule="auto"/>
        <w:rPr>
          <w:sz w:val="20"/>
          <w:szCs w:val="20"/>
          <w:color w:val="auto"/>
        </w:rPr>
      </w:pPr>
      <w:r>
        <w:rPr>
          <w:rFonts w:ascii="Arial" w:cs="Arial" w:eastAsia="Arial" w:hAnsi="Arial"/>
          <w:sz w:val="19"/>
          <w:szCs w:val="19"/>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2.68% in the recent quarter, compared with 2.83% in the third quarter of 2020. The yield on earning assets during the third quarter of 2021 was 2.82%, down 31 basis points from</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3.13% in the similar 2020 period, while the rate paid on interest-bearing liabilities declined 16 basis points to .14% in the recent quarter from .30% in the year-earlier period. In the second quarter of 2021, the net interest spread was 2.71%, the yield on earning assets was 2.85% and the rate paid on interest-bearing liabilities was .14%. The narrowing of the net interest spread in the two most recent quarters as compared with the third quarter of 2020 reflects the impact of a higher proportion of low-yielding balances at the Federal Reserve Bank of New York to total average earning assets. For the first nine months of 2021, the net interest spread was 2.76%, down 27 basis points from 3.03% in the year-earlier period. The yield on earning assets and the rate paid on interest-bearing liabilities for the first nine months of 2021 were 2.91% and .15%, respectively, compared with 3.53% and .50%, respectively, in the initial nine months of 2020.</w:t>
      </w:r>
    </w:p>
    <w:p>
      <w:pPr>
        <w:spacing w:after="0" w:line="8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$62.9 billion in the third quarter of 2021, compared with $50.6 billion in the year-earlier quarter and $58.5 billion in the second 2021 quarter. The increase in average net interest-free funds in the recent quarter as compared with those prior quarters reflects higher average balances of noninterest-bearing deposits. During the first nine months of 2021 and 2020, average net interest-free funds aggregated $59.0 billion and $45.6 billion, respectively. Shareholders’ equity averaged $17.1 billion during the three-month period ended September 30, 2021, $16.1 billion during the year-earlier period and $16.6 billion during the second 2021 quarter. Goodwill and core deposit and other intangible assets averaged $4.6 billion during each of those quarters. The cash surrender value of bank owned life insurance averaged $1.86 billion in each of the two most recent quarters of 2021, compared with $1.84 billion in the third quarter of 2020. Increases in the cash surrender value of bank owned life insurance and benefits received are not included in interest income, but rather are recorded in “other revenues from operations.” The contribution of net interest-free funds to net interest margin was .06% in each of the third and second quarters of 2021, compared with .12% in the third quarter of 2020. The reduced contribution of net interest-free funds to net interest margin in the two most recent quarters as compared with the third quarter of 2020 reflects the lower rates on interest-bearing liabilities used to value net interest-free funds. The contribution of net interest-free funds in the first nine months of 2021 and 2020 was .07% and .19%, respectively.</w:t>
      </w:r>
    </w:p>
    <w:p>
      <w:pPr>
        <w:spacing w:after="0" w:line="66"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Reflecting the changes to the net interest spread and the contribution of net interest-free funds as described herein, the Company’s net interest margin was 2.74% in the third quarter of 2021, compared with 2.95% in the year-earlier period and 2.77% in the second quarter of 2021. During the first nine months of 2021 and 2020, the net interest margin was 2.83% and 3.22%,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$19.00 billion (excluding $8.35 billion of forward-starting swap agreements) at September 30, 2021, $15.65 billion (excluding $38.90 billion of forward-starting swap agreements) at September 30, 2020 and $19.00 billion (excluding $32.05 billion of forward-starting swap agreements) at December 31, 2020. Under the terms of those interest rate swap agreements, the Company received payments based on the outstanding notional amount at fixed rates and made payments at variable rates. At each of September 30, 2021 and December 31, 2020, interest rate swap agreements with notional amounts of $17.35 billion were serving as cash flow hedges of interest payments associated with variable rate commercial real estate loans, compared with $13.35 billion at September 30, 2020. Interest rate swap agreements with notional amounts of $1.65 billion at each of September 30, 2021 and December 31, 2020 and $2.30 billion at September 30, 2020 were serving as fair value hedges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1" w:name="page62"/>
    <w:bookmarkEnd w:id="61"/>
    <w:p>
      <w:pPr>
        <w:jc w:val="both"/>
        <w:spacing w:after="0" w:line="252" w:lineRule="auto"/>
        <w:rPr>
          <w:sz w:val="20"/>
          <w:szCs w:val="20"/>
          <w:color w:val="auto"/>
        </w:rPr>
      </w:pPr>
      <w:r>
        <w:rPr>
          <w:rFonts w:ascii="Arial" w:cs="Arial" w:eastAsia="Arial" w:hAnsi="Arial"/>
          <w:sz w:val="21"/>
          <w:szCs w:val="21"/>
          <w:color w:val="auto"/>
        </w:rPr>
        <w:t>of fixed rate long-term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7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September 30, 2021, September 30, 2020 and June 30, 2021 were not material to the Company’s consolidated results of operations. Information regarding the fair value of interest rate swap agreements and hedge ineffectiveness is presented in note 11 of Notes to Financial Statements. Information regarding the effective portion of cash flow hedges is presented in note 10 of Notes to Financial Statements. The changes in the fair values of the interest rate swap agreements and the hedged items primarily result from the effects of changing interest rates and spreads.</w:t>
      </w:r>
    </w:p>
    <w:p>
      <w:pPr>
        <w:spacing w:after="0" w:line="6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weighted-average rates to be received and paid under interest rate swap agreements currently in effect were 1.38% and .12%, respectively, at September 30, 2021.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11 of Notes to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ind w:left="232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3"/>
          </w:tcPr>
          <w:p>
            <w:pPr>
              <w:jc w:val="center"/>
              <w:ind w:right="380"/>
              <w:spacing w:after="0"/>
              <w:rPr>
                <w:sz w:val="20"/>
                <w:szCs w:val="20"/>
                <w:color w:val="auto"/>
              </w:rPr>
            </w:pPr>
            <w:r>
              <w:rPr>
                <w:rFonts w:ascii="Arial" w:cs="Arial" w:eastAsia="Arial" w:hAnsi="Arial"/>
                <w:sz w:val="14"/>
                <w:szCs w:val="14"/>
                <w:b w:val="1"/>
                <w:bCs w:val="1"/>
                <w:color w:val="auto"/>
                <w:w w:val="93"/>
              </w:rPr>
              <w:t>Three Months Ended September 30</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
              <w:spacing w:after="0" w:line="155" w:lineRule="exact"/>
              <w:rPr>
                <w:sz w:val="20"/>
                <w:szCs w:val="20"/>
                <w:color w:val="auto"/>
              </w:rPr>
            </w:pPr>
            <w:r>
              <w:rPr>
                <w:rFonts w:ascii="Arial" w:cs="Arial" w:eastAsia="Arial" w:hAnsi="Arial"/>
                <w:sz w:val="14"/>
                <w:szCs w:val="14"/>
                <w:b w:val="1"/>
                <w:bCs w:val="1"/>
                <w:color w:val="auto"/>
              </w:rPr>
              <w:t>Rate(a)</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Rate(a)</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60" w:type="dxa"/>
            <w:vAlign w:val="bottom"/>
            <w:gridSpan w:val="11"/>
          </w:tcPr>
          <w:p>
            <w:pPr>
              <w:jc w:val="center"/>
              <w:ind w:right="6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82,404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(8,731)</w:t>
            </w:r>
          </w:p>
        </w:tc>
        <w:tc>
          <w:tcPr>
            <w:tcW w:w="9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(12,312)</w:t>
            </w:r>
          </w:p>
        </w:tc>
        <w:tc>
          <w:tcPr>
            <w:tcW w:w="2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66,789</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94,716</w:t>
            </w: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18,923,913</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15,780,436</w:t>
            </w:r>
          </w:p>
        </w:tc>
        <w:tc>
          <w:tcPr>
            <w:tcW w:w="4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Rate paid (b)</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gridSpan w:val="3"/>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3"/>
          </w:tcPr>
          <w:p>
            <w:pPr>
              <w:jc w:val="center"/>
              <w:ind w:right="620"/>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Rate(a)</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Rate(a)</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8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gridSpan w:val="11"/>
          </w:tcPr>
          <w:p>
            <w:pPr>
              <w:jc w:val="center"/>
              <w:ind w:right="8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206,713</w:t>
            </w:r>
          </w:p>
        </w:tc>
        <w:tc>
          <w:tcPr>
            <w:tcW w:w="2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183,598</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(26,084)</w:t>
            </w:r>
          </w:p>
        </w:tc>
        <w:tc>
          <w:tcPr>
            <w:tcW w:w="1180" w:type="dxa"/>
            <w:vAlign w:val="bottom"/>
            <w:gridSpan w:val="6"/>
          </w:tcPr>
          <w:p>
            <w:pPr>
              <w:jc w:val="right"/>
              <w:ind w:right="17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(28,258)</w:t>
            </w:r>
          </w:p>
        </w:tc>
        <w:tc>
          <w:tcPr>
            <w:tcW w:w="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4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232,797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211,856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Average notional amount (c)</w:t>
            </w:r>
          </w:p>
        </w:tc>
        <w:tc>
          <w:tcPr>
            <w:tcW w:w="15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FF0FC"/>
            </w:tcBorders>
            <w:vMerge w:val="continue"/>
          </w:tcPr>
          <w:p>
            <w:pPr>
              <w:spacing w:after="0"/>
              <w:rPr>
                <w:sz w:val="21"/>
                <w:szCs w:val="21"/>
                <w:color w:val="auto"/>
              </w:rPr>
            </w:pPr>
          </w:p>
        </w:tc>
        <w:tc>
          <w:tcPr>
            <w:tcW w:w="1420" w:type="dxa"/>
            <w:vAlign w:val="bottom"/>
            <w:tcBorders>
              <w:bottom w:val="single" w:sz="8" w:color="CFF0FC"/>
            </w:tcBorders>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18,915,751</w:t>
            </w: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top w:val="single" w:sz="8" w:color="auto"/>
              <w:bottom w:val="single" w:sz="8" w:color="CFF0FC"/>
            </w:tcBorders>
          </w:tcPr>
          <w:p>
            <w:pPr>
              <w:spacing w:after="0"/>
              <w:rPr>
                <w:sz w:val="21"/>
                <w:szCs w:val="21"/>
                <w:color w:val="auto"/>
              </w:rPr>
            </w:pPr>
          </w:p>
        </w:tc>
        <w:tc>
          <w:tcPr>
            <w:tcW w:w="40" w:type="dxa"/>
            <w:vAlign w:val="bottom"/>
            <w:tcBorders>
              <w:top w:val="single" w:sz="8" w:color="auto"/>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16,275,182</w:t>
            </w:r>
          </w:p>
        </w:tc>
        <w:tc>
          <w:tcPr>
            <w:tcW w:w="2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620" w:type="dxa"/>
            <w:vAlign w:val="bottom"/>
            <w:tcBorders>
              <w:top w:val="single" w:sz="8" w:color="auto"/>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Rate paid (b)</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9" w:lineRule="exact"/>
        <w:rPr>
          <w:rFonts w:ascii="Arial" w:cs="Arial" w:eastAsia="Arial" w:hAnsi="Arial"/>
          <w:sz w:val="18"/>
          <w:szCs w:val="18"/>
          <w:i w:val="1"/>
          <w:iCs w:val="1"/>
          <w:color w:val="auto"/>
        </w:rPr>
      </w:pPr>
    </w:p>
    <w:p>
      <w:pPr>
        <w:ind w:left="500" w:hanging="492"/>
        <w:spacing w:after="0"/>
        <w:tabs>
          <w:tab w:leader="none" w:pos="5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forward-starting interest rate swap agreements not in effect during the period.</w:t>
      </w:r>
    </w:p>
    <w:p>
      <w:pPr>
        <w:spacing w:after="0" w:line="210" w:lineRule="exact"/>
        <w:rPr>
          <w:rFonts w:ascii="Arial" w:cs="Arial" w:eastAsia="Arial" w:hAnsi="Arial"/>
          <w:sz w:val="18"/>
          <w:szCs w:val="18"/>
          <w:i w:val="1"/>
          <w:iCs w:val="1"/>
          <w:color w:val="auto"/>
        </w:rPr>
      </w:pPr>
    </w:p>
    <w:p>
      <w:pPr>
        <w:ind w:left="5540" w:hanging="111"/>
        <w:spacing w:after="0"/>
        <w:tabs>
          <w:tab w:leader="none" w:pos="5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2" w:name="page63"/>
    <w:bookmarkEnd w:id="62"/>
    <w:p>
      <w:pPr>
        <w:jc w:val="both"/>
        <w:ind w:firstLine="510"/>
        <w:spacing w:after="0" w:line="249" w:lineRule="auto"/>
        <w:rPr>
          <w:sz w:val="20"/>
          <w:szCs w:val="20"/>
          <w:color w:val="auto"/>
        </w:rPr>
      </w:pPr>
      <w:r>
        <w:rPr>
          <w:rFonts w:ascii="Arial" w:cs="Arial" w:eastAsia="Arial" w:hAnsi="Arial"/>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September 30, 2021 and December 31, 2020, long-term borrowings aggregated $3.5 billion and $4.4 billion, respectively.</w:t>
      </w:r>
    </w:p>
    <w:p>
      <w:pPr>
        <w:spacing w:after="0" w:line="6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Prior to June 2021, Cayman Islands office deposits were used by some customers of the Company as an alternative to other deposit and investment products. Cayman Islands office deposits totaled $900 million at September 30, 2020 and $652 million at December 31, 2020. The Company no longer offers deposits at the Cayman Islands office but, as previously noted, now offers an interest-bearing sweep product to commercial customers through its domestic branches. The Company has also benefited from the placement of brokered deposits. The Company had brokered savings and interest-bearing checking deposit accounts which aggregated approximately $3.4 billion at September 30, 2021, $4.2 billion at September 30, 2020 and $4.5 billion at December 31, 2020. Brokered time deposits were not a significant source of funding as of those dates.</w:t>
      </w:r>
    </w:p>
    <w:p>
      <w:pPr>
        <w:spacing w:after="0" w:line="7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3" w:name="page64"/>
    <w:bookmarkEnd w:id="63"/>
    <w:p>
      <w:pPr>
        <w:jc w:val="both"/>
        <w:ind w:firstLine="510"/>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September 30, 2021 or December 31, 2020. The total amount of VRDBs outstanding backed by M&amp;T Bank letters of credit was $683 million at September 30, 2021, compared with $831 million at September, 30, 2020 and $725 million at December 31, 2020. M&amp;T Bank also serves as remarketing agent for most of those bonds.</w:t>
      </w:r>
    </w:p>
    <w:p>
      <w:pPr>
        <w:spacing w:after="0" w:line="7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14 of Notes to Financial Statements.</w:t>
      </w:r>
    </w:p>
    <w:p>
      <w:pPr>
        <w:spacing w:after="0" w:line="53"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2021 approximately $1.4 billion was available for payment of dividends to M&amp;T from bank subsidiaries. M&amp;T also may obtain funding through long-term borrowings. Outstanding senior notes of M&amp;T at September 30, 2021 and December 31, 2020 were $772 million and $783 million, respectively. Junior subordinated debentures of M&amp;T associated with trust preferred securities outstanding at September 30, 2021 and December 31, 2020 totaled $531 million and $528 million, respectively.</w:t>
      </w:r>
    </w:p>
    <w:p>
      <w:pPr>
        <w:spacing w:after="0" w:line="88"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ordinary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4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September 30, 2021, the aggregate notional amount of interest rate swap agreements entered into for risk management purposes that were currently in effect was $19.0 billion. In addition, the Company has entered into $8.35 billion of forward-starting interest rate swap agreements.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4" w:name="page65"/>
    <w:bookmarkEnd w:id="64"/>
    <w:p>
      <w:pPr>
        <w:jc w:val="both"/>
        <w:ind w:firstLine="510"/>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6" w:lineRule="exact"/>
        <w:rPr>
          <w:sz w:val="20"/>
          <w:szCs w:val="20"/>
          <w:color w:val="auto"/>
        </w:rPr>
      </w:pPr>
    </w:p>
    <w:p>
      <w:pPr>
        <w:jc w:val="both"/>
        <w:ind w:right="20" w:firstLine="510"/>
        <w:spacing w:after="0" w:line="252" w:lineRule="auto"/>
        <w:rPr>
          <w:sz w:val="20"/>
          <w:szCs w:val="20"/>
          <w:color w:val="auto"/>
        </w:rPr>
      </w:pPr>
      <w:r>
        <w:rPr>
          <w:rFonts w:ascii="Arial" w:cs="Arial" w:eastAsia="Arial" w:hAnsi="Arial"/>
          <w:sz w:val="21"/>
          <w:szCs w:val="21"/>
          <w:color w:val="auto"/>
        </w:rPr>
        <w:t>The accompanying table as of September 30, 2021 and December 31, 2020 displays the estimated impact on net interest income in the base scenario described above resulting from parallel changes in interest rates across repricing categories during the first modeling year.</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Calculated Increase (Decrease)</w:t>
            </w:r>
          </w:p>
        </w:tc>
      </w:tr>
      <w:tr>
        <w:trPr>
          <w:trHeight w:val="171"/>
        </w:trPr>
        <w:tc>
          <w:tcPr>
            <w:tcW w:w="1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93"/>
              </w:rPr>
              <w:t>in Projected Net Interest Income</w:t>
            </w:r>
          </w:p>
        </w:tc>
        <w:tc>
          <w:tcPr>
            <w:tcW w:w="80" w:type="dxa"/>
            <w:vAlign w:val="bottom"/>
          </w:tcPr>
          <w:p>
            <w:pPr>
              <w:spacing w:after="0"/>
              <w:rPr>
                <w:sz w:val="14"/>
                <w:szCs w:val="14"/>
                <w:color w:val="auto"/>
              </w:rPr>
            </w:pPr>
          </w:p>
        </w:tc>
      </w:tr>
      <w:tr>
        <w:trPr>
          <w:trHeight w:val="217"/>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100" w:type="dxa"/>
            <w:vAlign w:val="bottom"/>
          </w:tcPr>
          <w:p>
            <w:pPr>
              <w:spacing w:after="0"/>
              <w:rPr>
                <w:sz w:val="18"/>
                <w:szCs w:val="18"/>
                <w:color w:val="auto"/>
              </w:rPr>
            </w:pPr>
          </w:p>
        </w:tc>
        <w:tc>
          <w:tcPr>
            <w:tcW w:w="1600" w:type="dxa"/>
            <w:vAlign w:val="bottom"/>
          </w:tcPr>
          <w:p>
            <w:pPr>
              <w:jc w:val="right"/>
              <w:ind w:right="300"/>
              <w:spacing w:after="0"/>
              <w:rPr>
                <w:sz w:val="20"/>
                <w:szCs w:val="20"/>
                <w:color w:val="auto"/>
              </w:rPr>
            </w:pPr>
            <w:r>
              <w:rPr>
                <w:rFonts w:ascii="Arial" w:cs="Arial" w:eastAsia="Arial" w:hAnsi="Arial"/>
                <w:sz w:val="14"/>
                <w:szCs w:val="14"/>
                <w:b w:val="1"/>
                <w:bCs w:val="1"/>
                <w:color w:val="auto"/>
                <w:w w:val="91"/>
              </w:rPr>
              <w:t>September 30, 2021</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1520" w:type="dxa"/>
            <w:vAlign w:val="bottom"/>
            <w:tcBorders>
              <w:top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6"/>
                <w:szCs w:val="16"/>
                <w:color w:val="auto"/>
              </w:rPr>
            </w:pPr>
          </w:p>
        </w:tc>
      </w:tr>
      <w:tr>
        <w:trPr>
          <w:trHeight w:val="273"/>
        </w:trPr>
        <w:tc>
          <w:tcPr>
            <w:tcW w:w="15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531,480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324,684</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100" w:type="dxa"/>
            <w:vAlign w:val="bottom"/>
          </w:tcPr>
          <w:p>
            <w:pPr>
              <w:spacing w:after="0"/>
              <w:rPr>
                <w:sz w:val="19"/>
                <w:szCs w:val="19"/>
                <w:color w:val="auto"/>
              </w:rPr>
            </w:pPr>
          </w:p>
        </w:tc>
        <w:tc>
          <w:tcPr>
            <w:tcW w:w="1600" w:type="dxa"/>
            <w:vAlign w:val="bottom"/>
          </w:tcPr>
          <w:p>
            <w:pPr>
              <w:jc w:val="right"/>
              <w:ind w:right="200"/>
              <w:spacing w:after="0"/>
              <w:rPr>
                <w:sz w:val="20"/>
                <w:szCs w:val="20"/>
                <w:color w:val="auto"/>
              </w:rPr>
            </w:pPr>
            <w:r>
              <w:rPr>
                <w:rFonts w:ascii="Arial" w:cs="Arial" w:eastAsia="Arial" w:hAnsi="Arial"/>
                <w:sz w:val="18"/>
                <w:szCs w:val="18"/>
                <w:color w:val="auto"/>
              </w:rPr>
              <w:t>294,060</w:t>
            </w:r>
          </w:p>
        </w:tc>
        <w:tc>
          <w:tcPr>
            <w:tcW w:w="1480" w:type="dxa"/>
            <w:vAlign w:val="bottom"/>
          </w:tcPr>
          <w:p>
            <w:pPr>
              <w:jc w:val="right"/>
              <w:spacing w:after="0"/>
              <w:rPr>
                <w:sz w:val="20"/>
                <w:szCs w:val="20"/>
                <w:color w:val="auto"/>
              </w:rPr>
            </w:pPr>
            <w:r>
              <w:rPr>
                <w:rFonts w:ascii="Arial" w:cs="Arial" w:eastAsia="Arial" w:hAnsi="Arial"/>
                <w:sz w:val="18"/>
                <w:szCs w:val="18"/>
                <w:color w:val="auto"/>
              </w:rPr>
              <w:t>182,661</w:t>
            </w:r>
          </w:p>
        </w:tc>
        <w:tc>
          <w:tcPr>
            <w:tcW w:w="80" w:type="dxa"/>
            <w:vAlign w:val="bottom"/>
          </w:tcPr>
          <w:p>
            <w:pPr>
              <w:spacing w:after="0"/>
              <w:rPr>
                <w:sz w:val="19"/>
                <w:szCs w:val="19"/>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(101,798)</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(61,792)</w:t>
            </w:r>
          </w:p>
        </w:tc>
      </w:tr>
    </w:tbl>
    <w:p>
      <w:pPr>
        <w:spacing w:after="0" w:line="9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62" w:lineRule="exact"/>
        <w:rPr>
          <w:sz w:val="20"/>
          <w:szCs w:val="20"/>
          <w:color w:val="auto"/>
        </w:rPr>
      </w:pPr>
    </w:p>
    <w:p>
      <w:pPr>
        <w:jc w:val="both"/>
        <w:ind w:firstLine="510"/>
        <w:spacing w:after="0" w:line="315"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13 of Notes to Financial Statements.</w:t>
      </w:r>
    </w:p>
    <w:p>
      <w:pPr>
        <w:spacing w:after="0" w:line="2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5" w:name="page66"/>
    <w:bookmarkEnd w:id="65"/>
    <w:p>
      <w:pPr>
        <w:jc w:val="both"/>
        <w:spacing w:after="0" w:line="247" w:lineRule="auto"/>
        <w:rPr>
          <w:sz w:val="20"/>
          <w:szCs w:val="20"/>
          <w:color w:val="auto"/>
        </w:rPr>
      </w:pPr>
      <w:r>
        <w:rPr>
          <w:rFonts w:ascii="Arial" w:cs="Arial" w:eastAsia="Arial" w:hAnsi="Arial"/>
          <w:sz w:val="21"/>
          <w:szCs w:val="21"/>
          <w:color w:val="auto"/>
        </w:rPr>
        <w:t>currency and other option and futures contracts are presented in note 11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80"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notional amounts of interest rate contracts entered into for trading account purposes totaled $34.5 billion at September 30, 2021, $36.6 billion at September 30, 2020 and $37.8 billion at December 31, 2020. The notional amounts of foreign currency and other option and futures contracts entered into for trading account purposes were $815 million at September 30, 2021, compared with $877 million at September 30, 2020 and $776 million at December 31, 2020.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$625 million and $93 million, respectively, at September 30, 2021 and $1.1 billion and $117 million, respectively, at December 31, 2020. The fair value asset and liability amounts at September 30, 2021 have been reduced by contractual settlements of $42 million and $433 million, respectively, and at December 31, 2020 have been reduced by contractual settlements of $6 million and $806 million, respectively. The lower balance of trading account assets at September 30, 2021 as compared with December 31, 2020 was largely the result of decreased values associated with interest rate swap agreements entered into with commercial customers that are not subject to periodic variation margin settlement payments. Included in trading account assets were assets related to deferred compensation plans aggregating $21 million at each of September 30, 2021, September 30, 2020 and December 31, 2020. Changes in the fair values of such assets are recorded as “trading account and foreign exchange gains” in the consolidated statement of income. Included in “other liabilities” in the consolidated balance sheet at September 30, 2021 were $25 million of liabilities related to deferred compensation plans, compared with $24 million at each of September 30, 2020 and December 31, 2020.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$29 million at each of September 30, 2021, September 30, 2020 and December 31, 2020.</w:t>
      </w:r>
    </w:p>
    <w:p>
      <w:pPr>
        <w:spacing w:after="0" w:line="6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11 of Notes to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6" w:name="page67"/>
    <w:bookmarkEnd w:id="66"/>
    <w:p>
      <w:pPr>
        <w:spacing w:after="0"/>
        <w:rPr>
          <w:sz w:val="20"/>
          <w:szCs w:val="20"/>
          <w:color w:val="auto"/>
        </w:rPr>
      </w:pPr>
      <w:r>
        <w:rPr>
          <w:rFonts w:ascii="Arial" w:cs="Arial" w:eastAsia="Arial" w:hAnsi="Arial"/>
          <w:sz w:val="21"/>
          <w:szCs w:val="21"/>
          <w:b w:val="1"/>
          <w:bCs w:val="1"/>
          <w:color w:val="auto"/>
        </w:rPr>
        <w:t>Provision for Credit Losses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provision for (or recapture of) credit losses is recorded to adjust the level of the allowance to reflect expected credit losses that are based on economic forecasts as of each reporting date. Provision for credit loss recaptures were recorded in the third and second quarters of 2021 for $20 million and $15 million, respectively, compared with a provision for credit losses of $150 million that was recorded in the third quarter of 2020. The provision (or recapture) in each quarter adjusts the allowance for credit losses to reflect expected losses that are based on macroeconomic forecasts as of each quarter-end date. Net charge-offs of loans were $40 million in the recent quarter, $30 million in the third quarter of 2020 and $46 million in the second quarter of 2021. Net charge-offs as an annualized percentage of average loans and leases were .17% in the third quarter of 2021, .12% in the year-earlier quarter and .19% in the second quarter of 2021. Net charge-offs for the nine-month periods ended September 30, 2021 and 2020 were $161 million and $150 million, respectively, representing an annualized .22% and .21%, respectively, of average loans and leases. A summary of net charge-offs by loan type is presented in the table that follows.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ind w:left="60"/>
              <w:spacing w:after="0" w:line="133" w:lineRule="exact"/>
              <w:rPr>
                <w:sz w:val="20"/>
                <w:szCs w:val="20"/>
                <w:color w:val="auto"/>
              </w:rPr>
            </w:pPr>
            <w:r>
              <w:rPr>
                <w:rFonts w:ascii="Arial" w:cs="Arial" w:eastAsia="Arial" w:hAnsi="Arial"/>
                <w:sz w:val="14"/>
                <w:szCs w:val="14"/>
                <w:b w:val="1"/>
                <w:bCs w:val="1"/>
                <w:color w:val="auto"/>
              </w:rPr>
              <w:t>First</w:t>
            </w:r>
          </w:p>
        </w:tc>
        <w:tc>
          <w:tcPr>
            <w:tcW w:w="940" w:type="dxa"/>
            <w:vAlign w:val="bottom"/>
            <w:gridSpan w:val="4"/>
          </w:tcPr>
          <w:p>
            <w:pPr>
              <w:jc w:val="center"/>
              <w:ind w:right="380"/>
              <w:spacing w:after="0" w:line="133" w:lineRule="exact"/>
              <w:rPr>
                <w:sz w:val="20"/>
                <w:szCs w:val="20"/>
                <w:color w:val="auto"/>
              </w:rPr>
            </w:pPr>
            <w:r>
              <w:rPr>
                <w:rFonts w:ascii="Arial" w:cs="Arial" w:eastAsia="Arial" w:hAnsi="Arial"/>
                <w:sz w:val="14"/>
                <w:szCs w:val="14"/>
                <w:b w:val="1"/>
                <w:bCs w:val="1"/>
                <w:color w:val="auto"/>
                <w:w w:val="86"/>
              </w:rPr>
              <w:t>Second</w:t>
            </w:r>
          </w:p>
        </w:tc>
        <w:tc>
          <w:tcPr>
            <w:tcW w:w="20" w:type="dxa"/>
            <w:vAlign w:val="bottom"/>
          </w:tcPr>
          <w:p>
            <w:pPr>
              <w:spacing w:after="0"/>
              <w:rPr>
                <w:sz w:val="11"/>
                <w:szCs w:val="11"/>
                <w:color w:val="auto"/>
              </w:rPr>
            </w:pPr>
          </w:p>
        </w:tc>
        <w:tc>
          <w:tcPr>
            <w:tcW w:w="8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Third</w:t>
            </w: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Year-</w:t>
            </w:r>
          </w:p>
        </w:tc>
        <w:tc>
          <w:tcPr>
            <w:tcW w:w="80" w:type="dxa"/>
            <w:vAlign w:val="bottom"/>
          </w:tcPr>
          <w:p>
            <w:pPr>
              <w:spacing w:after="0"/>
              <w:rPr>
                <w:sz w:val="11"/>
                <w:szCs w:val="11"/>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ind w:left="6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to-date</w:t>
            </w:r>
          </w:p>
        </w:tc>
      </w:tr>
      <w:tr>
        <w:trPr>
          <w:trHeight w:val="238"/>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377"/>
        </w:trPr>
        <w:tc>
          <w:tcPr>
            <w:tcW w:w="53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4,434</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22,813</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56,489</w:t>
            </w:r>
          </w:p>
        </w:tc>
        <w:tc>
          <w:tcPr>
            <w:tcW w:w="80" w:type="dxa"/>
            <w:vAlign w:val="bottom"/>
          </w:tcPr>
          <w:p>
            <w:pPr>
              <w:spacing w:after="0"/>
              <w:rPr>
                <w:sz w:val="24"/>
                <w:szCs w:val="24"/>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54,092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11,880</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77,302</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16,289</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5,389</w:t>
            </w:r>
          </w:p>
        </w:tc>
        <w:tc>
          <w:tcPr>
            <w:tcW w:w="2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27,333</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75,181</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40,104</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5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5"/>
          </w:tcPr>
          <w:p>
            <w:pPr>
              <w:ind w:left="40"/>
              <w:spacing w:after="0" w:line="133" w:lineRule="exact"/>
              <w:rPr>
                <w:sz w:val="20"/>
                <w:szCs w:val="20"/>
                <w:color w:val="auto"/>
              </w:rPr>
            </w:pPr>
            <w:r>
              <w:rPr>
                <w:rFonts w:ascii="Arial" w:cs="Arial" w:eastAsia="Arial" w:hAnsi="Arial"/>
                <w:sz w:val="14"/>
                <w:szCs w:val="14"/>
                <w:b w:val="1"/>
                <w:bCs w:val="1"/>
                <w:color w:val="auto"/>
              </w:rPr>
              <w:t>First</w:t>
            </w:r>
          </w:p>
        </w:tc>
        <w:tc>
          <w:tcPr>
            <w:tcW w:w="940" w:type="dxa"/>
            <w:vAlign w:val="bottom"/>
            <w:gridSpan w:val="4"/>
          </w:tcPr>
          <w:p>
            <w:pPr>
              <w:jc w:val="center"/>
              <w:ind w:right="340"/>
              <w:spacing w:after="0" w:line="133" w:lineRule="exact"/>
              <w:rPr>
                <w:sz w:val="20"/>
                <w:szCs w:val="20"/>
                <w:color w:val="auto"/>
              </w:rPr>
            </w:pPr>
            <w:r>
              <w:rPr>
                <w:rFonts w:ascii="Arial" w:cs="Arial" w:eastAsia="Arial" w:hAnsi="Arial"/>
                <w:sz w:val="14"/>
                <w:szCs w:val="14"/>
                <w:b w:val="1"/>
                <w:bCs w:val="1"/>
                <w:color w:val="auto"/>
                <w:w w:val="86"/>
              </w:rPr>
              <w:t>Second</w:t>
            </w:r>
          </w:p>
        </w:tc>
        <w:tc>
          <w:tcPr>
            <w:tcW w:w="2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Third</w:t>
            </w: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Year-</w:t>
            </w:r>
          </w:p>
        </w:tc>
        <w:tc>
          <w:tcPr>
            <w:tcW w:w="80" w:type="dxa"/>
            <w:vAlign w:val="bottom"/>
          </w:tcPr>
          <w:p>
            <w:pPr>
              <w:spacing w:after="0"/>
              <w:rPr>
                <w:sz w:val="11"/>
                <w:szCs w:val="11"/>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6"/>
          </w:tcPr>
          <w:p>
            <w:pPr>
              <w:ind w:left="2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to-date</w:t>
            </w:r>
          </w:p>
        </w:tc>
      </w:tr>
      <w:tr>
        <w:trPr>
          <w:trHeight w:val="225"/>
        </w:trPr>
        <w:tc>
          <w:tcPr>
            <w:tcW w:w="5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47"/>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13,122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29,235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52,316</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16,458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19,236</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3,705</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31,778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25,716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17,272</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74,766</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49,162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71,130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29,731</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150,023</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levels of net charge-offs of commercial loans and commercial real estate loans reflect the impact of the pandemic on borrowers’ abilities to repay loans. In the commercial real estate portfolio, those loans are mostly associated with the retail, office building and hospitality sectors.</w:t>
      </w:r>
    </w:p>
    <w:p>
      <w:pPr>
        <w:spacing w:after="0" w:line="76"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Nonaccrual loans aggregated $2.24 billion or 2.40% of total loans and leases outstanding at September 30, 2021, compared with $1.24 billion or 1.26% at September 30, 2020, $1.89 billion or 1.92% at December 31, 2020 and $2.24 billion or 2.31% at June 30, 2021. The higher level of nonaccrual loans since September 30, 2020 reflects the continuing impact of the pandemic on borrowers’ ability to make contractual payments on their loans, most notably loans in the hospitality sector.</w:t>
      </w:r>
    </w:p>
    <w:p>
      <w:pPr>
        <w:spacing w:after="0" w:line="6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Accruing loans past due 90 days or more were $1.03 billion or 1.10% of loans and leases at September 30, 2021, compared with $527 million or .54% at September 30, 2020, $859 million or .87% at December 31, 2020 and $1.08 billion or 1.11% at June 30, 2021. Accruing loans past due 90 days or more included loans guaranteed by government-related entities of $947 million, $505 million, $798 million, $1.03 billion at September 30, 2021, September 30, 2020, December 31, 2020 and June 30, 2021, respectively. Guaranteed loans included one-to-four family residential mortgage loans serviced by the Company that were purchased to reduce associated servicing costs, including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19"/>
          <w:szCs w:val="19"/>
          <w:color w:val="auto"/>
        </w:rPr>
        <w:t>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those purchased loans that are guaranteed by government-related entities totaled $919 million at September 30, 2021, $480 million a year earlier, $764 million at December 31, 2020 and $1.00 billion at June 30, 2021. The remaining accruing loans past due 90 days or more not guaranteed by government-related entities were loans considered to be with creditworthy borrowers that were in the process of collection or renewal. In addition to the past due loans, the Company also has $1.6 billion of government-guaranteed residential mortgage loans that are not considered delinquent because the borrower has requested and received a COVID-19 related payment deferral. In general, those loans were also purchased to reduce associated servicing costs as described above and also remain covered by the insurance or guarantee of the applicable government-related entity, but are not considered to be past due in accordance with the accounting treatment afforded under the CARES Act and related regulatory and financial accounting guidance as described below and in note 1 of Notes to Financial Statements in M&amp;T’s 2020 Annual Report.</w:t>
      </w:r>
    </w:p>
    <w:p>
      <w:pPr>
        <w:spacing w:after="0" w:line="67"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Loans that were 30-89 days past due were $837 million at September 30, 2021, compared with $874 million at September 30, 2020, $662 million at December 31, 2020 and $640 million at June 30, 2021. COVID-19 related payment deferral modifications of loans are classified as current in accordance with regulatory guidance and, as a result, did not contribute in incremental additions to loans categorized as 30-89 days past due.</w:t>
      </w:r>
    </w:p>
    <w:p>
      <w:pPr>
        <w:spacing w:after="0" w:line="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United States has been operating under a state of emergency related to the COVID-19 pandemic since March 13, 2020. The direct and indirect effects of the COVID-19 pandemic resulted in a dramatic reduction in economic activity that severely hampered the ability of some businesses and consumers to meet their repayment obligations. The CARES Act, in addition to providing financial assistance to both businesses and consumers, created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delinquent or as troubled debt restructurings. Modifications may include payment deferrals (including extensions of maturity dates), covenant waivers and fee waivers. The Company has worked with its customers affected by COVID-19 and has granted modifications across many of its loan portfolios. To the extent that such modifications met the criteria previously described, such modifications have not been classified as delinquent or as troubled debt restructurings. A summary of loans for which COVID-19 forbearances have been granted and which are not considered impaired or past due is presented herein and in note 4 of Notes to Financial Statements.</w:t>
      </w:r>
    </w:p>
    <w:p>
      <w:pPr>
        <w:spacing w:after="0" w:line="63"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Company also modified the terms of select loans in an effort to assist borrowers that were not related to the COVID-19 pandemic or that did not meet the criteria for a COVID-19 modification under the CARES Act.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Information about modifications of loans that are considered troubled debt restructurings is included in note 4 of Notes to Financial Statements.</w:t>
      </w:r>
    </w:p>
    <w:p>
      <w:pPr>
        <w:spacing w:after="0" w:line="83"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$425 million, $267 million, $342 million and $525 million at September 30, 2021, September 30, 2020, December 31, 2020 and June 30, 2021, respectively.</w:t>
      </w:r>
    </w:p>
    <w:p>
      <w:pPr>
        <w:spacing w:after="0" w:line="8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Commercial loans and leases classified as nonaccrual totaled $280 million, $351 million, $307 million and $330 million at September 30, 2021, September 30, 2020, December 31, 2020 and June 30, 2021, respectively. Commercial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8" w:name="page69"/>
    <w:bookmarkEnd w:id="68"/>
    <w:p>
      <w:pPr>
        <w:jc w:val="both"/>
        <w:spacing w:after="0" w:line="262" w:lineRule="auto"/>
        <w:rPr>
          <w:sz w:val="20"/>
          <w:szCs w:val="20"/>
          <w:color w:val="auto"/>
        </w:rPr>
      </w:pPr>
      <w:r>
        <w:rPr>
          <w:rFonts w:ascii="Arial" w:cs="Arial" w:eastAsia="Arial" w:hAnsi="Arial"/>
          <w:sz w:val="20"/>
          <w:szCs w:val="20"/>
          <w:color w:val="auto"/>
        </w:rPr>
        <w:t>real estate loans in nonaccrual status aggregated $1.31 billion, $292 million, $891 million and $1.23 billion at September 30, 2021, September 30, 2020, December 31, 2020 and June 30, 2021, respectively. The increases in commercial real estate loans in nonaccrual status since September 30, 2020 were largely due to the additions of hotel-related loans to that category. Hotel-related commercial real estate loans (including construction) in nonaccrual status at September 30, 2021, September 30, 2020, December 31, 2020 and June 30, 2021 were $819 million, $77 million, $607 million and $815 million, respectively.</w:t>
      </w:r>
    </w:p>
    <w:p>
      <w:pPr>
        <w:spacing w:after="0" w:line="6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Nonaccrual residential real estate loans totaled $480 million at September 30, 2021, compared with $413 million at September 30, 2020, $513 million at December 31, 2020 and $509 million at June 30, 2021. The increases since September 30, 2020 were largely reflective of the effect of recent economic conditions on borrowers. Included in residential real estate loans classified as nonaccrual were limited documentation first mortgage loans of $127 million at September 30, 2021, compared with $116 million at September 30, 2020, $147 million at December 31, 2020, and $137 million at June 30, 2021.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$945 million at September 30, 2021, compared with $503 million at September 30, 2020, $793 million at December 31, 2020 and $1.03 billion at June 30, 2021. Those amounts related to government-guaranteed loans as previously noted. Information about the location of nonaccrual and charged-off residential real estate loans as of and for the quarter ended September 30, 2021 is presented in the accompanying table.</w:t>
      </w:r>
    </w:p>
    <w:p>
      <w:pPr>
        <w:spacing w:after="0" w:line="6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Nonaccrual consumer loans were $170 million at September 30, 2021, compared with $184 million at September 30, 2020, $183 million at December 31, 2020 and $173 million at June 30, 2021. Included in nonaccrual consumer loans at September 30, 2021, September 30, 2020, December 31, 2020 and June 30, 2021 were: automobile loans of $31 million, $42 million, $39 million and $31 million, respectively; recreational finance loans of $24 million, $24 million, $26 million and $23 million, respectively; and outstanding balances of home equity loans and lines of credit of $71 million, $79 million, $79 million and $77 million, respectively. Information about the location of nonaccrual and charged-off home equity loans and lines of credit as of and for the quarter ended September 30, 2021 is presented in the accompanying table.</w:t>
      </w:r>
    </w:p>
    <w:p>
      <w:pPr>
        <w:spacing w:after="0" w:line="72"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Information about past due and nonaccrual loans as of September 30, 2021 and December 31, 2020 is also included in note 4 of Notes to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9" w:name="page70"/>
    <w:bookmarkEnd w:id="69"/>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center"/>
              <w:ind w:right="228"/>
              <w:spacing w:after="0"/>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September 30, 2021</w:t>
            </w: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2"/>
              </w:rPr>
              <w:t>September 30, 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3"/>
                <w:szCs w:val="13"/>
                <w:b w:val="1"/>
                <w:bCs w:val="1"/>
                <w:color w:val="auto"/>
              </w:rPr>
              <w:t>Nonaccrual</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3"/>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3"/>
                <w:szCs w:val="13"/>
                <w:b w:val="1"/>
                <w:bCs w:val="1"/>
                <w:color w:val="auto"/>
                <w:w w:val="99"/>
              </w:rPr>
              <w:t>Outstanding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3"/>
                <w:szCs w:val="13"/>
                <w:b w:val="1"/>
                <w:bCs w:val="1"/>
                <w:color w:val="auto"/>
              </w:rPr>
              <w:t>Balances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Balances</w:t>
            </w:r>
          </w:p>
        </w:tc>
        <w:tc>
          <w:tcPr>
            <w:tcW w:w="12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1"/>
              </w:rPr>
              <w:t>Balances</w:t>
            </w: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7"/>
              </w:rPr>
              <w:t>Balances</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5,011,523</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137,156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2.74%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(780)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1,029,349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13,680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1,419,112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14,707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2,404,854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88,448</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(25)</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1,196,526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18,871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3,742,785</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80,345</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14,804,149</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353,207</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2.39%</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125</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20,554</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.71%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7,300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10,247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14,704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4,111</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63,814</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219</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614,648</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57,045</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9.28%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26,266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5,089</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15,284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493,561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38,045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7.71</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179,312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22,554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(122)</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1,341,391</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126,529</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9.43%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(103)</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930,675</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15,804</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1.70%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(117)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566,156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457,118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9,507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68,588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161,683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2,638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(25)</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28,052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95"/>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2,212,272</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39,807</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1.80%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w:t>
            </w:r>
          </w:p>
        </w:tc>
        <w:tc>
          <w:tcPr>
            <w:tcW w:w="300" w:type="dxa"/>
            <w:vAlign w:val="bottom"/>
          </w:tcPr>
          <w:p>
            <w:pPr>
              <w:spacing w:after="0"/>
              <w:rPr>
                <w:sz w:val="17"/>
                <w:szCs w:val="17"/>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557,238</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13,866</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2.49%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(92)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190,297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2,295</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(53)</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361,894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9,897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(688)</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94,078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(257)</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176,988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3,609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39,078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(147)</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1,419,573</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31,482</w:t>
            </w:r>
          </w:p>
        </w:tc>
        <w:tc>
          <w:tcPr>
            <w:tcW w:w="300" w:type="dxa"/>
            <w:vAlign w:val="bottom"/>
          </w:tcPr>
          <w:p>
            <w:pPr>
              <w:spacing w:after="0"/>
              <w:rPr>
                <w:sz w:val="17"/>
                <w:szCs w:val="17"/>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2.22%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(1,101)</w:t>
            </w:r>
          </w:p>
        </w:tc>
        <w:tc>
          <w:tcPr>
            <w:tcW w:w="300" w:type="dxa"/>
            <w:vAlign w:val="bottom"/>
            <w:vMerge w:val="continue"/>
          </w:tcPr>
          <w:p>
            <w:pPr>
              <w:spacing w:after="0"/>
              <w:rPr>
                <w:sz w:val="17"/>
                <w:szCs w:val="17"/>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3"/>
        </w:trPr>
        <w:tc>
          <w:tcPr>
            <w:tcW w:w="5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color w:val="auto"/>
              </w:rPr>
              <w:t>5.57%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(81)</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6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3,161</w:t>
            </w:r>
          </w:p>
        </w:tc>
        <w:tc>
          <w:tcPr>
            <w:tcW w:w="30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185</w:t>
            </w:r>
          </w:p>
        </w:tc>
        <w:tc>
          <w:tcPr>
            <w:tcW w:w="300" w:type="dxa"/>
            <w:vAlign w:val="bottom"/>
          </w:tcPr>
          <w:p>
            <w:pPr>
              <w:spacing w:after="0"/>
              <w:rPr>
                <w:sz w:val="13"/>
                <w:szCs w:val="13"/>
                <w:color w:val="auto"/>
              </w:rPr>
            </w:pPr>
          </w:p>
        </w:tc>
        <w:tc>
          <w:tcPr>
            <w:tcW w:w="12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5.85%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c>
          <w:tcPr>
            <w:tcW w:w="300" w:type="dxa"/>
            <w:vAlign w:val="bottom"/>
            <w:vMerge w:val="continue"/>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700" w:hanging="69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Includes Delaware, Virginia, West Virginia and the District of Columbia.</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0" w:name="page71"/>
    <w:bookmarkEnd w:id="70"/>
    <w:p>
      <w:pPr>
        <w:jc w:val="both"/>
        <w:ind w:firstLine="510"/>
        <w:spacing w:after="0" w:line="298" w:lineRule="auto"/>
        <w:rPr>
          <w:sz w:val="20"/>
          <w:szCs w:val="20"/>
          <w:color w:val="auto"/>
        </w:rPr>
      </w:pPr>
      <w:r>
        <w:rPr>
          <w:rFonts w:ascii="Arial" w:cs="Arial" w:eastAsia="Arial" w:hAnsi="Arial"/>
          <w:sz w:val="18"/>
          <w:szCs w:val="18"/>
          <w:color w:val="auto"/>
        </w:rPr>
        <w:t>Real estate and other foreclosed assets totaled $25 million at September 30, 2021, compared with $50 million at September 30, 2020, $35 million at December 31, 2020 and $28 million at June 30, 2021. The declines since September 30, 2020 are largely reflective of foreclosure moratoriums imposed by government authorities in numerous jurisdictions. Net gains or losses associated with real estate and other foreclosed assets were not material during the three-months ended September 30, 2021, September 30, 2020 and June 30, 2021. At September 30, 2021, foreclosed assets are comprised entirely of residential real estate-related properties.</w:t>
      </w:r>
    </w:p>
    <w:p>
      <w:pPr>
        <w:spacing w:after="0" w:line="38"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RENEGOTIATED AND IMPAIRED LOAN DATA</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4"/>
                <w:szCs w:val="14"/>
                <w:b w:val="1"/>
                <w:bCs w:val="1"/>
                <w:color w:val="auto"/>
                <w:w w:val="94"/>
              </w:rPr>
              <w:t>2021 Quarters</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2020 Quarters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(Dollars in thousands)</w:t>
            </w: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5360" w:type="dxa"/>
            <w:vAlign w:val="bottom"/>
          </w:tcPr>
          <w:p>
            <w:pPr>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2,242,263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2,242,057</w:t>
            </w:r>
          </w:p>
        </w:tc>
        <w:tc>
          <w:tcPr>
            <w:tcW w:w="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1,957,106</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1,893,299</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1,239,972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27,902</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29,797</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2,267,049</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2,269,959</w:t>
            </w: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1,986,903</w:t>
            </w:r>
          </w:p>
        </w:tc>
        <w:tc>
          <w:tcPr>
            <w:tcW w:w="36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1,927,967</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1,289,844</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1,026,080</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1,077,227</w:t>
            </w: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1,084,553</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859,208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527,258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49,796</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51,668</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48,820</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Accruing loans past due 90 days or more(a)</w:t>
            </w: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947,091</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1,029,331</w:t>
            </w:r>
          </w:p>
        </w:tc>
        <w:tc>
          <w:tcPr>
            <w:tcW w:w="6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1,044,599</w:t>
            </w:r>
          </w:p>
        </w:tc>
        <w:tc>
          <w:tcPr>
            <w:tcW w:w="36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798,121</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505,446</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242,955</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236,377</w:t>
            </w: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242,121</w:t>
            </w:r>
          </w:p>
        </w:tc>
        <w:tc>
          <w:tcPr>
            <w:tcW w:w="3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238,994</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242,581</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2.40%</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2.31%</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real estate loans.</w:t>
      </w:r>
    </w:p>
    <w:p>
      <w:pPr>
        <w:spacing w:after="0" w:line="118"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4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loan type. Despite recent improvements in macroeconomic forecasts, at the time of the Company’s analysis regarding the determination of the allowance for credit losses as of September 30, 2021, concerns existed about the somewhat uneven and incomplete recovery evident in the economy, the ultimate effectiveness of economic stimulus being provided by the U.S. government that has contributed to increased deficit spending and raised inflation concerns; disruptions to supply chains and the related impacts to businesses and consumers; the volatile nature of global markets, including the impact international economic conditions could have on the U.S. economy; Federal Reserve positioning of monetary policy; the extent to which borrowers, in particular commercial real estate borrowers may continue to be negatively affected by pandemic-related and general economic conditions; and continued stagnant population and economic growth in the upstate New York and central Pennsylvania regions (approximately 49% of the Company’s loans and leases are to customers in New York State and Pennsylvania) that could see lingering effects of the economic downturn. The Company utilizes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8"/>
          <w:szCs w:val="18"/>
          <w:color w:val="auto"/>
        </w:rPr>
        <w:t>a loan grading system to differentiate risk amongst its commercial loans and commercial real estate loans. Loans with a lower expectation of default are typically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 During the latter half of 2020 and the first nine months of 2021, the Company re-graded significant portions of its commercial loans and commercial real estate loans based on financial results and projections of specific borrowers, particularly those that were affected by COVID-19 impacts. Criticized commercial loans and commercial real estate loans totaled $9.6 billion at September 30, 2021, compared with $6.9 billion at September 30, 2020, $7.2 billion at December 31, 2020, and $9.7 billion at June 30, 2021. The rise in criticized loans at the two most recent quarter-ends as compared with December 31, 2020 reflects the impact of the pandemic on borrowers’ financial condition and the continuing re-grading of loans by the Company, and is reflective of the provision for credit losses recorded by the Company in 2020 as the pandemic unfolded. The increases in such loans since December 31, 2020 were largely attributable to investor-owned permanent commercial real estate loans in the hotel, office and healthcare sectors and commercial real estate construction loans in the hotel and healthcare sectors. On an overall basis, weighted-average loan-to-stabilized value (“LTV”) ratios for investor-owned commercial real estate properties do not vary significantly by asset class or sector, and at September 30, 2021 were generally within a range of 55% to 65% with an overall weighted-average LTV ratio of approximately 58%. Investor-owned commercial real estate loans comprised $7.7 billion of total criticized loans of $9.6 billion at September 30, 2021.</w:t>
      </w:r>
    </w:p>
    <w:p>
      <w:pPr>
        <w:spacing w:after="0" w:line="29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The COVID-19 pandemic and related governmental responses led to a significant reduction in economic activity that was detrimental to many borrowers across the Company’s geographic regions, particularly borrowers in the hotel, healthcare-related, and office sectors. Many of those borrowers have been and will likely continue to be adversely impacted by the economic effects of the COVID-19 pandemic. Summaries of loans outstanding as of September 30, 2021 for which borrowers have been granted a COVID-19 related forbearance and loans extended under the PPP are provided in the accompanying table. Of the COVID-19 related modifications with payment deferrals at September 30, 2021, the vast majority are scheduled to expire during 2021.</w:t>
      </w:r>
    </w:p>
    <w:p>
      <w:pPr>
        <w:spacing w:after="0" w:line="5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As commercial loans and commercial real estate loans were approved for modifications related to COVID-19, the Company assessed loans considering the creditworthiness of the borrower, collateral values, the financial condition of any guarantors, and the expected collectability of contractual principal and interest payments. Loan-to-collateral values on investor-owned loans are generally relatively low and oftentimes the loans include some form of recourse. Loans secured by residential real estate with a COVID-19 payment forbearance were evaluated for collectability based on the borrower’s ability to repay considering past performance and estimated collateral values. If collectability was considered doubtful, loans were classified as nonaccrual.</w:t>
      </w:r>
    </w:p>
    <w:p>
      <w:pPr>
        <w:spacing w:after="0" w:line="53"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review and reassign loan grades based on their detailed knowledge of individual borrowers and their judgment of the impact on such borrowers resulting from changing conditions in their respective regions. The Company re-assessed its loan grades for those borrowers most impacted by COVID-19 and expects that loans will continue to be regraded in subsequent periods as more information becomes available. The Company’s policy is that, at least annually, updated financial information be obtained from commercial borrowers associated with pass grade loans and additional analysis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2" w:name="page73"/>
    <w:bookmarkEnd w:id="72"/>
    <w:p>
      <w:pPr>
        <w:spacing w:after="0"/>
        <w:rPr>
          <w:sz w:val="20"/>
          <w:szCs w:val="20"/>
          <w:color w:val="auto"/>
        </w:rPr>
      </w:pPr>
      <w:r>
        <w:rPr>
          <w:rFonts w:ascii="Arial" w:cs="Arial" w:eastAsia="Arial" w:hAnsi="Arial"/>
          <w:sz w:val="21"/>
          <w:szCs w:val="21"/>
          <w:color w:val="auto"/>
        </w:rPr>
        <w:t>COVID-19 RELATED LOANS AND LEASES DATA</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COVID-19 Forbearance</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8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PPP</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rPr>
              <w:t>Payment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1"/>
                <w:szCs w:val="11"/>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260" w:type="dxa"/>
            <w:vAlign w:val="bottom"/>
            <w:gridSpan w:val="4"/>
          </w:tcPr>
          <w:p>
            <w:pPr>
              <w:spacing w:after="0" w:line="158" w:lineRule="exact"/>
              <w:rPr>
                <w:sz w:val="20"/>
                <w:szCs w:val="20"/>
                <w:color w:val="auto"/>
              </w:rPr>
            </w:pPr>
            <w:r>
              <w:rPr>
                <w:rFonts w:ascii="Arial" w:cs="Arial" w:eastAsia="Arial" w:hAnsi="Arial"/>
                <w:sz w:val="14"/>
                <w:szCs w:val="14"/>
                <w:color w:val="auto"/>
              </w:rPr>
              <w:t>Commercial, financial, leasing, etc.</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8"/>
              </w:rPr>
              <w:t>Deferrals</w:t>
            </w:r>
            <w:r>
              <w:rPr>
                <w:rFonts w:ascii="Arial" w:cs="Arial" w:eastAsia="Arial" w:hAnsi="Arial"/>
                <w:sz w:val="12"/>
                <w:szCs w:val="12"/>
                <w:b w:val="1"/>
                <w:bCs w:val="1"/>
                <w:color w:val="auto"/>
                <w:w w:val="98"/>
              </w:rPr>
              <w:t>(a)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Forbearances</w:t>
            </w:r>
            <w:r>
              <w:rPr>
                <w:rFonts w:ascii="Arial" w:cs="Arial" w:eastAsia="Arial" w:hAnsi="Arial"/>
                <w:sz w:val="12"/>
                <w:szCs w:val="12"/>
                <w:b w:val="1"/>
                <w:bCs w:val="1"/>
                <w:color w:val="auto"/>
                <w:w w:val="91"/>
              </w:rPr>
              <w:t>(b)</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120"/>
              <w:spacing w:after="0"/>
              <w:rPr>
                <w:sz w:val="20"/>
                <w:szCs w:val="20"/>
                <w:color w:val="auto"/>
              </w:rPr>
            </w:pPr>
            <w:r>
              <w:rPr>
                <w:rFonts w:ascii="Arial" w:cs="Arial" w:eastAsia="Arial" w:hAnsi="Arial"/>
                <w:sz w:val="14"/>
                <w:szCs w:val="14"/>
                <w:color w:val="auto"/>
              </w:rPr>
              <w:t>Industry</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Services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4,381</w:t>
            </w:r>
          </w:p>
        </w:tc>
        <w:tc>
          <w:tcPr>
            <w:tcW w:w="3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737</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3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Manufacturing</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3,393</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gridSpan w:val="4"/>
          </w:tcPr>
          <w:p>
            <w:pPr>
              <w:ind w:left="360"/>
              <w:spacing w:after="0" w:line="143" w:lineRule="exact"/>
              <w:rPr>
                <w:sz w:val="20"/>
                <w:szCs w:val="20"/>
                <w:color w:val="auto"/>
              </w:rPr>
            </w:pPr>
            <w:r>
              <w:rPr>
                <w:rFonts w:ascii="Arial" w:cs="Arial" w:eastAsia="Arial" w:hAnsi="Arial"/>
                <w:sz w:val="14"/>
                <w:szCs w:val="14"/>
                <w:color w:val="auto"/>
              </w:rPr>
              <w:t>Motor vehicle and recreational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gridSpan w:val="4"/>
          </w:tcPr>
          <w:p>
            <w:pPr>
              <w:ind w:left="480"/>
              <w:spacing w:after="0"/>
              <w:rPr>
                <w:sz w:val="20"/>
                <w:szCs w:val="20"/>
                <w:color w:val="auto"/>
              </w:rPr>
            </w:pPr>
            <w:r>
              <w:rPr>
                <w:rFonts w:ascii="Arial" w:cs="Arial" w:eastAsia="Arial" w:hAnsi="Arial"/>
                <w:sz w:val="14"/>
                <w:szCs w:val="14"/>
                <w:color w:val="auto"/>
              </w:rPr>
              <w:t>finance dealers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Wholesale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2,048</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Financial and insurance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Real estate investors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Health services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1,556</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1,543</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Retail</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gridSpan w:val="4"/>
            <w:shd w:val="clear" w:color="auto" w:fill="CFF0FC"/>
          </w:tcPr>
          <w:p>
            <w:pPr>
              <w:ind w:left="360"/>
              <w:spacing w:after="0" w:line="143" w:lineRule="exact"/>
              <w:rPr>
                <w:sz w:val="20"/>
                <w:szCs w:val="20"/>
                <w:color w:val="auto"/>
              </w:rPr>
            </w:pPr>
            <w:r>
              <w:rPr>
                <w:rFonts w:ascii="Arial" w:cs="Arial" w:eastAsia="Arial" w:hAnsi="Arial"/>
                <w:sz w:val="14"/>
                <w:szCs w:val="14"/>
                <w:color w:val="auto"/>
              </w:rPr>
              <w:t>Transportation, communications,</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utilities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1,449</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tcBorders>
              <w:bottom w:val="single" w:sz="8" w:color="CFF0FC"/>
            </w:tcBorders>
            <w:gridSpan w:val="4"/>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3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Total commercial, financial, leasing, etc.</w:t>
            </w: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22,515</w:t>
            </w:r>
          </w:p>
        </w:tc>
        <w:tc>
          <w:tcPr>
            <w:tcW w:w="3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2,242</w:t>
            </w:r>
          </w:p>
        </w:tc>
        <w:tc>
          <w:tcPr>
            <w:tcW w:w="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60" w:type="dxa"/>
            <w:vAlign w:val="bottom"/>
            <w:gridSpan w:val="4"/>
          </w:tcPr>
          <w:p>
            <w:pPr>
              <w:spacing w:after="0" w:line="142" w:lineRule="exact"/>
              <w:rPr>
                <w:sz w:val="20"/>
                <w:szCs w:val="20"/>
                <w:color w:val="auto"/>
              </w:rPr>
            </w:pPr>
            <w:r>
              <w:rPr>
                <w:rFonts w:ascii="Arial" w:cs="Arial" w:eastAsia="Arial" w:hAnsi="Arial"/>
                <w:sz w:val="14"/>
                <w:szCs w:val="14"/>
                <w:color w:val="auto"/>
              </w:rPr>
              <w:t>Commercial real estate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auto"/>
            </w:tcBorders>
            <w:gridSpan w:val="2"/>
            <w:shd w:val="clear" w:color="auto" w:fill="CFF0FC"/>
          </w:tcPr>
          <w:p>
            <w:pPr>
              <w:ind w:left="120"/>
              <w:spacing w:after="0" w:line="155" w:lineRule="exact"/>
              <w:rPr>
                <w:sz w:val="20"/>
                <w:szCs w:val="20"/>
                <w:color w:val="auto"/>
              </w:rPr>
            </w:pPr>
            <w:r>
              <w:rPr>
                <w:rFonts w:ascii="Arial" w:cs="Arial" w:eastAsia="Arial" w:hAnsi="Arial"/>
                <w:sz w:val="14"/>
                <w:szCs w:val="14"/>
                <w:color w:val="auto"/>
              </w:rPr>
              <w:t>Investor-owned</w:t>
            </w:r>
          </w:p>
        </w:tc>
        <w:tc>
          <w:tcPr>
            <w:tcW w:w="1940" w:type="dxa"/>
            <w:vAlign w:val="bottom"/>
            <w:gridSpan w:val="2"/>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240"/>
              <w:spacing w:after="0"/>
              <w:rPr>
                <w:sz w:val="20"/>
                <w:szCs w:val="20"/>
                <w:color w:val="auto"/>
              </w:rPr>
            </w:pPr>
            <w:r>
              <w:rPr>
                <w:rFonts w:ascii="Arial" w:cs="Arial" w:eastAsia="Arial" w:hAnsi="Arial"/>
                <w:sz w:val="14"/>
                <w:szCs w:val="14"/>
                <w:color w:val="auto"/>
              </w:rPr>
              <w:t>Permanent finance by property type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Retail/Service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4,477</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Apartments/Multifamily</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Office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Health facilities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2,766</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Hotel</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2,696</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Industrial/Warehouse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w:t>
            </w:r>
          </w:p>
        </w:tc>
        <w:tc>
          <w:tcPr>
            <w:tcW w:w="3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3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Borders>
              <w:bottom w:val="single" w:sz="8" w:color="CFF0FC"/>
            </w:tcBorders>
          </w:tcPr>
          <w:p>
            <w:pPr>
              <w:spacing w:after="0"/>
              <w:rPr>
                <w:sz w:val="13"/>
                <w:szCs w:val="13"/>
                <w:color w:val="auto"/>
              </w:rPr>
            </w:pPr>
          </w:p>
        </w:tc>
        <w:tc>
          <w:tcPr>
            <w:tcW w:w="2680" w:type="dxa"/>
            <w:vAlign w:val="bottom"/>
            <w:tcBorders>
              <w:bottom w:val="single" w:sz="8" w:color="CFF0FC"/>
            </w:tcBorders>
            <w:gridSpan w:val="3"/>
          </w:tcPr>
          <w:p>
            <w:pPr>
              <w:ind w:left="40"/>
              <w:spacing w:after="0" w:line="155" w:lineRule="exact"/>
              <w:rPr>
                <w:sz w:val="20"/>
                <w:szCs w:val="20"/>
                <w:color w:val="auto"/>
              </w:rPr>
            </w:pPr>
            <w:r>
              <w:rPr>
                <w:rFonts w:ascii="Arial" w:cs="Arial" w:eastAsia="Arial" w:hAnsi="Arial"/>
                <w:sz w:val="14"/>
                <w:szCs w:val="14"/>
                <w:color w:val="auto"/>
              </w:rPr>
              <w:t>Total permanent</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19,992</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gridSpan w:val="4"/>
            <w:shd w:val="clear" w:color="auto" w:fill="CFF0FC"/>
          </w:tcPr>
          <w:p>
            <w:pPr>
              <w:ind w:left="360"/>
              <w:spacing w:after="0" w:line="155" w:lineRule="exact"/>
              <w:rPr>
                <w:sz w:val="20"/>
                <w:szCs w:val="20"/>
                <w:color w:val="auto"/>
              </w:rPr>
            </w:pPr>
            <w:r>
              <w:rPr>
                <w:rFonts w:ascii="Arial" w:cs="Arial" w:eastAsia="Arial" w:hAnsi="Arial"/>
                <w:sz w:val="14"/>
                <w:szCs w:val="14"/>
                <w:color w:val="auto"/>
              </w:rPr>
              <w:t>Total construction/development</w:t>
            </w: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9,602</w:t>
            </w:r>
          </w:p>
        </w:tc>
        <w:tc>
          <w:tcPr>
            <w:tcW w:w="3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3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Borders>
              <w:bottom w:val="single" w:sz="8" w:color="CFF0FC"/>
            </w:tcBorders>
          </w:tcPr>
          <w:p>
            <w:pPr>
              <w:spacing w:after="0"/>
              <w:rPr>
                <w:sz w:val="13"/>
                <w:szCs w:val="13"/>
                <w:color w:val="auto"/>
              </w:rPr>
            </w:pPr>
          </w:p>
        </w:tc>
        <w:tc>
          <w:tcPr>
            <w:tcW w:w="2680" w:type="dxa"/>
            <w:vAlign w:val="bottom"/>
            <w:tcBorders>
              <w:bottom w:val="single" w:sz="8" w:color="CFF0FC"/>
            </w:tcBorders>
            <w:gridSpan w:val="3"/>
          </w:tcPr>
          <w:p>
            <w:pPr>
              <w:ind w:left="40"/>
              <w:spacing w:after="0" w:line="155" w:lineRule="exact"/>
              <w:rPr>
                <w:sz w:val="20"/>
                <w:szCs w:val="20"/>
                <w:color w:val="auto"/>
              </w:rPr>
            </w:pPr>
            <w:r>
              <w:rPr>
                <w:rFonts w:ascii="Arial" w:cs="Arial" w:eastAsia="Arial" w:hAnsi="Arial"/>
                <w:sz w:val="14"/>
                <w:szCs w:val="14"/>
                <w:color w:val="auto"/>
              </w:rPr>
              <w:t>Total investor-owned</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29,594</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gridSpan w:val="4"/>
            <w:shd w:val="clear" w:color="auto" w:fill="CFF0FC"/>
          </w:tcPr>
          <w:p>
            <w:pPr>
              <w:ind w:left="120"/>
              <w:spacing w:after="0" w:line="155" w:lineRule="exact"/>
              <w:rPr>
                <w:sz w:val="20"/>
                <w:szCs w:val="20"/>
                <w:color w:val="auto"/>
              </w:rPr>
            </w:pPr>
            <w:r>
              <w:rPr>
                <w:rFonts w:ascii="Arial" w:cs="Arial" w:eastAsia="Arial" w:hAnsi="Arial"/>
                <w:sz w:val="14"/>
                <w:szCs w:val="14"/>
                <w:color w:val="auto"/>
              </w:rPr>
              <w:t>Owner-occupied by industry</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Other services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260" w:type="dxa"/>
            <w:vAlign w:val="bottom"/>
            <w:gridSpan w:val="4"/>
            <w:shd w:val="clear" w:color="auto" w:fill="CFF0FC"/>
          </w:tcPr>
          <w:p>
            <w:pPr>
              <w:ind w:left="360"/>
              <w:spacing w:after="0" w:line="143" w:lineRule="exact"/>
              <w:rPr>
                <w:sz w:val="20"/>
                <w:szCs w:val="20"/>
                <w:color w:val="auto"/>
              </w:rPr>
            </w:pPr>
            <w:r>
              <w:rPr>
                <w:rFonts w:ascii="Arial" w:cs="Arial" w:eastAsia="Arial" w:hAnsi="Arial"/>
                <w:sz w:val="14"/>
                <w:szCs w:val="14"/>
                <w:color w:val="auto"/>
              </w:rPr>
              <w:t>Motor vehicle and recreational</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60" w:type="dxa"/>
            <w:vAlign w:val="bottom"/>
            <w:gridSpan w:val="4"/>
            <w:shd w:val="clear" w:color="auto" w:fill="CFF0FC"/>
          </w:tcPr>
          <w:p>
            <w:pPr>
              <w:ind w:left="480"/>
              <w:spacing w:after="0"/>
              <w:rPr>
                <w:sz w:val="20"/>
                <w:szCs w:val="20"/>
                <w:color w:val="auto"/>
              </w:rPr>
            </w:pPr>
            <w:r>
              <w:rPr>
                <w:rFonts w:ascii="Arial" w:cs="Arial" w:eastAsia="Arial" w:hAnsi="Arial"/>
                <w:sz w:val="14"/>
                <w:szCs w:val="14"/>
                <w:color w:val="auto"/>
              </w:rPr>
              <w:t>finance dealers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Retail</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Wholesale</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Health services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Manufacturing</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0" w:type="dxa"/>
            <w:vAlign w:val="bottom"/>
            <w:tcBorders>
              <w:top w:val="single" w:sz="8" w:color="CFF0FC"/>
            </w:tcBorders>
            <w:shd w:val="clear" w:color="auto" w:fill="CFF0FC"/>
          </w:tcPr>
          <w:p>
            <w:pPr>
              <w:spacing w:after="0"/>
              <w:rPr>
                <w:sz w:val="13"/>
                <w:szCs w:val="13"/>
                <w:color w:val="auto"/>
              </w:rPr>
            </w:pPr>
          </w:p>
        </w:tc>
        <w:tc>
          <w:tcPr>
            <w:tcW w:w="2680" w:type="dxa"/>
            <w:vAlign w:val="bottom"/>
            <w:tcBorders>
              <w:top w:val="single" w:sz="8" w:color="CFF0FC"/>
            </w:tcBorders>
            <w:gridSpan w:val="3"/>
            <w:shd w:val="clear" w:color="auto" w:fill="CFF0FC"/>
          </w:tcPr>
          <w:p>
            <w:pPr>
              <w:ind w:left="40"/>
              <w:spacing w:after="0" w:line="155" w:lineRule="exact"/>
              <w:rPr>
                <w:sz w:val="20"/>
                <w:szCs w:val="20"/>
                <w:color w:val="auto"/>
              </w:rPr>
            </w:pPr>
            <w:r>
              <w:rPr>
                <w:rFonts w:ascii="Arial" w:cs="Arial" w:eastAsia="Arial" w:hAnsi="Arial"/>
                <w:sz w:val="14"/>
                <w:szCs w:val="14"/>
                <w:color w:val="auto"/>
              </w:rPr>
              <w:t>Total owner-occupied</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7,430</w:t>
            </w:r>
          </w:p>
        </w:tc>
        <w:tc>
          <w:tcPr>
            <w:tcW w:w="3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60" w:type="dxa"/>
            <w:vAlign w:val="bottom"/>
            <w:tcBorders>
              <w:bottom w:val="single" w:sz="8" w:color="CFF0FC"/>
            </w:tcBorders>
            <w:gridSpan w:val="4"/>
          </w:tcPr>
          <w:p>
            <w:pPr>
              <w:spacing w:after="0" w:line="155" w:lineRule="exact"/>
              <w:rPr>
                <w:sz w:val="20"/>
                <w:szCs w:val="20"/>
                <w:color w:val="auto"/>
              </w:rPr>
            </w:pPr>
            <w:r>
              <w:rPr>
                <w:rFonts w:ascii="Arial" w:cs="Arial" w:eastAsia="Arial" w:hAnsi="Arial"/>
                <w:sz w:val="14"/>
                <w:szCs w:val="14"/>
                <w:color w:val="auto"/>
              </w:rPr>
              <w:t>Total commercial real estate</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37,024</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60" w:type="dxa"/>
            <w:vAlign w:val="bottom"/>
            <w:gridSpan w:val="4"/>
            <w:shd w:val="clear" w:color="auto" w:fill="CFF0FC"/>
          </w:tcPr>
          <w:p>
            <w:pPr>
              <w:spacing w:after="0" w:line="155" w:lineRule="exact"/>
              <w:rPr>
                <w:sz w:val="20"/>
                <w:szCs w:val="20"/>
                <w:color w:val="auto"/>
              </w:rPr>
            </w:pPr>
            <w:r>
              <w:rPr>
                <w:rFonts w:ascii="Arial" w:cs="Arial" w:eastAsia="Arial" w:hAnsi="Arial"/>
                <w:sz w:val="14"/>
                <w:szCs w:val="14"/>
                <w:color w:val="auto"/>
              </w:rPr>
              <w:t>Residential real estate</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16,209</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2,103</w:t>
            </w:r>
          </w:p>
        </w:tc>
        <w:tc>
          <w:tcPr>
            <w:tcW w:w="38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(c)</w:t>
            </w: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gridSpan w:val="4"/>
          </w:tcPr>
          <w:p>
            <w:pPr>
              <w:spacing w:after="0" w:line="149" w:lineRule="exact"/>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60" w:type="dxa"/>
            <w:vAlign w:val="bottom"/>
            <w:gridSpan w:val="4"/>
            <w:shd w:val="clear" w:color="auto" w:fill="CFF0FC"/>
          </w:tcPr>
          <w:p>
            <w:pPr>
              <w:ind w:left="360"/>
              <w:spacing w:after="0" w:line="155" w:lineRule="exact"/>
              <w:rPr>
                <w:sz w:val="20"/>
                <w:szCs w:val="20"/>
                <w:color w:val="auto"/>
              </w:rPr>
            </w:pPr>
            <w:r>
              <w:rPr>
                <w:rFonts w:ascii="Arial" w:cs="Arial" w:eastAsia="Arial" w:hAnsi="Arial"/>
                <w:sz w:val="14"/>
                <w:szCs w:val="14"/>
                <w:color w:val="auto"/>
              </w:rPr>
              <w:t>Recreational finance</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8,026</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Automobile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4,619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shd w:val="clear" w:color="auto" w:fill="CFF0FC"/>
          </w:tcPr>
          <w:p>
            <w:pPr>
              <w:ind w:left="360"/>
              <w:spacing w:after="0"/>
              <w:rPr>
                <w:sz w:val="20"/>
                <w:szCs w:val="20"/>
                <w:color w:val="auto"/>
              </w:rPr>
            </w:pPr>
            <w:r>
              <w:rPr>
                <w:rFonts w:ascii="Arial" w:cs="Arial" w:eastAsia="Arial" w:hAnsi="Arial"/>
                <w:sz w:val="14"/>
                <w:szCs w:val="14"/>
                <w:color w:val="auto"/>
              </w:rPr>
              <w:t>Homes equity lines and loans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w:t>
            </w: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4"/>
          </w:tcPr>
          <w:p>
            <w:pPr>
              <w:ind w:left="3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60" w:type="dxa"/>
            <w:vAlign w:val="bottom"/>
            <w:tcBorders>
              <w:top w:val="single" w:sz="8" w:color="CFF0FC"/>
            </w:tcBorders>
            <w:gridSpan w:val="4"/>
            <w:shd w:val="clear" w:color="auto" w:fill="CFF0FC"/>
          </w:tcPr>
          <w:p>
            <w:pPr>
              <w:ind w:left="360"/>
              <w:spacing w:after="0" w:line="155" w:lineRule="exact"/>
              <w:rPr>
                <w:sz w:val="20"/>
                <w:szCs w:val="20"/>
                <w:color w:val="auto"/>
              </w:rPr>
            </w:pPr>
            <w:r>
              <w:rPr>
                <w:rFonts w:ascii="Arial" w:cs="Arial" w:eastAsia="Arial" w:hAnsi="Arial"/>
                <w:sz w:val="14"/>
                <w:szCs w:val="14"/>
                <w:color w:val="auto"/>
              </w:rPr>
              <w:t>Total consumer</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17,835</w:t>
            </w:r>
          </w:p>
        </w:tc>
        <w:tc>
          <w:tcPr>
            <w:tcW w:w="3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3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gridSpan w:val="4"/>
          </w:tcPr>
          <w:p>
            <w:pPr>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93,583</w:t>
            </w:r>
          </w:p>
        </w:tc>
        <w:tc>
          <w:tcPr>
            <w:tcW w:w="340" w:type="dxa"/>
            <w:vAlign w:val="bottom"/>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2,242</w:t>
            </w:r>
          </w:p>
        </w:tc>
        <w:tc>
          <w:tcPr>
            <w:tcW w:w="32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2,116</w:t>
            </w:r>
          </w:p>
        </w:tc>
        <w:tc>
          <w:tcPr>
            <w:tcW w:w="3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w:t>
            </w:r>
          </w:p>
        </w:tc>
        <w:tc>
          <w:tcPr>
            <w:tcW w:w="3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20" w:hanging="358"/>
        <w:spacing w:after="0"/>
        <w:tabs>
          <w:tab w:leader="none" w:pos="42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accruing loans at September 30, 2021 for which a COVID-19 related payment deferral (including maturity extensions) has been granted.</w:t>
      </w:r>
    </w:p>
    <w:p>
      <w:pPr>
        <w:spacing w:after="0" w:line="46" w:lineRule="exact"/>
        <w:rPr>
          <w:rFonts w:ascii="Arial" w:cs="Arial" w:eastAsia="Arial" w:hAnsi="Arial"/>
          <w:sz w:val="16"/>
          <w:szCs w:val="16"/>
          <w:i w:val="1"/>
          <w:iCs w:val="1"/>
          <w:color w:val="auto"/>
        </w:rPr>
      </w:pPr>
    </w:p>
    <w:p>
      <w:pPr>
        <w:ind w:left="420" w:hanging="358"/>
        <w:spacing w:after="0"/>
        <w:tabs>
          <w:tab w:leader="none" w:pos="4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Consists predominantly of accruing loans for which a COVID-19 related covenant waiver has been granted.</w:t>
      </w:r>
    </w:p>
    <w:p>
      <w:pPr>
        <w:spacing w:after="0" w:line="9" w:lineRule="exact"/>
        <w:rPr>
          <w:rFonts w:ascii="Arial" w:cs="Arial" w:eastAsia="Arial" w:hAnsi="Arial"/>
          <w:sz w:val="18"/>
          <w:szCs w:val="18"/>
          <w:i w:val="1"/>
          <w:iCs w:val="1"/>
          <w:color w:val="auto"/>
        </w:rPr>
      </w:pPr>
    </w:p>
    <w:p>
      <w:pPr>
        <w:ind w:left="420" w:hanging="358"/>
        <w:spacing w:after="0"/>
        <w:tabs>
          <w:tab w:leader="none" w:pos="4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 billion of government-guaranteed loans.</w:t>
      </w:r>
    </w:p>
    <w:p>
      <w:pPr>
        <w:spacing w:after="0" w:line="104"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9"/>
          <w:szCs w:val="19"/>
          <w:color w:val="auto"/>
        </w:rPr>
        <w:t>from external parties that are generally obtained shortly after a loan becomes nonaccrual. Loans to consumers that file for bankruptcy are generally charged off to estimated net collateral value shortly after the Company is notified of such filings. At September 30, 2021, approximately 61% of the Company’s home equity portfolio consisted of first lien loans and lines of credit. Of the remaining junior lien loans in the portfolio, approximately 58% (or approximately 22%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2021 approximately 85% of all outstanding balances of home equity lines of credit related to lines that were still in the draw period, the weighted-average remaining draw periods were approximately five years, and approximately 10% were making contractually allowed payments that do not include any repayment of principal.</w:t>
      </w:r>
    </w:p>
    <w:p>
      <w:pPr>
        <w:spacing w:after="0" w:line="6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September 30, 2021, September 30, 2020 and June 30, 2021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Among the assumptions utilized as of September 30, 2021 was that the national unemployment rate continues to be at elevated levels, on average 4.6%, through the remainder of 2021, followed by a gradual improvement reaching 3.5% within the reasonable and supportable forecast period. The forecast assumed that GDP grows at an average annualized rate of 3.3% during the eight-quarter forecast period. The commercial real estate price index was assumed to be down modestly in 2021, but improving in 2022 and 2023. Residential real estate prices were not assumed to fluctuate significantly. The assumptions utilized as of June 30, 2021 included the national unemployment rate continuing at elevated levels, on average 5.4%, through 2021, followed by a gradual improvement reaching 3.5% by mid-2023. That forecast assumed that GDP would grow at a 7.4% annual rate during 2021 resulting in GDP returning to pre-pandemic levels during 2021. The commercial real estate price index was assumed to be down modestly in 2021, but improving in 2022 and 2023. Residential real estate prices were not assumed to fluctuate significantly. The assumptions utilized as of December 31, 2020 included the national unemployment rate continuing at elevated levels, on average 6.9% through 2021, followed by a gradual return to long-term historical averages by the end of 2022. The forecast also assumed gross domestic product to grow at a 4.1% annual rate during 2021 resulting in a return to pre-pandemic levels by the end of 2022. Commercial real estate prices were assumed to decline by 6.8% in 2021, followed by improvement. Residential real estate prices were not assumed to fluctuate significantly. The assumptions utilized as of September 30, 2020 included an increase in the unemployment rate in the fourth quarter of 2020 to approximately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4" w:name="page75"/>
    <w:bookmarkEnd w:id="74"/>
    <w:p>
      <w:pPr>
        <w:jc w:val="both"/>
        <w:spacing w:after="0" w:line="246" w:lineRule="auto"/>
        <w:rPr>
          <w:sz w:val="20"/>
          <w:szCs w:val="20"/>
          <w:color w:val="auto"/>
        </w:rPr>
      </w:pPr>
      <w:r>
        <w:rPr>
          <w:rFonts w:ascii="Arial" w:cs="Arial" w:eastAsia="Arial" w:hAnsi="Arial"/>
          <w:sz w:val="21"/>
          <w:szCs w:val="21"/>
          <w:color w:val="auto"/>
        </w:rPr>
        <w:t>10% from 8% at the end of the third quarter of 2020, followed by a sustained high single-digit unemployment rate through 2022. The forecast also assumed gross domestic product to contract nearly 5.1% in 2020 and to then recover to pre-pandemic levels by the third quarter of 2022. Commercial real estate prices were assumed to decline by 17% in 2020, followed by improvement. Residential real estate prices were not assumed to fluctuate significantly. The assumptions utilized were based on information available to the Company at or near September 30, 2021, June 30, 2021, December 31, 2020 and September 30, 2020 at the time it was preparing its estimate of expected credit losses as of those dates.</w:t>
      </w:r>
    </w:p>
    <w:p>
      <w:pPr>
        <w:spacing w:after="0" w:line="8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In establishing the allowance for credit losses the Company also considers the impact of portfolio concentrations, changes in underwriting practices, product expansions into new markets, imprecision in its economic forecasts and other risk factors that influence its loss estimation process. With respect to economic forecasts the Company assessed the likelihood of alternative economic scenarios during the two-year reasonable and supportable time period. Economic forecasts have changed rapidly in the recent past due to the uncertain impacts of COVID-19. Generally, an increase in unemployment rate or a decrease in any of the rate of change in gross domestic product, commercial real estate prices or home prices would have an adverse impact on expected credit losses and would likely result in an increase to the allowance for credit losses.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62" w:lineRule="exact"/>
        <w:rPr>
          <w:sz w:val="20"/>
          <w:szCs w:val="20"/>
          <w:color w:val="auto"/>
        </w:rPr>
      </w:pPr>
    </w:p>
    <w:p>
      <w:pPr>
        <w:ind w:right="60" w:firstLine="510"/>
        <w:spacing w:after="0" w:line="273" w:lineRule="auto"/>
        <w:rPr>
          <w:sz w:val="20"/>
          <w:szCs w:val="20"/>
          <w:color w:val="auto"/>
        </w:rPr>
      </w:pPr>
      <w:r>
        <w:rPr>
          <w:rFonts w:ascii="Arial" w:cs="Arial" w:eastAsia="Arial" w:hAnsi="Arial"/>
          <w:sz w:val="19"/>
          <w:szCs w:val="19"/>
          <w:color w:val="auto"/>
        </w:rPr>
        <w:t>Management believes that the allowance for credit losses at September 30, 2021 appropriately reflected expected credit losses inherent in the portfolio as of that date. The allowance for credit losses totaled $1.52 billion at September 30, 2021, $1.76 billion at September 30, 2020, $1.74 billion at December 31, 2020 and $1.58 billion at June 30, 2021. As a percentage of loans outstanding, the allowance was 1.62% at each of September 30 and June 30, 2021, 1.76% at December 31, 2020 and 1.79% at September 30, 2020.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income totaled $569 million in the third quarter of 2021, up from $521 million in the year-earlier quarter and $514 million in the second quarter of 2021. The higher level of other income in the recent quarter as compared with the year-earlier quarter resulted from higher service charges on deposit accounts, merchant discount and credit card fees, mortgage banking revenues, income from the Company’s trust and brokerage services businesses, and credit-related fees. As compared with the second quarter of 2021, the recent quarter’s improvement reflected higher mortgage banking revenues, service charges on deposit accounts, brokerage services income, credit-related fees, and lower unrealized losses on investment securities.</w:t>
      </w:r>
    </w:p>
    <w:p>
      <w:pPr>
        <w:spacing w:after="0" w:line="71" w:lineRule="exact"/>
        <w:rPr>
          <w:sz w:val="20"/>
          <w:szCs w:val="20"/>
          <w:color w:val="auto"/>
        </w:rPr>
      </w:pPr>
    </w:p>
    <w:p>
      <w:pPr>
        <w:jc w:val="both"/>
        <w:ind w:firstLine="510"/>
        <w:spacing w:after="0" w:line="303" w:lineRule="auto"/>
        <w:rPr>
          <w:sz w:val="20"/>
          <w:szCs w:val="20"/>
          <w:color w:val="auto"/>
        </w:rPr>
      </w:pPr>
      <w:r>
        <w:rPr>
          <w:rFonts w:ascii="Arial" w:cs="Arial" w:eastAsia="Arial" w:hAnsi="Arial"/>
          <w:sz w:val="18"/>
          <w:szCs w:val="18"/>
          <w:color w:val="auto"/>
        </w:rPr>
        <w:t>Mortgage banking revenues were $160 million in the recent quarter, up from $153 million in the third quarter of 2020 and $133 million in the second 2021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35"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$110 million in the third quarter of 2021, $119 million in the corresponding quarter of 2020 and $98 million in 2021’s second quarter. As compared with the third quarter of 2020, the lower residential mortgage banking revenues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5" w:name="page76"/>
    <w:bookmarkEnd w:id="75"/>
    <w:p>
      <w:pPr>
        <w:jc w:val="both"/>
        <w:spacing w:after="0" w:line="252" w:lineRule="auto"/>
        <w:rPr>
          <w:sz w:val="20"/>
          <w:szCs w:val="20"/>
          <w:color w:val="auto"/>
        </w:rPr>
      </w:pPr>
      <w:r>
        <w:rPr>
          <w:rFonts w:ascii="Arial" w:cs="Arial" w:eastAsia="Arial" w:hAnsi="Arial"/>
          <w:sz w:val="21"/>
          <w:szCs w:val="21"/>
          <w:color w:val="auto"/>
        </w:rPr>
        <w:t>in the recent quarter resulted largely from decreased gains associated with loans held for sale and related commitments due largely to narrower margins. The increase from 2021’s second quarter reflected higher gains associated with loans held for sale and related commitments, reflecting wider margins.</w:t>
      </w:r>
    </w:p>
    <w:p>
      <w:pPr>
        <w:spacing w:after="0" w:line="7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New commitments to originate residential real estate loans to be sold were approximately $1.1 billion in the third quarter of 2021, compared with $1.2 billion in the each of the year-earlier quarter and the second quarter of 2021.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$49 million in the third quarter of 2021, $64 million in the corresponding period of 2020 and $40 million in the second quarter of 2021. Beginning in late September 2021, the Company began to originate the majority of its residential real estate loans to retain in its loan portfolio rather than for sale. That decision did not have a material impact on residential mortgage banking revenues in the third quarter of 2021.</w:t>
      </w:r>
    </w:p>
    <w:p>
      <w:pPr>
        <w:spacing w:after="0" w:line="5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Loans held for sale that were secured by residential real estate aggregated $279 million at September 30, 2021, $571 million at September 30, 2020 and $777 million at December 31, 2020. Commitments to sell residential real estate loans and commitments to originate residential real estate loans for sale at pre-determined rates totaled $795 million and $751 million, respectively, at September 30, 2021, compared with $1.34 billion and $1.13 billion, respectively, at September 30, 2020 and $1.47 billion and $1.03 billion, respectively, at December 31, 2020. Net recognized unrealized gains on residential real estate loans held for sale, commitments to sell loans, and commitments to originate loans for sale were $22 million at September 30, 2021, $59 million at September 30, 2020 and $52 million at December 31, 2020. Changes in net unrealized gains or losses are recorded in mortgage banking revenues and resulted in net increases in revenues of $10 million in the third quarter of 2021 and $15 million in the third quarter of 2020, compared with a net decrease in revenues of $9 million in the second quarter of 2021.</w:t>
      </w:r>
    </w:p>
    <w:p>
      <w:pPr>
        <w:spacing w:after="0" w:line="5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Revenues from servicing residential real estate loans for others were $61 million, $55 million, and $59 million during the quarters ended September 30, 2021, September 30, 2020, and June 30, 2021, respectively. Residential real estate loans serviced for others totaled $97.1 billion at each of September 30, 2021 and June 30, 2021, $94.9 billion at September 30, 2020 and $94.4 billion at December 31, 2020. Reflected in residential real estate loans serviced for others were loans sub-serviced for others of $73.2 billion, $67.0 billion, $68.1 billion and $72.6 billion at September 30, 2021, September 30, 2020, December 31, 2020 and June 30, 2021, respectively. Revenues earned for sub-servicing loans totaled $39 million during the recent quarter, $30 million in the third quarter of 2020 and $37 million in the second quarter of 2021. The contractual servicing rights associated with loans sub-serviced by the Company were predominantly held by affiliates of Bayview Lending Group (“BLG”). Information about the Company’s relationship with BLG and its affiliates is included in note 16 of Notes to Financial Statements.</w:t>
      </w:r>
    </w:p>
    <w:p>
      <w:pPr>
        <w:spacing w:after="0" w:line="5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Capitalized residential mortgage servicing assets totaled $218 million at September 30, 2021 (net of a $29 million valuation allowance), $202 million at September 30, 2020 (net of a $27 million valuation allowance), $201 million at December 31, 2020 (net of a $30 million valuation allowance) and $221 million at June 30, 2021 (net of a $29 million valuation allowance). During the second quarter of 2021, the valuation allowance for capitalized residential mortgage servicing rights was increased by $8 million. There was no similar provision in the third quarters of 2021 or 2020. The increase in the valuation allowance resulted from changes in the estimated fair value of capitalized mortgage servicing rights that reflected the impact of changes in interest rates on expected prepayments of serviced residential mortgage loans.</w:t>
      </w:r>
    </w:p>
    <w:p>
      <w:pPr>
        <w:spacing w:after="0" w:line="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Commercial mortgage banking revenues totaled $50 million in the third quarter of 2021, up from $34 million in the third quarter of 2020 and $35 million in the second quarter of 2021. Included in such amounts were revenues from loan origination and sales activities of $24 million for the quarter ended September 30, 2021, compared with $19 million in each of the quarters ended September 30, 2020 and June 30, 2021. Commercial real estate loans originated for sale to other investors were approximately $1.7 billion in the recent quarter, compared with $785 million in the third quarter of 2020 and $411 million in the second quarter of 2021. Loan servicing revenues totaled $26 million in the third quarter of 2021, compared with $15 million in the third quarter of 2020 and $16 million in the second quarter of 2021. The higher servicing revenues in the recent quarter were reflective of fees received from customers who repaid loans prior to contractual maturity. Capitalized commercial mortgage servicing assets were $131 million and $129 million at September 30, 2021 and 2020, respectively, and $133 million at December 31, 2020. Commercial real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9"/>
          <w:szCs w:val="19"/>
          <w:color w:val="auto"/>
        </w:rPr>
        <w:t>estate loans serviced for other investors totaled $23.1 billion at September 30, 2021, $21.7 billion at September 30, 2020 and $22.2 billion at December 31, 2020. Those servicing amounts included $3.9 billion at each of September 30, 2021 and September 30, 2020 and $4.0 billion at December 31, 2020 of loan balances for which investors had recourse to the Company if such balances are ultimately uncollectable. Included in commercial real estate loans serviced for others were loans sub-serviced for others of $3.4 billion at September 30, 2021 and $3.3 billion at each of September 30, 2020 and December 31, 2020. Commitments to sell commercial real estate loans and commitments to originate commercial real estate loans for sale were $993 million and $434 million, respectively, at September 30, 2021, $552 million and $216 million, respectively, at September 30, 2020 and $641 million and $364 million, respectively, at December 31, 2020. Commercial real estate loans held for sale at September 30, 2021, September 30, 2020 and December 31, 2020 were $559 million, $336 million and $278 million, respectively.</w:t>
      </w:r>
    </w:p>
    <w:p>
      <w:pPr>
        <w:spacing w:after="0" w:line="58"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Service charges on deposit accounts were $105 million and $91 million in the third quarters of 2021 and 2020, respectively, and $99 million in the second quarter of 2021. The increase in such service charges during the recent quarter as compared with the third quarter of 2020 was due to higher consumer and commercial service charges reflecting increased customer activity. The higher consumer fees included increased debit card, overdraft-related and other customer transactions. The rise in service charges on deposit accounts in the recent quarter as compared with the immediately preceding quarter was largely due to higher consumer-related service charges, reflecting increased overdraft-related fees.</w:t>
      </w:r>
    </w:p>
    <w:p>
      <w:pPr>
        <w:spacing w:after="0" w:line="7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 xml:space="preserve">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$157 million in the third quarter of 2021, compared with $150 million in the year-earlier quarter and $163 million in the second quarter of 2021. Revenues associated with the ICS business were approximately $94 million during the quarter ended September 30, 2021, compared with $87 million and $91 million during the quarters ended September 30, 2020 and June 30, 2021, respectively. The higher revenues in the recent quarter as compared with the previous quarters were largely attributable to increased retirement services income resulting from growth in collective fund balances. Revenues attributable to WAS totaled approximately $63 million during the quarter ended September 30, 2021, compared with $57 million and $65 million during the quarters ended September 30, 2020 and June 30, 2021, respectively. The higher revenues in the recent quarter as compared with the year-earlier quarter were largely attributable to favorable equity market performance. The slightly higher revenues in the second quarter of 2021 as compared with the recent quarter reflected annual tax service fees earned in the second quarter for assisting customers with their tax filings. Trust assets under management were $152.2 billion, $123.4 billion, $149.8 billion and $135.8 billion at September 30, 2021, September 30, 2020, June 30, 2021 and December 31, 2020, respectively. Trust assets under management include the Company’s proprietary mutual funds’ assets of $13.0 billion, $12.5 billion, $12.7 billion and $12.9 billion at September 30, 2021, September 30, 2020, June 30, 2021 and December 31, 2020, respectively. Additional trust income from investment management activities was less than $1 million in the third quarter of 2021, compared with $6 million and $7 million in the third quarter of 2020 and the second 2021 quarter, respectively, and was predominantly comprised of fees earned from retail customer investment accounts. </w:t>
      </w:r>
      <w:r>
        <w:rPr>
          <w:rFonts w:ascii="Arial" w:cs="Arial" w:eastAsia="Arial" w:hAnsi="Arial"/>
          <w:sz w:val="15"/>
          <w:szCs w:val="15"/>
          <w:color w:val="auto"/>
        </w:rPr>
        <w:t>A</w:t>
      </w:r>
      <w:r>
        <w:rPr>
          <w:rFonts w:ascii="Arial" w:cs="Arial" w:eastAsia="Arial" w:hAnsi="Arial"/>
          <w:sz w:val="19"/>
          <w:szCs w:val="19"/>
          <w:color w:val="auto"/>
        </w:rPr>
        <w:t>pproximately $10 million of revenues associated with the sale of select investment products of LPL Financial, an independent financial services broker, were reported as brokerage services income during the third quarter of 2021. Prior to the transition of M&amp;T’s retail brokerage and certain trust customer business to LPL Financial in mid-June 2021, those customers were provided proprietary trust products managed by the Company and revenues related thereto were reported as trust income.</w:t>
      </w:r>
    </w:p>
    <w:p>
      <w:pPr>
        <w:spacing w:after="0" w:line="6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Brokerage services income, which includes revenues from the sale of mutual funds and annuities, securities brokerage fees and, since mid-June 2021, select investment products of LPL Financial, totaled $20 million in the third quarter of 2021, up from $12 million in the corresponding 2020 quarter and $10 million in the second quarter of 2021. The recent quarter increase compared with the prior periods reflects the change in product delivery to retail brokerage and certain trust customers related to the LPL Financial relationship noted above. Trading account and foreign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7" w:name="page78"/>
    <w:bookmarkEnd w:id="77"/>
    <w:p>
      <w:pPr>
        <w:jc w:val="both"/>
        <w:spacing w:after="0" w:line="249" w:lineRule="auto"/>
        <w:rPr>
          <w:sz w:val="20"/>
          <w:szCs w:val="20"/>
          <w:color w:val="auto"/>
        </w:rPr>
      </w:pPr>
      <w:r>
        <w:rPr>
          <w:rFonts w:ascii="Arial" w:cs="Arial" w:eastAsia="Arial" w:hAnsi="Arial"/>
          <w:sz w:val="21"/>
          <w:szCs w:val="21"/>
          <w:color w:val="auto"/>
        </w:rPr>
        <w:t>exchange activity resulted in gains of $6 million, $4 million and $7 million during the quarters ended September 30, 2021, September 30, 2020 and June 30, 2021, respectively. Information about the notional amount of interest rate, foreign exchange and other contracts entered into by the Company for trading account purposes is included in note 11 of Notes to Financial Statements and herein under the heading “Taxable-equivalent Net Interest Income.”</w:t>
      </w:r>
    </w:p>
    <w:p>
      <w:pPr>
        <w:spacing w:after="0" w:line="78" w:lineRule="exact"/>
        <w:rPr>
          <w:sz w:val="20"/>
          <w:szCs w:val="20"/>
          <w:color w:val="auto"/>
        </w:rPr>
      </w:pPr>
    </w:p>
    <w:p>
      <w:pPr>
        <w:jc w:val="both"/>
        <w:ind w:right="20" w:firstLine="510"/>
        <w:spacing w:after="0" w:line="252" w:lineRule="auto"/>
        <w:rPr>
          <w:sz w:val="20"/>
          <w:szCs w:val="20"/>
          <w:color w:val="auto"/>
        </w:rPr>
      </w:pPr>
      <w:r>
        <w:rPr>
          <w:rFonts w:ascii="Arial" w:cs="Arial" w:eastAsia="Arial" w:hAnsi="Arial"/>
          <w:sz w:val="21"/>
          <w:szCs w:val="21"/>
          <w:color w:val="auto"/>
        </w:rPr>
        <w:t>The Company recognized net gains on investment securities of less than $1 million in the recent quarter and $3 million in the year-earlier quarter, compared with net losses of $11 million in the second quarter of 2021. The gains and losses represented unrealized gains and losses on investments in Fannie Mae and Freddie Mac preferred stock.</w:t>
      </w:r>
    </w:p>
    <w:p>
      <w:pPr>
        <w:spacing w:after="0" w:line="76"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8"/>
          <w:szCs w:val="18"/>
          <w:color w:val="auto"/>
        </w:rPr>
        <w:t>Other revenues from operations were $120 million in the third quarter of 2021, compared with $108 million in the corresponding 2020 period and $113 million in the second quarter of 2021. The primary factor for the rise in such revenues in the recent quarter as compared with the third quarter of 2020 and 2021’s second quarter was the impact of increased customer activity, predominantly related to merchant discount and credit card fees and credit-related fees. Included in other revenues from operations were the following significant components. Letter of credit and other credit-related fees aggregated $36 million in the recent quarter, $27 million in the year-earlier quarter and $28 million in the second quarter of 2021. The higher level of such revenues in the recent quarter as compared with the prior quarters resulted from increased loan syndication fees. Revenues from merchant discount and credit card fees were $39 million in the third quarter of 2021, compared with $28 million in the year-earlier quarter and $36 million in the second quarter of 2021. Increased customer activity in the two most recent quarters resulted in the improvement as compared with the third quarter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2020. Tax-exempt income from bank owned life insurance, which includes increases in the cash surrender value of life insurance policies and benefits received, totaled $11 million in the third quarter of 2021, $12 million in the third quarter of 2020 and $13 million in the second quarter of 2021. Insurance-related sales commissions and other revenues totaled $10 million in the recent quarter and $11 million in each of the quarters ended September 30, 2020 and June 30, 2021.</w:t>
      </w:r>
    </w:p>
    <w:p>
      <w:pPr>
        <w:spacing w:after="0" w:line="84"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Other income totaled $1.59 billion and $1.54 billion during the first nine months of 2021 and 2020, respectively. Higher trust income, service charges on deposit accounts, brokerage services income, merchant discount and credit card fees, and credit-related fees in 2021 were the predominant factors for the improvement, partially offset by lower trading account and foreign exchange gains and unrealized losses on investment securities.</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Mortgage banking revenues totaled $432 million during the first nine months of 2021, compared with $426 million during the similar period in 2020. Residential mortgage banking revenues aggregated $315 million and $329 million during the nine-month periods ended September 30, 2021 and 2020, respectively. New commitments to originate residential real estate loans to be sold aggregated $3.7 billion and $3.3 billion in the initial nine months of 2021 and 2020,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$138 million and $148 million in the nine-month periods ended September 30, 2021 and 2020, respectively. Revenues from servicing residential real estate loans for others were $177 million in the first nine months of 2021 and $181 million in the corresponding 2020 period. Included in servicing revenues were sub-servicing revenues aggregating $110 million and $101 million in the first nine months of 2021 and 2020, respectively. For the nine months ended September 30, commercial mortgage banking revenues were $117 million and $98 million in 2021 and 2020, respectively. Commercial real estate loans originated for sale to other investors totaled $2.7 billion and $2.2 billion during the nine-month periods ended September 30, 2021 and 2020, respectively.</w:t>
      </w:r>
    </w:p>
    <w:p>
      <w:pPr>
        <w:spacing w:after="0" w:line="64"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Service charges on deposit accounts aggregated $297 million during the first nine months of 2021, compared with $275 million in the year-earlier period. That increase was predominantly due to depressed levels of consumer service charges in 2020 resulting from the impact of the pandemic, reflecting waived fees and lower customer transaction activity in that year. Trust income totaled $476 million and $451 million during the first nine months of 2021 and 2020, respectively. The increase in trust income in 2021 as compared with 2020 was largely due to higher revenues from the ICS business, reflecting both sales activities and higher retirement services income from growth in collective fund balances, and in the WAS business, reflecting favorable equity market performance. Brokerage services income totaled $44 million in the first nine months of 2021, compared with $35 million in the nine-month period ended September 30, 2020. That rise reflects the impact associated with certain trust customer business that was transferred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8" w:name="page79"/>
    <w:bookmarkEnd w:id="78"/>
    <w:p>
      <w:pPr>
        <w:jc w:val="both"/>
        <w:spacing w:after="0" w:line="245" w:lineRule="auto"/>
        <w:rPr>
          <w:sz w:val="20"/>
          <w:szCs w:val="20"/>
          <w:color w:val="auto"/>
        </w:rPr>
      </w:pPr>
      <w:r>
        <w:rPr>
          <w:rFonts w:ascii="Arial" w:cs="Arial" w:eastAsia="Arial" w:hAnsi="Arial"/>
          <w:sz w:val="21"/>
          <w:szCs w:val="21"/>
          <w:color w:val="auto"/>
        </w:rPr>
        <w:t>to LPL Financial. Trading account and foreign exchange activity resulted in gains of $18 million and $33 million in the nine-months ended September 30, 2021 and 2020, respectively. The lower gains in 2021 were predominantly due to decreased activity related to interest rate swap agreements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Net unrealized losses on investment securities totaling $23 million were recognized during the first nine months of 2021, compared with net unrealized losses of $11 million in the corresponding 2020 period.</w:t>
      </w:r>
    </w:p>
    <w:p>
      <w:pPr>
        <w:spacing w:after="0" w:line="83"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Other revenues from operations totaled $344 million during the first nine months of 2021, compared with $328 million in the year-earlier period. Other revenues from operations include the following significant components. Letter of credit and other credit-related fees aggregated $96 million and $83 million in 2021 and 2020, respectively. That increase resulted from higher loan syndication fees. Income from bank owned life insurance totaled $34 million in the first nine months of 2021, compared with $37 million in the corresponding 2020 period. Merchant discount and credit card fees were $101 million and $80 million in the first nine months of 2021 and 2020, respectively. Increased customer activity, predominantly related to debit card and ATM usage, led to the improvement in 2021. Insurance-related commissions and other revenues aggregated $35 million and $36 million in the first nine months of 2021 and 2020, respectively. M&amp;T’s investment in BLG resulted in income of $23 million in the first nine months of 2020; there was no similar income in the first nine months of 2021.</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Expense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Other expense totaled $899 million in the third quarter of 2021, compared with $827 million in the year-earlier quarter and $865 million in the second quarter of 2021. Included in those amounts are expenses considered to be “nonoperating” in nature consisting of amortization of core deposit and other intangible assets of $3 million in each of the two most recent quarters and $4 million in the third quarter of 2020 and merger-related expenses of $9 million in third quarter of 2021 and $4 million in the second 2021 quarter. The merger-related expenses in the recent quarter largely reflected professional and other outside services, reflecting technology-related efforts to prepare for the integration of People’s United’s systems with those of the Company, and in the second quarter of 2021 were primarily comprised of printing costs associated with the production of the joint proxy statement/prospectus distributed to the shareholders of M&amp;T and People’s United. Exclusive of those nonoperating expenses, noninterest operating expenses were $888 million in the recent quarter, compared with $823 million in the year-earlier quarter and $859 million in the second 2021 quarter. Factors contributing to the increased noninterest operating expenses in the recent quarter as compared with the third quarter of 2020 were higher costs for salaries and employee benefits, outside data processing and software, and professional services. When compared with the second quarter of 2021, the rise in noninterest operating expenses in the recent quarter resulted from increased costs for salaries and employee benefits. Table 2 provides a reconciliation of other expense to noninterest operating expense.</w:t>
      </w:r>
    </w:p>
    <w:p>
      <w:pPr>
        <w:spacing w:after="0" w:line="6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Other expense for the first nine months of 2021 totaled $2.68 billion, compared with $2.54 billion in the year-earlier period. Included in those amounts are expenses considered to be “nonoperating” in nature consisting of amortization of core deposit and other intangible assets of $8 million and $12 million in the nine-month periods ended September 30, 2021 and 2020, respectively, and merger-related expenses of $23 million during the first nine months of 2021. Exclusive of those nonoperating expenses, noninterest operating expenses for the first nine months of 2021 were $2.65 billion, compared with $2.53 billion in the similar 2020 period. The increase in noninterest operating expenses in the 2021 period was largely attributable higher costs for salaries and employee benefits, outside data processing and software, professional services and charitable contributions. Partially offsetting those factors was a $1 million decrease of the valuation allowance for capitalized residential mortgage servicing rights that was recorded in the first nine months of 2021, compared with an addition to that valuation allowance of $20 million in the similar 2020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9" w:name="page80"/>
    <w:bookmarkEnd w:id="79"/>
    <w:p>
      <w:pPr>
        <w:jc w:val="both"/>
        <w:ind w:firstLine="749"/>
        <w:spacing w:after="0" w:line="271" w:lineRule="auto"/>
        <w:rPr>
          <w:sz w:val="20"/>
          <w:szCs w:val="20"/>
          <w:color w:val="auto"/>
        </w:rPr>
      </w:pPr>
      <w:r>
        <w:rPr>
          <w:rFonts w:ascii="Arial" w:cs="Arial" w:eastAsia="Arial" w:hAnsi="Arial"/>
          <w:sz w:val="19"/>
          <w:szCs w:val="19"/>
          <w:color w:val="auto"/>
        </w:rPr>
        <w:t>Salaries and employee benefits expense totaled $510 million in the third quarter of 2021, compared with $479 million in each of the year-earlier quarter and the second quarter of 2021. The increased expenses in the recent quarter were predominantly the result of higher incentive compensation, including commissions. During the first nine months of 2021 and 2020, salaries and employee benefits expense aggregated $1.53 billion and $1.47 billion, respectively. The higher expense level in 2021 reflects increased costs for incentive compensation including commissions, and stock-based compensation. The Company, in accordance with GAAP, has accelerated the recognition of compensation costs for stock-based awards granted to retirement-eligible employees and employees who will become retirement-eligible prior to full vesting of the award. Salaries and employee benefits expense included stock-based compensation of $12 million in each of the three-month periods ended September 30, 2021 and 2020, $13 million in the three-month period ended June 30, 2021, and $74 million and $69 million during the nine-month periods ended September 30, 2021 and September 30, 2020, respectively. The number of full-time equivalent employees was 17,103 at September 30, 2021, compared with 16,980, and 16,978 at September 30, 2020 and June 30, 2021, respectively.</w:t>
      </w:r>
    </w:p>
    <w:p>
      <w:pPr>
        <w:spacing w:after="0" w:line="67"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Excluding the nonoperating expense items described earlier from each quarter, nonpersonnel operating expenses were $377 million in the quarter ended September 30, 2021, $344 million in the quarter ended September 30, 2020 and $380 million in the second quarter of 2021. On that same basis, such expenses were $1.12 billion and $1.05 billion in the nine-month periods ended September 30, 2021 and 2020, respectively. The increase in nonpersonnel operating expenses in the recent quarter as compared with the third quarter of 2020 resulted largely from higher costs for professional services, outside data processing and software. The rise in nonpersonnel operating expenses in the first nine months of 2021 as compared with the same period in 2020 was largely the result of increased costs for professional services, outside data processing and software, and charitable contributions offset, in part, by the impact of a $1 million reduction of the valuation allowance for capitalized servicing rights in 2021 contrasted with an addition to that valuation allowance in the 2020 period of $20 million.</w:t>
      </w:r>
    </w:p>
    <w:p>
      <w:pPr>
        <w:spacing w:after="0" w:line="7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57.7% during the recent quarter, compared with 56.2% and 58.4% in the third quarter of 2020 and second quarter of 2021, respectively. The efficiency ratios for the nine-month periods ended September 30, 2021 and 2020 were 58.8% and 57.0%, respectively.The calculation of the efficiency ratio is presented in table 2.</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provision for income taxes was $162 million in the third quarter of 2021, compared with $115 million in the year-earlier quarter and $148 million in the second quarter of 2021. For the nine-month periods ended September 30, 2021 and 2020, the provisions for income taxes were $454 million and $267 million, respectively The effective tax rates were 24.6%, 23.6% and 24.4% for the quarters ended September 30, 2021, September 30, 2020 and June 30, 2021, respectively, and 24.5% and 23.2% for the nine-month periods ended September 30, 2021 and 2020, respectively.</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Shareholders’ equity was $17.5 billion at September 30, 2021, representing 11.54% of total assets, compared with $16.1 billion or 11.61% a year earlier and $16.2 billion or 11.35% at December 31, 2020.</w:t>
      </w:r>
    </w:p>
    <w:p>
      <w:pPr>
        <w:spacing w:after="0" w:line="6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Included in shareholders’ equity was preferred stock with financial statement carrying values of $1.75 billion at September 30, 2021 and $1.25 billion at each of September 30, 2020 and December 31, 2020. On August 17, 2021, M&amp;T issued 50,000 shares of Series I Perpetual Fixed-Rate Reset Non-cumulative Preferred stock, par value $1.00 and liquidation preference of $10,000 per share. Through August 31, 2026 holders of the Series I preferred stock are entitled to receive, only when, as and if declared by M&amp;T’s Board of Directors, non-cumulative cash dividends at an annual rate of 3.5%, payable semiannually in arrears. Subsequent to August 31, 2026 holders will be entitled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0" w:name="page81"/>
    <w:bookmarkEnd w:id="80"/>
    <w:p>
      <w:pPr>
        <w:jc w:val="both"/>
        <w:spacing w:after="0" w:line="247" w:lineRule="auto"/>
        <w:rPr>
          <w:sz w:val="20"/>
          <w:szCs w:val="20"/>
          <w:color w:val="auto"/>
        </w:rPr>
      </w:pPr>
      <w:r>
        <w:rPr>
          <w:rFonts w:ascii="Arial" w:cs="Arial" w:eastAsia="Arial" w:hAnsi="Arial"/>
          <w:sz w:val="21"/>
          <w:szCs w:val="21"/>
          <w:color w:val="auto"/>
        </w:rPr>
        <w:t>receive, only when, as and if declared by M&amp;T’s Board of Directors, non-cumulative cash dividends at an annual rate of the five-year U.S. Treasury Rate plus 2.679%, payable semiannually in arrears. The Series I preferred stock may be redeemed at M&amp;T’s option, in whole or in part, on any dividend payment date on or after September 1, 2026 or, in whole but not in part, at any time within 90 days following a regulatory capital treatment event whereby the full liquidation value of the shares no longer qualifies as “additional Tier 1 capital”.</w:t>
      </w:r>
    </w:p>
    <w:p>
      <w:pPr>
        <w:spacing w:after="0" w:line="8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Common shareholders’ equity was $15.8 billion or $122.60 per share, at September 30, 2021, compared with $14.9 billion or $115.75 per share, a year earlier and $14.9 billion or $116.39 per share at December 31, 2020. Tangible equity per common share, which excludes goodwill and core deposit and other intangible assets and applicable deferred tax balances, was $86.88 at the end of the recent quarter, compared with $79.85 at September 30, 2020 and $80.52 at December 31, 2020. The Company’s ratio of tangible common equity to tangible assets was 7.59% at September 30, 2021, compared with 7.64% a year earlier and 7.49% at December 31, 2020. Reconciliations of total common shareholders’ equity and tangible common equity and total assets and tangible assets as of each of those respective dates are presented in table 2.</w:t>
      </w:r>
    </w:p>
    <w:p>
      <w:pPr>
        <w:spacing w:after="0" w:line="7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$105 million or $.81 per common share, at September 30, 2021, $152 million, or $1.18 per common share, at September 30, 2020 and $145 million, or $1.13 per common share, at December 31, 2020. Changes in unrealized gains and losses on investment securities are predominantly reflective of the impact of changes in interest rates on the values of such securities. Information about unrealized gains and losses as of September 30, 2021 and December 31, 2020 is included in note 3 of Notes to Financial Statements.</w:t>
      </w:r>
    </w:p>
    <w:p>
      <w:pPr>
        <w:spacing w:after="0" w:line="75"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Reflected in the carrying amount of available-for-sale investment securities at September 30, 2021 were pre-tax effect unrealized gains of $151 million on securities with an amortized cost of $3.4 billion and pre-tax effect unrealized losses of $7 million on securities with an amortized cost of $100 million. Information concerning the Company’s fair valuations of investment securities is provided in notes 3 and 13 of Notes to Financial Statements.</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w:t>
      </w:r>
    </w:p>
    <w:p>
      <w:pPr>
        <w:spacing w:after="0" w:line="68"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8"/>
          <w:szCs w:val="18"/>
          <w:color w:val="auto"/>
        </w:rPr>
        <w:t>As of September 30, 2021, based on a review of each of the securities in the available-for-sale investment securities portfolio, the Company concluded that it expected to realize the amortized cost basis of each security. As of September 30, 2021,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1" w:name="page82"/>
    <w:bookmarkEnd w:id="81"/>
    <w:p>
      <w:pPr>
        <w:jc w:val="both"/>
        <w:ind w:firstLine="510"/>
        <w:spacing w:after="0" w:line="286" w:lineRule="auto"/>
        <w:rPr>
          <w:sz w:val="20"/>
          <w:szCs w:val="20"/>
          <w:color w:val="auto"/>
        </w:rPr>
      </w:pPr>
      <w:r>
        <w:rPr>
          <w:rFonts w:ascii="Arial" w:cs="Arial" w:eastAsia="Arial" w:hAnsi="Arial"/>
          <w:sz w:val="18"/>
          <w:szCs w:val="18"/>
          <w:color w:val="auto"/>
        </w:rPr>
        <w:t>Accounting guidance requires investment securities held to maturity to be presented at their net carrying value that is expected to be collected over their contractual term. The Company estimated no material allowance for credit losses for its investment securities classified as held-to-maturity at September 30, 2021 and December 31, 2020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September 30, 2021 and December 31, 2020, the Company had in its held-to-maturity portfolio privately issued mortgage-backed securities with an amortized cost basis of $65 million and $77 million, respectively, and a fair value of $62 million and $70 million, respectively. At September 30, 2021, 82% of the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has concluded that as of September 30, 2021,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53"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$436 million, or $3.38 per common share, at September 30, 2021, $315 million or $2.46 per common share, at September 30, 2020 and $481 million or $3.75 per common share, at December 31, 2020.</w:t>
      </w:r>
    </w:p>
    <w:p>
      <w:pPr>
        <w:spacing w:after="0" w:line="4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On January 20, 2021, M&amp;T’s Board of Directors authorized a stock repurchase plan to repurchase up to $800 million of shares of M&amp;T’s common stock during the twelve-month period from January 1, 2021 to December 31, 2021 subject to all applicable regulatory limitations. There were no repurchases pursuant to that repurchase plan during the first nine months of 2021, and M&amp;T does not expect any repurchases while the acquisition of People’s United is pending. Pursuant to previously approved capital plans and authorizations by M&amp;T’s Board of Directors, M&amp;T repurchased 2,577,000 shares of its common stock for $374 million in the first quarter of 2020. There were no repurchases of M&amp;T common stock in either of the second or third quarters of 2020.</w:t>
      </w:r>
    </w:p>
    <w:p>
      <w:pPr>
        <w:spacing w:after="0" w:line="53"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Cash dividends declared on M&amp;T’s common stock totaled $143 million in each of the two most recent quarters, compared with $142 million in the third quarter of 2020. Cash dividends declared on preferred stock aggregated $17 million in each of the third and second quarters of 2021 and in the third quarter of 2020.</w:t>
      </w:r>
    </w:p>
    <w:p>
      <w:pPr>
        <w:spacing w:after="0" w:line="76"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63"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09"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2" w:lineRule="exact"/>
        <w:rPr>
          <w:rFonts w:ascii="Arial" w:cs="Arial" w:eastAsia="Arial" w:hAnsi="Arial"/>
          <w:sz w:val="21"/>
          <w:szCs w:val="21"/>
          <w:color w:val="auto"/>
        </w:rPr>
      </w:pPr>
    </w:p>
    <w:p>
      <w:pPr>
        <w:ind w:left="740" w:right="20" w:hanging="368"/>
        <w:spacing w:after="0" w:line="264"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2"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3"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 addition, capital regulations require a “capital conservation buffer” of 2.5% composed entirely of CET1 on top of the minimum risk-weighted asset ratios.</w:t>
      </w:r>
    </w:p>
    <w:p>
      <w:pPr>
        <w:spacing w:after="0" w:line="6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federal bank regulatory agencies have issued rules that allow banks and bank holding companies to phase-in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2" w:name="page83"/>
    <w:bookmarkEnd w:id="82"/>
    <w:p>
      <w:pPr>
        <w:jc w:val="both"/>
        <w:spacing w:after="0" w:line="264" w:lineRule="auto"/>
        <w:rPr>
          <w:sz w:val="20"/>
          <w:szCs w:val="20"/>
          <w:color w:val="auto"/>
        </w:rPr>
      </w:pPr>
      <w:r>
        <w:rPr>
          <w:rFonts w:ascii="Arial" w:cs="Arial" w:eastAsia="Arial" w:hAnsi="Arial"/>
          <w:sz w:val="21"/>
          <w:szCs w:val="21"/>
          <w:color w:val="auto"/>
        </w:rPr>
        <w:t>initial adoption, followed by a three-year transition period. M&amp;T and its subsidiary banks adopted these rules and the impact is reflected in the regulatory capital ratios presented herein.</w:t>
      </w:r>
    </w:p>
    <w:p>
      <w:pPr>
        <w:spacing w:after="0" w:line="6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September 30, 2021 are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M&amp;T</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Wilmington</w:t>
            </w:r>
          </w:p>
        </w:tc>
      </w:tr>
      <w:tr>
        <w:trPr>
          <w:trHeight w:val="171"/>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(Consolidated)</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Bank</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Trust, N.A.</w:t>
            </w:r>
          </w:p>
        </w:tc>
      </w:tr>
      <w:tr>
        <w:trPr>
          <w:trHeight w:val="453"/>
        </w:trPr>
        <w:tc>
          <w:tcPr>
            <w:tcW w:w="524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11.15%</w:t>
            </w:r>
          </w:p>
        </w:tc>
        <w:tc>
          <w:tcPr>
            <w:tcW w:w="26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11.78%</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34.43%</w:t>
            </w:r>
          </w:p>
        </w:tc>
        <w:tc>
          <w:tcPr>
            <w:tcW w:w="80" w:type="dxa"/>
            <w:vAlign w:val="bottom"/>
          </w:tcPr>
          <w:p>
            <w:pPr>
              <w:spacing w:after="0"/>
              <w:rPr>
                <w:sz w:val="24"/>
                <w:szCs w:val="24"/>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12.83%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11.78%</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34.43%</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15.06%</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13.52%</w:t>
            </w: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34.50%</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8.91%</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8.18%</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6.27%</w:t>
            </w:r>
          </w:p>
        </w:tc>
        <w:tc>
          <w:tcPr>
            <w:tcW w:w="80" w:type="dxa"/>
            <w:vAlign w:val="bottom"/>
            <w:shd w:val="clear" w:color="auto" w:fill="CFF0FC"/>
          </w:tcPr>
          <w:p>
            <w:pPr>
              <w:spacing w:after="0"/>
              <w:rPr>
                <w:sz w:val="19"/>
                <w:szCs w:val="19"/>
                <w:color w:val="auto"/>
              </w:rPr>
            </w:pPr>
          </w:p>
        </w:tc>
      </w:tr>
    </w:tbl>
    <w:p>
      <w:pPr>
        <w:spacing w:after="0" w:line="20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15 of Notes to Financial Statements. The reportable segments are Business Banking, Commercial Banking, Commercial Real Estate, Discretionary Portfolio, Residential Mortgage Banking and Retail Banking.</w:t>
      </w:r>
    </w:p>
    <w:p>
      <w:pPr>
        <w:spacing w:after="0" w:line="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Business Banking segment contributed net income of $72 million during the quarter ended September 30, 2021, compared with $36 million in the year-earlier quarter and $42 million in the second quarter of 2021. As compared with the third quarter of 2020, a $42 million increase in net interest income resulting from a 278 basis point widening of the net interest margin on loans and higher average outstanding deposit balances of $2.6 billion were partially offset by a 33 basis point narrowing of the net interest margin on deposits and a $1.4 billion decline in average outstanding loan balances. The recent quarter’s higher net income as compared with 2021’s second quarter reflected a $34 million increase in net interest income resulting from a 200 basis point widening of the net interest margin on loans, partially offset by lower average outstanding loan balances of $929 million. The wider net interest margin on loans and the decline in outstanding loan balances in the recent quarter as compared with the prior quarters resulted from payoffs of</w:t>
      </w:r>
    </w:p>
    <w:p>
      <w:pPr>
        <w:spacing w:after="0" w:line="3" w:lineRule="exact"/>
        <w:rPr>
          <w:sz w:val="20"/>
          <w:szCs w:val="20"/>
          <w:color w:val="auto"/>
        </w:rPr>
      </w:pPr>
    </w:p>
    <w:p>
      <w:pPr>
        <w:jc w:val="both"/>
        <w:ind w:firstLine="8"/>
        <w:spacing w:after="0" w:line="272" w:lineRule="auto"/>
        <w:tabs>
          <w:tab w:leader="none" w:pos="41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loans, and the related recognition of previously deferred fees associated with those payoffs. Net income earned by the Business Banking segment totaled $160 million during the first nine months of 2021, compared with $106 million in the year-earlier period. That 51% increase was attributable to a $62 million rise in net interest income, a $13 million decrease in the provision for credit losses, and higher merchant discount and credit card fees of $9 million offset, in part, by higher personnel-related costs of $9 million due largely to increased incentive compensation. The improvement in net interest income reflected a 145 basis point widening of the net interest margin on loans (due predominantly to fees from PPP loan payoffs) and higher average outstanding deposit balances of $3.5 billion, partially offset by a 68 basis point narrowing of the net interest margin on deposits.</w:t>
      </w:r>
    </w:p>
    <w:p>
      <w:pPr>
        <w:spacing w:after="0" w:line="58"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Net income of the Commercial Banking segment was $144 million in the recent quarter, compared with $131 million in 2020’s third quarter and $111 million in the second quarter of 2021. The 10% increase in the third quarter of 2021 as compared with the year-earlier quarter reflected an $11 million increase in letter of credit and other credit-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3" w:name="page84"/>
    <w:bookmarkEnd w:id="83"/>
    <w:p>
      <w:pPr>
        <w:jc w:val="both"/>
        <w:spacing w:after="0" w:line="256" w:lineRule="auto"/>
        <w:rPr>
          <w:sz w:val="20"/>
          <w:szCs w:val="20"/>
          <w:color w:val="auto"/>
        </w:rPr>
      </w:pPr>
      <w:r>
        <w:rPr>
          <w:rFonts w:ascii="Arial" w:cs="Arial" w:eastAsia="Arial" w:hAnsi="Arial"/>
          <w:sz w:val="20"/>
          <w:szCs w:val="20"/>
          <w:color w:val="auto"/>
        </w:rPr>
        <w:t>related fees (largely loan syndication fees), a $5 million increase in net interest income and higher merchant discount and credit card fees of $4 million. The higher net interest income resulted from a 31 basis point widening of the net interest margin on loans and higher average outstanding deposit balances of $3.1 billion, partially offset by a decline in average outstanding loan balances of $2.6 billion and a 25 basis point narrowing of the net interest margin on deposits, Partially offsetting those favorable factors was a $5 million decline in gains on the sale of previously leased equipment. The 30% rise in net income in the recent quarter as compared with the second quarter of 2021 was largely due to a $34 million decrease in the provision for credit losses and an $8 million increase in letter of credit and other credit-related fees (largely loan syndication fees). Year-to-date net income for the Commercial Banking segment totaled $378 million in 2021, compared with $386 million in 2020. The main factors contributing to that decrease were a $19 million increase in the provision for credit losses, primarily due to higher net charge-offs and lower net interest income of $11 million. The decline in net interest income reflected a 67 basis point narrowing of the net interest margin on deposits and lower average outstanding loan balances of $1.3 billion, partially offset by the impact of a $6.8 billion increase in average deposit balances and an 18 basis point widening of the net interest margin on loans. Partially offsetting those unfavorable factors were a $17 million increase in letter of credit and other credit-related fees (largely loan syndication fees) and an $11 million increase in merchant discount and credit card fees.</w:t>
      </w:r>
    </w:p>
    <w:p>
      <w:pPr>
        <w:spacing w:after="0" w:line="7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Commercial Real Estate segment recorded net income of $85 million in the third quarter of 2021, compared with $87 million in each of the year-earlier period and the second quarter of 2021. As compared with the third quarter of 2020, an $11 million increase in the provision for credit losses, due to higher net charge-offs, and a $7 million increase in expenses associated with servicing loans, were predominantly offset by higher mortgage banking revenues of $16 million, due to increased origination activities and higher servicing income. The slight decline in net income in the third quarter of 2021 as compared with the immediately preceding quarter was largely attributable to a $15 million increase in the provision for credit losses, due to higher net charge-offs, a $7 million increase in expenses associated with servicing loans, and higher personnel-related costs of $6 million that reflected higher incentive compensation, offset by higher mortgage banking revenues of $17 million and a $10 million rise in net interest income, reflecting a 12 basis point widening of the net interest margin on loans. The rise in mortgage banking revenues reflects increases in origination and servicing income. Net income for the Commercial Real Estate segment totaled $243 million during the first three quarters of 2021, compared with $312 million in the similar 2020 period. That 22% year-over-year decline resulted from a $39 million increase in the provision for credit losses, due to higher net charge-offs, a $30 million decrease in net interest income that reflected narrowing of the net interest margin on deposits and loans of 69 basis points and 8 basis points, respectively, lower trading account and foreign exchange gains of $12 million resulting from reduced activity related to interest rate swap agreements executed on behalf of commercial customers, and higher costs for salaries and employee benefits of $7 million due to increased incentive compensation. Partially offsetting those unfavorable factors was a $17 million rise in mortgage banking revenues that reflected increases in origination and servicing income.</w:t>
      </w:r>
    </w:p>
    <w:p>
      <w:pPr>
        <w:spacing w:after="0" w:line="60"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Net income earned by the Discretionary Portfolio segment aggregated $75 million during the three-month period ended September 30, 2021, compared with $97 million in the year-earlier period and $79 million in the second quarter of 2021. The decline in the recent quarter’s results as compared with the third quarter of 2020 was driven by a $21 million decrease in net interest income, reflecting lower loan and investment securities balances, a 56 basis point narrowing of the net interest margin on loans, and lower valuation gains associated with marketable equity securities of $2 million. The lower net income in 2021’s third quarter as compared with the immediately preceding quarter resulted from lower net interest income of $12 million, also reflecting lower loan and investment securities balances, a 22 basis point narrowing of the net interest margin on loans, partially offset by an $11 million improvement in the valuation of marketable equity securities. For the first nine months, net income for this segment totaled $244 million in 2021 and $219 million in 2020. The main favorable factor contributing to that improvement was a $52 million increase in net interest income, reflecting a widening of the net interest margin on deposits and loans of 38 basis points and 30 basis points, respectively, partially offset by lower average outstanding loan balances of $930 million. Reducing the favorable impact of the higher net interest income were increased valuation losses associated with marketable equity securities of $12 million and additional centrally-allocated costs associated with data processing, risk management and other support services provided to the Discretionary Portfolio segment of $6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4" w:name="page85"/>
    <w:bookmarkEnd w:id="84"/>
    <w:p>
      <w:pPr>
        <w:jc w:val="both"/>
        <w:ind w:firstLine="510"/>
        <w:spacing w:after="0" w:line="255" w:lineRule="auto"/>
        <w:rPr>
          <w:sz w:val="20"/>
          <w:szCs w:val="20"/>
          <w:color w:val="auto"/>
        </w:rPr>
      </w:pPr>
      <w:r>
        <w:rPr>
          <w:rFonts w:ascii="Arial" w:cs="Arial" w:eastAsia="Arial" w:hAnsi="Arial"/>
          <w:sz w:val="20"/>
          <w:szCs w:val="20"/>
          <w:color w:val="auto"/>
        </w:rPr>
        <w:t>Net income recorded by the Residential Mortgage Banking segment aggregated $46 million during the three-month period ended September 30, 2021, compared with $45 million in the year-earlier period and $30 million in the second quarter of 2021. The slight improvement in the recent quarter as compared with the similar 2020 period was predominantly attributable to a $9 million decrease in servicing-related costs (including intersegment costs and changes to the valuation allowance for capitalized residential mortgage servicing rights) and higher revenues of $7 million associated with servicing residential real estate loans. Almost entirely offsetting those favorable factors were lower revenues associated with mortgage origination and sales activities (including intersegment revenues) of $15 million. As compared with the second quarter of 2021, the recent quarter improvement was attributable to a $10 million increase in revenues associated with mortgage origination and sales activities (including intersegment revenues) and lower servicing-related costs (including intersegment costs and changes to the valuation allowance for capitalized residential mortgage servicing rights) of $9 million. Year-to-date net income for this segment totaled $126 million in 2021 and $107 million in 2020. Contributing to that year-over-year increase were a $38 million increase in net interest income, reflecting higher outstanding loan balances of $1.8 billion and a 13 basis point widening of the net interest margin on deposits, and a $30 million decrease in servicing-related costs (including intersegment costs and changes to the valuation allowance for capitalized residential mortgage servicing rights). Those favorable factors were partially offset by a $23 million increase in centrally-allocated costs associated with data processing, risk management and other support services provided to the Residential Mortgage Banking segment, higher personnel-related costs of $11 million, and lower revenues of $10 million associated with mortgage origination and sales activities (including intersegment revenues).</w:t>
      </w:r>
    </w:p>
    <w:p>
      <w:pPr>
        <w:spacing w:after="0" w:line="85"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Net income for the Retail Banking segment totaled $88 million in the recent quarter, compared with $85 million in the third quarter of 2020 and $89 million in the second quarter of 2021. The increase from the third quarter of 2020 was largely attributable to a $13 million decline in the provision for credit losses, an $8 million decrease in personnel-related costs, and higher service charges on deposit accounts of $8 million. Those favorable factors were offset, in part, by a $25 million increase in centrally-allocated costs associated with data processing, risk management and other support services provided to the Retail Banking segment. Net income in the recent quarter as compared with the second quarter of 2021 declined slightly, driven by a $15 million increase in centrally-allocated costs associated with data processing, risk management and other support services provided to the Retail Banking segment, largely offset by a $6 million decrease in personnel-related costs and a $5 million increase in service charges on deposit accounts. The Retail Banking segment recorded net income of $263 million and $282 million in the first nine months of 2021 and 2020, respectively. That decrease was predominantly due to a $76 million decline in net interest income, reflecting a 57 basis point narrowing of the net interest margin on deposits, partially offset by higher average outstanding deposit and loan balances of $5.4 billion and $1.5 billion, respectively, and a $47 million increase in centrally-allocated costs associated with data processing, risk management and other support services provided to the Retail Banking segment. Those unfavorable factors were offset, in part, by a $42 million decrease in the provision for credit losses, due to lower net charge-offs, lower personnel-related costs of $26 million, a $15 million increase in service charges on deposit accounts, a $6 million rise in merchant discount and credit card fees, and a $6 million reduction in outside data processing and software expenses.</w:t>
      </w:r>
    </w:p>
    <w:p>
      <w:pPr>
        <w:spacing w:after="0" w:line="6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distributions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of $14 million in the third quarter of 2021 and $110 million in the third 2020 quarter, compared with net income of $21 million in the second quarter of 2021. The lower net loss in the recent quarter as compared with the third quarter of 2020 resulted from a decrease in the provision for credit losses of $162 million and higher trust and brokerage services income of $16 million, partially offset by a $33 million increase in personnel-related costs (reflecting higher incentive compensation) and higher professional services costs of $31 million. The net loss in the recent quarter as compared with the second 2021 quarter’s net income reflected higher personnel-related costs of $32 million (reflecting higher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5" w:name="page86"/>
    <w:bookmarkEnd w:id="85"/>
    <w:p>
      <w:pPr>
        <w:jc w:val="both"/>
        <w:spacing w:after="0" w:line="245" w:lineRule="auto"/>
        <w:rPr>
          <w:sz w:val="20"/>
          <w:szCs w:val="20"/>
          <w:color w:val="auto"/>
        </w:rPr>
      </w:pPr>
      <w:r>
        <w:rPr>
          <w:rFonts w:ascii="Arial" w:cs="Arial" w:eastAsia="Arial" w:hAnsi="Arial"/>
          <w:sz w:val="21"/>
          <w:szCs w:val="21"/>
          <w:color w:val="auto"/>
        </w:rPr>
        <w:t>incentive compensation) and an increase in the provision for credit losses of $18 million. Offsetting those factors was the favorable impact from the Company’s allocation methodologies for internal transfers for funding charges and credits associated with earning assets and interest-bearing liabilities of the Company’s reportable segments. The “All Other” category had net losses of $12 million and $530 million for the nine-month periods ended September 30, 2021 and 2020, respectively. The primary factor contributing to the decreased net loss in the 2021 period was a lower provision for credit losses of $785 million. That favorable factor was partially offset by higher professional services costs of $65 million, higher personnel-related costs of $57 million and increased outside data processing and software costs of $26 million.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Management’s Discussion and Analysis of Financial Condition and Results of Operations and other sections of this quarterly report may contain forward-looking statements within the meaning of the Private Securities Litigation Reform Act of 1995. Any statement that does not describe historical or current facts is a forward-looking statement, including statements that are based on current expectations, estimates and projections about the Company’s business, and management’s beliefs and assumptions.</w:t>
      </w:r>
    </w:p>
    <w:p>
      <w:pPr>
        <w:spacing w:after="0" w:line="49" w:lineRule="exact"/>
        <w:rPr>
          <w:sz w:val="20"/>
          <w:szCs w:val="20"/>
          <w:color w:val="auto"/>
        </w:rPr>
      </w:pPr>
    </w:p>
    <w:p>
      <w:pPr>
        <w:jc w:val="both"/>
        <w:ind w:firstLine="468"/>
        <w:spacing w:after="0" w:line="246" w:lineRule="auto"/>
        <w:rPr>
          <w:sz w:val="20"/>
          <w:szCs w:val="20"/>
          <w:color w:val="auto"/>
        </w:rPr>
      </w:pPr>
      <w:r>
        <w:rPr>
          <w:rFonts w:ascii="Arial" w:cs="Arial" w:eastAsia="Arial" w:hAnsi="Arial"/>
          <w:sz w:val="21"/>
          <w:szCs w:val="21"/>
          <w:color w:val="auto"/>
        </w:rPr>
        <w:t>Statements regarding the potential effects of the COVID-19 pandemic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including the scope and duration of the pandemic, actions taken by governmental authorities in response to the pandemic, and the direct and indirect impact of the pandemic on customers, clients, third parties and the Company.</w:t>
      </w:r>
    </w:p>
    <w:p>
      <w:pPr>
        <w:spacing w:after="0" w:line="81" w:lineRule="exact"/>
        <w:rPr>
          <w:sz w:val="20"/>
          <w:szCs w:val="20"/>
          <w:color w:val="auto"/>
        </w:rPr>
      </w:pPr>
    </w:p>
    <w:p>
      <w:pPr>
        <w:jc w:val="both"/>
        <w:ind w:firstLine="468"/>
        <w:spacing w:after="0" w:line="247" w:lineRule="auto"/>
        <w:rPr>
          <w:sz w:val="20"/>
          <w:szCs w:val="20"/>
          <w:color w:val="auto"/>
        </w:rPr>
      </w:pPr>
      <w:r>
        <w:rPr>
          <w:rFonts w:ascii="Arial" w:cs="Arial" w:eastAsia="Arial" w:hAnsi="Arial"/>
          <w:sz w:val="21"/>
          <w:szCs w:val="21"/>
          <w:color w:val="auto"/>
        </w:rPr>
        <w:t>Statements regarding the Company’s expectations or predictions regarding the proposed transaction between M&amp;T and People’s United also are forward-looking statements, including statements regarding the expected timing, completion and effects of the proposed transaction as well as M&amp;T’s and People’s United’s expected financial results, prospects, targets, goals and outlook. M&amp;T provides further detail regarding the risks and uncertainties related to the proposed transaction in its public filings, including in the “Risk Factors” section of this quarterly report.</w:t>
      </w:r>
    </w:p>
    <w:p>
      <w:pPr>
        <w:spacing w:after="0" w:line="80" w:lineRule="exact"/>
        <w:rPr>
          <w:sz w:val="20"/>
          <w:szCs w:val="20"/>
          <w:color w:val="auto"/>
        </w:rPr>
      </w:pPr>
    </w:p>
    <w:p>
      <w:pPr>
        <w:jc w:val="both"/>
        <w:ind w:firstLine="468"/>
        <w:spacing w:after="0" w:line="262" w:lineRule="auto"/>
        <w:rPr>
          <w:sz w:val="20"/>
          <w:szCs w:val="20"/>
          <w:color w:val="auto"/>
        </w:rPr>
      </w:pPr>
      <w:r>
        <w:rPr>
          <w:rFonts w:ascii="Arial" w:cs="Arial" w:eastAsia="Arial" w:hAnsi="Arial"/>
          <w:sz w:val="20"/>
          <w:szCs w:val="20"/>
          <w:color w:val="auto"/>
        </w:rPr>
        <w:t>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68" w:lineRule="exact"/>
        <w:rPr>
          <w:sz w:val="20"/>
          <w:szCs w:val="20"/>
          <w:color w:val="auto"/>
        </w:rPr>
      </w:pPr>
    </w:p>
    <w:p>
      <w:pPr>
        <w:jc w:val="both"/>
        <w:ind w:firstLine="468"/>
        <w:spacing w:after="0" w:line="271" w:lineRule="auto"/>
        <w:rPr>
          <w:sz w:val="20"/>
          <w:szCs w:val="20"/>
          <w:color w:val="auto"/>
        </w:rPr>
      </w:pPr>
      <w:r>
        <w:rPr>
          <w:rFonts w:ascii="Arial" w:cs="Arial" w:eastAsia="Arial" w:hAnsi="Arial"/>
          <w:sz w:val="19"/>
          <w:szCs w:val="19"/>
          <w:color w:val="auto"/>
        </w:rPr>
        <w:t>Future factors include risks, predictions and uncertainties relating to: the proposed transaction between M&amp;T and People’s United, including the factors that are described in the “Risk Factors” section of this quarterly report; the impact of the COVID-19 pandemic;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 regulations affecting the financial services industry, and/or M&amp;T and its subsidiaries individually or collectively, including tax policy; regulatory supervision and oversight, including monetary policy and capital requirements;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governmental and public policy changes; protection and validity of intellectual property rights; reliance on large customers; technological, implementation and cost/financial risks in large, multi-year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6" w:name="page87"/>
    <w:bookmarkEnd w:id="86"/>
    <w:p>
      <w:pPr>
        <w:jc w:val="both"/>
        <w:spacing w:after="0" w:line="247" w:lineRule="auto"/>
        <w:rPr>
          <w:sz w:val="20"/>
          <w:szCs w:val="20"/>
          <w:color w:val="auto"/>
        </w:rPr>
      </w:pPr>
      <w:r>
        <w:rPr>
          <w:rFonts w:ascii="Arial" w:cs="Arial" w:eastAsia="Arial" w:hAnsi="Arial"/>
          <w:sz w:val="21"/>
          <w:szCs w:val="21"/>
          <w:color w:val="auto"/>
        </w:rPr>
        <w:t>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80" w:lineRule="exact"/>
        <w:rPr>
          <w:sz w:val="20"/>
          <w:szCs w:val="20"/>
          <w:color w:val="auto"/>
        </w:rPr>
      </w:pPr>
    </w:p>
    <w:p>
      <w:pPr>
        <w:jc w:val="both"/>
        <w:ind w:firstLine="468"/>
        <w:spacing w:after="0" w:line="265"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4" w:lineRule="exact"/>
        <w:rPr>
          <w:sz w:val="20"/>
          <w:szCs w:val="20"/>
          <w:color w:val="auto"/>
        </w:rPr>
      </w:pPr>
    </w:p>
    <w:p>
      <w:pPr>
        <w:jc w:val="both"/>
        <w:ind w:firstLine="468"/>
        <w:spacing w:after="0" w:line="249" w:lineRule="auto"/>
        <w:rPr>
          <w:sz w:val="20"/>
          <w:szCs w:val="20"/>
          <w:color w:val="auto"/>
        </w:rPr>
      </w:pPr>
      <w:r>
        <w:rPr>
          <w:rFonts w:ascii="Arial" w:cs="Arial" w:eastAsia="Arial" w:hAnsi="Arial"/>
          <w:sz w:val="21"/>
          <w:szCs w:val="21"/>
          <w:color w:val="auto"/>
        </w:rPr>
        <w:t>M&amp;T provides further detail regarding these risks, uncertainties and other factors elsewhere in this quarterly report and in other public filings, including the risk factors described in Form 10-K for the year ended December 31, 2020 and this quarterly report. Forward-looking statements speak only as of the date they are made, and the Company assumes no duty, and does not undertake, to update forward-looking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00" w:type="dxa"/>
            <w:vAlign w:val="bottom"/>
            <w:vMerge w:val="restart"/>
          </w:tcPr>
          <w:p>
            <w:pPr>
              <w:spacing w:after="0"/>
              <w:rPr>
                <w:sz w:val="20"/>
                <w:szCs w:val="20"/>
                <w:color w:val="auto"/>
              </w:rPr>
            </w:pPr>
            <w:r>
              <w:rPr>
                <w:rFonts w:ascii="Arial" w:cs="Arial" w:eastAsia="Arial" w:hAnsi="Arial"/>
                <w:sz w:val="20"/>
                <w:szCs w:val="20"/>
                <w:color w:val="auto"/>
              </w:rPr>
              <w:t>QUARTERLY TRENDS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Table 1</w:t>
            </w:r>
          </w:p>
        </w:tc>
        <w:tc>
          <w:tcPr>
            <w:tcW w:w="0" w:type="dxa"/>
            <w:vAlign w:val="bottom"/>
          </w:tcPr>
          <w:p>
            <w:pPr>
              <w:spacing w:after="0"/>
              <w:rPr>
                <w:sz w:val="1"/>
                <w:szCs w:val="1"/>
                <w:color w:val="auto"/>
              </w:rPr>
            </w:pPr>
          </w:p>
        </w:tc>
      </w:tr>
      <w:tr>
        <w:trPr>
          <w:trHeight w:val="213"/>
        </w:trPr>
        <w:tc>
          <w:tcPr>
            <w:tcW w:w="37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3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87"/>
              </w:rPr>
              <w:t>2021 Quarters</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2020 Quarters</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Second</w:t>
            </w:r>
          </w:p>
        </w:tc>
        <w:tc>
          <w:tcPr>
            <w:tcW w:w="20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First</w:t>
            </w:r>
          </w:p>
        </w:tc>
        <w:tc>
          <w:tcPr>
            <w:tcW w:w="200" w:type="dxa"/>
            <w:vAlign w:val="bottom"/>
          </w:tcPr>
          <w:p>
            <w:pPr>
              <w:spacing w:after="0"/>
              <w:rPr>
                <w:sz w:val="13"/>
                <w:szCs w:val="1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Fourth</w:t>
            </w:r>
          </w:p>
        </w:tc>
        <w:tc>
          <w:tcPr>
            <w:tcW w:w="28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Second</w:t>
            </w:r>
          </w:p>
        </w:tc>
        <w:tc>
          <w:tcPr>
            <w:tcW w:w="280" w:type="dxa"/>
            <w:vAlign w:val="bottom"/>
          </w:tcPr>
          <w:p>
            <w:pPr>
              <w:spacing w:after="0"/>
              <w:rPr>
                <w:sz w:val="13"/>
                <w:szCs w:val="13"/>
                <w:color w:val="auto"/>
              </w:rPr>
            </w:pPr>
          </w:p>
        </w:tc>
        <w:tc>
          <w:tcPr>
            <w:tcW w:w="660" w:type="dxa"/>
            <w:vAlign w:val="bottom"/>
          </w:tcPr>
          <w:p>
            <w:pPr>
              <w:jc w:val="right"/>
              <w:ind w:right="136"/>
              <w:spacing w:after="0"/>
              <w:rPr>
                <w:sz w:val="20"/>
                <w:szCs w:val="20"/>
                <w:color w:val="auto"/>
              </w:rPr>
            </w:pPr>
            <w:r>
              <w:rPr>
                <w:rFonts w:ascii="Arial" w:cs="Arial" w:eastAsia="Arial" w:hAnsi="Arial"/>
                <w:sz w:val="13"/>
                <w:szCs w:val="13"/>
                <w:b w:val="1"/>
                <w:bCs w:val="1"/>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9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996,649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974,090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1,020,695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1,042,862</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1,005,180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1,036,476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1,125,482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Interest expense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25,696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28,018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35,567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49,610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58,066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75,105</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143,614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9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970,953</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946,072</w:t>
            </w: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985,128</w:t>
            </w: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993,252</w:t>
            </w:r>
          </w:p>
        </w:tc>
        <w:tc>
          <w:tcPr>
            <w:tcW w:w="2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947,114</w:t>
            </w: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961,371</w:t>
            </w: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981,868</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(20,000)</w:t>
            </w:r>
          </w:p>
        </w:tc>
        <w:tc>
          <w:tcPr>
            <w:tcW w:w="14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(15,000)</w:t>
            </w:r>
          </w:p>
        </w:tc>
        <w:tc>
          <w:tcPr>
            <w:tcW w:w="20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(25,000)</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75,000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150,000</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325,000</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569,126</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513,633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505,598</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551,250</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520,561</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487,273</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Less: other expense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899,334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865,345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919,444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845,008</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826,774</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807,042</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906,416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9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660,745</w:t>
            </w: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609,360</w:t>
            </w: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596,282</w:t>
            </w: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624,494</w:t>
            </w:r>
          </w:p>
        </w:tc>
        <w:tc>
          <w:tcPr>
            <w:tcW w:w="28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490,901</w:t>
            </w:r>
          </w:p>
        </w:tc>
        <w:tc>
          <w:tcPr>
            <w:tcW w:w="2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316,602</w:t>
            </w: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354,812</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161,582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147,559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145,300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149,382</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114,746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71,314</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80,927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3,703</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3,732</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96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495,460</w:t>
            </w: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458,069</w:t>
            </w: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447,249</w:t>
            </w: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471,140</w:t>
            </w:r>
          </w:p>
        </w:tc>
        <w:tc>
          <w:tcPr>
            <w:tcW w:w="28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372,136</w:t>
            </w:r>
          </w:p>
        </w:tc>
        <w:tc>
          <w:tcPr>
            <w:tcW w:w="280" w:type="dxa"/>
            <w:vAlign w:val="bottom"/>
            <w:tcBorders>
              <w:bottom w:val="single" w:sz="8" w:color="CFF0FC"/>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241,054</w:t>
            </w:r>
          </w:p>
        </w:tc>
        <w:tc>
          <w:tcPr>
            <w:tcW w:w="28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268,822</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475,961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438,759</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428,093</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451,869</w:t>
            </w: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353,400</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223,099</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250,701</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Per common share data</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3.52</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2.75</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128,689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128,671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128,537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128,303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128,285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128,275</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129,696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60"/>
              <w:spacing w:after="0"/>
              <w:rPr>
                <w:sz w:val="20"/>
                <w:szCs w:val="20"/>
                <w:color w:val="auto"/>
              </w:rPr>
            </w:pPr>
            <w:r>
              <w:rPr>
                <w:rFonts w:ascii="Arial" w:cs="Arial" w:eastAsia="Arial" w:hAnsi="Arial"/>
                <w:sz w:val="13"/>
                <w:szCs w:val="13"/>
                <w:color w:val="auto"/>
              </w:rPr>
              <w:t>Diluted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128,844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128,842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128,669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128,379</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128,355</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128,333</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129,755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9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Return on</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w:t>
            </w:r>
          </w:p>
        </w:tc>
        <w:tc>
          <w:tcPr>
            <w:tcW w:w="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12.16</w:t>
            </w:r>
          </w:p>
        </w:tc>
        <w:tc>
          <w:tcPr>
            <w:tcW w:w="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11.55</w:t>
            </w:r>
          </w:p>
        </w:tc>
        <w:tc>
          <w:tcPr>
            <w:tcW w:w="8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11.57</w:t>
            </w: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12.07</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9.53</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6.13</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7.00</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(taxable-equivalent basis)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70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100"/>
              <w:spacing w:after="0"/>
              <w:rPr>
                <w:sz w:val="20"/>
                <w:szCs w:val="20"/>
                <w:color w:val="auto"/>
              </w:rPr>
            </w:pPr>
            <w:r>
              <w:rPr>
                <w:rFonts w:ascii="Arial" w:cs="Arial" w:eastAsia="Arial" w:hAnsi="Arial"/>
                <w:sz w:val="13"/>
                <w:szCs w:val="13"/>
                <w:color w:val="auto"/>
              </w:rPr>
              <w:t>unearned discount</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6"/>
                <w:szCs w:val="16"/>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1.26</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1.13</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7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9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0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504,030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462,959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457,372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473,453</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375,029</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243,958</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271,705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Annualized return on</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17.54</w:t>
            </w:r>
          </w:p>
        </w:tc>
        <w:tc>
          <w:tcPr>
            <w:tcW w:w="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16.68</w:t>
            </w:r>
          </w:p>
        </w:tc>
        <w:tc>
          <w:tcPr>
            <w:tcW w:w="8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17.05</w:t>
            </w:r>
          </w:p>
        </w:tc>
        <w:tc>
          <w:tcPr>
            <w:tcW w:w="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17.53</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13.94</w:t>
            </w:r>
          </w:p>
        </w:tc>
        <w:tc>
          <w:tcPr>
            <w:tcW w:w="2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9.04</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10.39</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57.7</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w:t>
            </w:r>
          </w:p>
        </w:tc>
        <w:tc>
          <w:tcPr>
            <w:tcW w:w="2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58.9</w:t>
            </w:r>
          </w:p>
        </w:tc>
        <w:tc>
          <w:tcPr>
            <w:tcW w:w="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3"/>
                <w:szCs w:val="13"/>
                <w:color w:val="auto"/>
              </w:rPr>
              <w:t>Average balances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154,037</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150,641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148,157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144,563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140,181</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136,446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120,585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149,439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146,041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143,554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139,958</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135,574</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131,836</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115,972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140,420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136,951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134,355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131,916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127,689</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123,492</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108,226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6,211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7,195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7,876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8,500</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9,102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95,314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98,610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99,356</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98,666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98,210</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97,797</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91,706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3"/>
                <w:szCs w:val="13"/>
                <w:color w:val="auto"/>
              </w:rPr>
              <w:t>Deposits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131,255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128,413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125,733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120,976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116,306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111,795</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96,166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15,614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15,321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14,963</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14,823</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14,703</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10,721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10,474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10,358</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10,216</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10,093</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9,857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0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151,901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150,623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150,481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142,601</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138,627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139,537</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124,578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147,304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146,023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145,879</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137,998</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134,021</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134,928</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119,966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138,257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137,171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137,367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129,295</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126,418</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127,149</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112,046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6,143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6,611</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7,046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7,723</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93,583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97,113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99,299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98,536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98,447</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97,758</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94,142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128,701</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128,269</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128,476</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119,806</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115,163</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114,968</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100,183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Common shareholders’ equity (c)</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15,779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15,470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14,937</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14,851</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14,695</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14,566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10,870</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10,334</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10,245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10,086</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116.39</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115.75</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114.54</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113.54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84.47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82.35</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80.52</w:t>
            </w:r>
          </w:p>
        </w:tc>
        <w:tc>
          <w:tcPr>
            <w:tcW w:w="2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79.85</w:t>
            </w: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78.62</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line="224" w:lineRule="auto"/>
        <w:tabs>
          <w:tab w:leader="none" w:pos="50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00" w:hanging="492"/>
        <w:spacing w:after="0" w:line="228" w:lineRule="auto"/>
        <w:tabs>
          <w:tab w:leader="none" w:pos="500" w:val="left"/>
        </w:tabs>
        <w:numPr>
          <w:ilvl w:val="0"/>
          <w:numId w:val="30"/>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1" w:lineRule="exact"/>
        <w:rPr>
          <w:rFonts w:ascii="Arial" w:cs="Arial" w:eastAsia="Arial" w:hAnsi="Arial"/>
          <w:sz w:val="13"/>
          <w:szCs w:val="13"/>
          <w:i w:val="1"/>
          <w:iCs w:val="1"/>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gridSpan w:val="8"/>
            <w:vMerge w:val="restart"/>
          </w:tcPr>
          <w:p>
            <w:pPr>
              <w:spacing w:after="0"/>
              <w:rPr>
                <w:sz w:val="20"/>
                <w:szCs w:val="20"/>
                <w:color w:val="auto"/>
              </w:rPr>
            </w:pPr>
            <w:r>
              <w:rPr>
                <w:rFonts w:ascii="Arial" w:cs="Arial" w:eastAsia="Arial" w:hAnsi="Arial"/>
                <w:sz w:val="18"/>
                <w:szCs w:val="18"/>
                <w:color w:val="auto"/>
                <w:w w:val="99"/>
              </w:rPr>
              <w:t>RECONCILIATION OF QUARTERLY GAAP TO NON-GAAP MEASURES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202"/>
        </w:trPr>
        <w:tc>
          <w:tcPr>
            <w:tcW w:w="5900" w:type="dxa"/>
            <w:vAlign w:val="bottom"/>
            <w:gridSpan w:val="8"/>
            <w:vMerge w:val="continue"/>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3"/>
                <w:szCs w:val="13"/>
                <w:b w:val="1"/>
                <w:bCs w:val="1"/>
                <w:color w:val="auto"/>
              </w:rPr>
              <w:t>2020 Quarters</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Third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00"/>
              <w:spacing w:after="0" w:line="142" w:lineRule="exact"/>
              <w:rPr>
                <w:sz w:val="20"/>
                <w:szCs w:val="20"/>
                <w:color w:val="auto"/>
              </w:rPr>
            </w:pPr>
            <w:r>
              <w:rPr>
                <w:rFonts w:ascii="Arial" w:cs="Arial" w:eastAsia="Arial" w:hAnsi="Arial"/>
                <w:sz w:val="13"/>
                <w:szCs w:val="13"/>
                <w:b w:val="1"/>
                <w:bCs w:val="1"/>
                <w:color w:val="auto"/>
                <w:w w:val="93"/>
              </w:rPr>
              <w:t>Second</w:t>
            </w:r>
          </w:p>
        </w:tc>
        <w:tc>
          <w:tcPr>
            <w:tcW w:w="840" w:type="dxa"/>
            <w:vAlign w:val="bottom"/>
          </w:tcPr>
          <w:p>
            <w:pPr>
              <w:jc w:val="right"/>
              <w:ind w:right="237"/>
              <w:spacing w:after="0" w:line="142" w:lineRule="exact"/>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3"/>
                <w:szCs w:val="13"/>
                <w:b w:val="1"/>
                <w:bCs w:val="1"/>
                <w:color w:val="auto"/>
              </w:rPr>
              <w:t>Fourth</w:t>
            </w: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Third</w:t>
            </w:r>
          </w:p>
        </w:tc>
        <w:tc>
          <w:tcPr>
            <w:tcW w:w="1080" w:type="dxa"/>
            <w:vAlign w:val="bottom"/>
            <w:gridSpan w:val="2"/>
          </w:tcPr>
          <w:p>
            <w:pPr>
              <w:jc w:val="right"/>
              <w:ind w:right="480"/>
              <w:spacing w:after="0" w:line="142" w:lineRule="exact"/>
              <w:rPr>
                <w:sz w:val="20"/>
                <w:szCs w:val="20"/>
                <w:color w:val="auto"/>
              </w:rPr>
            </w:pPr>
            <w:r>
              <w:rPr>
                <w:rFonts w:ascii="Arial" w:cs="Arial" w:eastAsia="Arial" w:hAnsi="Arial"/>
                <w:sz w:val="13"/>
                <w:szCs w:val="13"/>
                <w:b w:val="1"/>
                <w:bCs w:val="1"/>
                <w:color w:val="auto"/>
              </w:rPr>
              <w:t>Second</w:t>
            </w:r>
          </w:p>
        </w:tc>
        <w:tc>
          <w:tcPr>
            <w:tcW w:w="860" w:type="dxa"/>
            <w:vAlign w:val="bottom"/>
          </w:tcPr>
          <w:p>
            <w:pPr>
              <w:jc w:val="right"/>
              <w:ind w:right="236"/>
              <w:spacing w:after="0" w:line="142" w:lineRule="exact"/>
              <w:rPr>
                <w:sz w:val="20"/>
                <w:szCs w:val="20"/>
                <w:color w:val="auto"/>
              </w:rPr>
            </w:pPr>
            <w:r>
              <w:rPr>
                <w:rFonts w:ascii="Arial" w:cs="Arial" w:eastAsia="Arial" w:hAnsi="Arial"/>
                <w:sz w:val="13"/>
                <w:szCs w:val="13"/>
                <w:b w:val="1"/>
                <w:bCs w:val="1"/>
                <w:color w:val="auto"/>
              </w:rPr>
              <w:t>First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54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Income statement data (in thousands,</w:t>
            </w:r>
          </w:p>
        </w:tc>
        <w:tc>
          <w:tcPr>
            <w:tcW w:w="1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except per share)</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495,460</w:t>
            </w:r>
          </w:p>
        </w:tc>
        <w:tc>
          <w:tcPr>
            <w:tcW w:w="2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458,069</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447,249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471,140</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372,136</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241,054</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100"/>
              <w:spacing w:after="0"/>
              <w:rPr>
                <w:sz w:val="20"/>
                <w:szCs w:val="20"/>
                <w:color w:val="auto"/>
              </w:rPr>
            </w:pPr>
            <w:r>
              <w:rPr>
                <w:rFonts w:ascii="Arial" w:cs="Arial" w:eastAsia="Arial" w:hAnsi="Arial"/>
                <w:sz w:val="13"/>
                <w:szCs w:val="13"/>
                <w:color w:val="auto"/>
              </w:rPr>
              <w:t>intangible assets (a)</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2,028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2,023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2,034</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2,313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2,893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2,904</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 (a)</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6,542</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2,867</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8,089</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504,030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462,959</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457,372</w:t>
            </w:r>
          </w:p>
        </w:tc>
        <w:tc>
          <w:tcPr>
            <w:tcW w:w="24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473,453</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375,029</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243,958</w:t>
            </w:r>
          </w:p>
        </w:tc>
        <w:tc>
          <w:tcPr>
            <w:tcW w:w="24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271,705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Earnings per common share</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3.69</w:t>
            </w:r>
          </w:p>
        </w:tc>
        <w:tc>
          <w:tcPr>
            <w:tcW w:w="260" w:type="dxa"/>
            <w:vAlign w:val="bottom"/>
          </w:tcPr>
          <w:p>
            <w:pPr>
              <w:spacing w:after="0"/>
              <w:rPr>
                <w:sz w:val="12"/>
                <w:szCs w:val="12"/>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3.33</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3.52</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2.75</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1.74</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intangible assets (a)</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Merger-related expenses (a)</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.06</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3540" w:type="dxa"/>
            <w:vAlign w:val="bottom"/>
            <w:tcBorders>
              <w:top w:val="single" w:sz="8" w:color="CFF0FC"/>
            </w:tcBorders>
            <w:shd w:val="clear" w:color="auto" w:fill="CFF0FC"/>
          </w:tcPr>
          <w:p>
            <w:pPr>
              <w:ind w:left="260"/>
              <w:spacing w:after="0" w:line="128" w:lineRule="exact"/>
              <w:rPr>
                <w:sz w:val="20"/>
                <w:szCs w:val="20"/>
                <w:color w:val="auto"/>
              </w:rPr>
            </w:pPr>
            <w:r>
              <w:rPr>
                <w:rFonts w:ascii="Arial" w:cs="Arial" w:eastAsia="Arial" w:hAnsi="Arial"/>
                <w:sz w:val="13"/>
                <w:szCs w:val="13"/>
                <w:color w:val="auto"/>
              </w:rPr>
              <w:t>Diluted net operating earnings per</w:t>
            </w:r>
          </w:p>
        </w:tc>
        <w:tc>
          <w:tcPr>
            <w:tcW w:w="1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FF0FC"/>
          </w:tcPr>
          <w:p>
            <w:pPr>
              <w:ind w:left="320"/>
              <w:spacing w:after="0"/>
              <w:rPr>
                <w:sz w:val="20"/>
                <w:szCs w:val="20"/>
                <w:color w:val="auto"/>
              </w:rPr>
            </w:pPr>
            <w:r>
              <w:rPr>
                <w:rFonts w:ascii="Arial" w:cs="Arial" w:eastAsia="Arial" w:hAnsi="Arial"/>
                <w:sz w:val="13"/>
                <w:szCs w:val="13"/>
                <w:color w:val="auto"/>
              </w:rPr>
              <w:t>common share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2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Other expense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899,334</w:t>
            </w:r>
          </w:p>
        </w:tc>
        <w:tc>
          <w:tcPr>
            <w:tcW w:w="2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865,345</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919,444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845,008</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826,774</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807,042</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906,416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(2,738)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(2,737)</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(2,738)</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(3,129)</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(3,914)</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(3,913)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(3,913)</w:t>
            </w: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(8,826)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(3,893)</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(9,951)</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887,770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858,715</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906,755</w:t>
            </w:r>
          </w:p>
        </w:tc>
        <w:tc>
          <w:tcPr>
            <w:tcW w:w="24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841,879</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822,860</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803,129</w:t>
            </w:r>
          </w:p>
        </w:tc>
        <w:tc>
          <w:tcPr>
            <w:tcW w:w="24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902,503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Merger-related expenses</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Salaries and employee benefits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c>
          <w:tcPr>
            <w:tcW w:w="260" w:type="dxa"/>
            <w:vAlign w:val="bottom"/>
          </w:tcPr>
          <w:p>
            <w:pPr>
              <w:spacing w:after="0"/>
              <w:rPr>
                <w:sz w:val="12"/>
                <w:szCs w:val="12"/>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Equipment and net occupancy</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Outside data processing and software</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244</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Advertising and marketing</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Printing, postage and supplies</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2,049</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Other costs of operations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6,905</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1,572</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9,951</w:t>
            </w: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Other expense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8,826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3,893</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9,951</w:t>
            </w:r>
          </w:p>
        </w:tc>
        <w:tc>
          <w:tcPr>
            <w:tcW w:w="24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Efficiency ratio</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Noninterest operating expense (numerator)</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887,770</w:t>
            </w:r>
          </w:p>
        </w:tc>
        <w:tc>
          <w:tcPr>
            <w:tcW w:w="26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858,715</w:t>
            </w:r>
          </w:p>
        </w:tc>
        <w:tc>
          <w:tcPr>
            <w:tcW w:w="26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906,755</w:t>
            </w:r>
          </w:p>
        </w:tc>
        <w:tc>
          <w:tcPr>
            <w:tcW w:w="2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841,879</w:t>
            </w:r>
          </w:p>
        </w:tc>
        <w:tc>
          <w:tcPr>
            <w:tcW w:w="26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822,860</w:t>
            </w:r>
          </w:p>
        </w:tc>
        <w:tc>
          <w:tcPr>
            <w:tcW w:w="26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803,129</w:t>
            </w:r>
          </w:p>
        </w:tc>
        <w:tc>
          <w:tcPr>
            <w:tcW w:w="240" w:type="dxa"/>
            <w:vAlign w:val="bottom"/>
            <w:tcBorders>
              <w:bottom w:val="single" w:sz="8" w:color="CFF0FC"/>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902,503</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Taxable-equivalent net interest income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970,953</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946,072</w:t>
            </w: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985,128</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993,252</w:t>
            </w: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947,114</w:t>
            </w: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961,371</w:t>
            </w: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981,868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Other income</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569,126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513,633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505,598</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551,250</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520,561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487,273</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529,360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Less: Gain (loss) on bank investment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FF0FC"/>
          </w:tcPr>
          <w:p>
            <w:pPr>
              <w:ind w:left="80"/>
              <w:spacing w:after="0"/>
              <w:rPr>
                <w:sz w:val="20"/>
                <w:szCs w:val="20"/>
                <w:color w:val="auto"/>
              </w:rPr>
            </w:pPr>
            <w:r>
              <w:rPr>
                <w:rFonts w:ascii="Arial" w:cs="Arial" w:eastAsia="Arial" w:hAnsi="Arial"/>
                <w:sz w:val="13"/>
                <w:szCs w:val="13"/>
                <w:color w:val="auto"/>
              </w:rPr>
              <w:t>securities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(10,655)</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(12,282)</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1,619</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2,773</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6,969</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(20,782)</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Denominator</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1,539,788</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1,470,360</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1,503,008</w:t>
            </w:r>
          </w:p>
        </w:tc>
        <w:tc>
          <w:tcPr>
            <w:tcW w:w="24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1,542,883</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1,464,902</w:t>
            </w:r>
          </w:p>
        </w:tc>
        <w:tc>
          <w:tcPr>
            <w:tcW w:w="2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1,441,675</w:t>
            </w:r>
          </w:p>
        </w:tc>
        <w:tc>
          <w:tcPr>
            <w:tcW w:w="24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1,532,010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Efficiency ratio</w:t>
            </w:r>
          </w:p>
        </w:tc>
        <w:tc>
          <w:tcPr>
            <w:tcW w:w="1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57.7%</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58.4%</w:t>
            </w:r>
          </w:p>
        </w:tc>
        <w:tc>
          <w:tcPr>
            <w:tcW w:w="10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60.3%</w:t>
            </w:r>
          </w:p>
        </w:tc>
        <w:tc>
          <w:tcPr>
            <w:tcW w:w="110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54.6%</w:t>
            </w:r>
          </w:p>
        </w:tc>
        <w:tc>
          <w:tcPr>
            <w:tcW w:w="110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56.2%</w:t>
            </w:r>
          </w:p>
        </w:tc>
        <w:tc>
          <w:tcPr>
            <w:tcW w:w="10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55.7%</w:t>
            </w:r>
          </w:p>
        </w:tc>
        <w:tc>
          <w:tcPr>
            <w:tcW w:w="9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Average assets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Average assets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154,037</w:t>
            </w:r>
          </w:p>
        </w:tc>
        <w:tc>
          <w:tcPr>
            <w:tcW w:w="260" w:type="dxa"/>
            <w:vAlign w:val="bottom"/>
          </w:tcPr>
          <w:p>
            <w:pPr>
              <w:spacing w:after="0"/>
              <w:rPr>
                <w:sz w:val="12"/>
                <w:szCs w:val="12"/>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150,641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148,157</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144,563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140,181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136,446</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120,585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(4,593)</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(4,593)</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(10)</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(16)</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(19)</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149,439</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146,041</w:t>
            </w:r>
          </w:p>
        </w:tc>
        <w:tc>
          <w:tcPr>
            <w:tcW w:w="2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143,554</w:t>
            </w:r>
          </w:p>
        </w:tc>
        <w:tc>
          <w:tcPr>
            <w:tcW w:w="2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139,958</w:t>
            </w:r>
          </w:p>
        </w:tc>
        <w:tc>
          <w:tcPr>
            <w:tcW w:w="2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135,574</w:t>
            </w:r>
          </w:p>
        </w:tc>
        <w:tc>
          <w:tcPr>
            <w:tcW w:w="2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131,836</w:t>
            </w:r>
          </w:p>
        </w:tc>
        <w:tc>
          <w:tcPr>
            <w:tcW w:w="24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115,972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Average common equity</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Average total equity</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17,109</w:t>
            </w:r>
          </w:p>
        </w:tc>
        <w:tc>
          <w:tcPr>
            <w:tcW w:w="260" w:type="dxa"/>
            <w:vAlign w:val="bottom"/>
          </w:tcPr>
          <w:p>
            <w:pPr>
              <w:spacing w:after="0"/>
              <w:rPr>
                <w:sz w:val="12"/>
                <w:szCs w:val="12"/>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16,571</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16,327</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16,213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16,073</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15,953</w:t>
            </w: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(1,495)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(1,250)</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(1,250)</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(1,250)</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(1,250)</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(1,250)</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42"/>
        </w:trPr>
        <w:tc>
          <w:tcPr>
            <w:tcW w:w="3540" w:type="dxa"/>
            <w:vAlign w:val="bottom"/>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15,614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15,321</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15,077</w:t>
            </w:r>
          </w:p>
        </w:tc>
        <w:tc>
          <w:tcPr>
            <w:tcW w:w="24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14,963</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14,823</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14,703</w:t>
            </w:r>
          </w:p>
        </w:tc>
        <w:tc>
          <w:tcPr>
            <w:tcW w:w="2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(4,593)</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(4,593)</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(10)</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(16)</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(19)</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4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11,016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10,721</w:t>
            </w:r>
          </w:p>
        </w:tc>
        <w:tc>
          <w:tcPr>
            <w:tcW w:w="2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10,474</w:t>
            </w:r>
          </w:p>
        </w:tc>
        <w:tc>
          <w:tcPr>
            <w:tcW w:w="24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10,358</w:t>
            </w:r>
          </w:p>
        </w:tc>
        <w:tc>
          <w:tcPr>
            <w:tcW w:w="2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10,216</w:t>
            </w:r>
          </w:p>
        </w:tc>
        <w:tc>
          <w:tcPr>
            <w:tcW w:w="2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10,093</w:t>
            </w:r>
          </w:p>
        </w:tc>
        <w:tc>
          <w:tcPr>
            <w:tcW w:w="24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9,857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At end of quarter</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151,901</w:t>
            </w:r>
          </w:p>
        </w:tc>
        <w:tc>
          <w:tcPr>
            <w:tcW w:w="2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150,623</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150,481</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142,601</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138,627</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139,537</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124,578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(4,593)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(4,593)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8"/>
        </w:trPr>
        <w:tc>
          <w:tcPr>
            <w:tcW w:w="35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147,304</w:t>
            </w: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146,023</w:t>
            </w:r>
          </w:p>
        </w:tc>
        <w:tc>
          <w:tcPr>
            <w:tcW w:w="2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145,879</w:t>
            </w:r>
          </w:p>
        </w:tc>
        <w:tc>
          <w:tcPr>
            <w:tcW w:w="2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137,998</w:t>
            </w:r>
          </w:p>
        </w:tc>
        <w:tc>
          <w:tcPr>
            <w:tcW w:w="2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134,021</w:t>
            </w:r>
          </w:p>
        </w:tc>
        <w:tc>
          <w:tcPr>
            <w:tcW w:w="2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134,928</w:t>
            </w: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119,966</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Total equity</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17,529</w:t>
            </w:r>
          </w:p>
        </w:tc>
        <w:tc>
          <w:tcPr>
            <w:tcW w:w="2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16,720</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16,447</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16,187</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16,101</w:t>
            </w: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15,945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(1,750)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(1,250)</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(1,250)</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(1,250)</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(1,250)</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(1,250)</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42"/>
        </w:trPr>
        <w:tc>
          <w:tcPr>
            <w:tcW w:w="354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Common equity</w:t>
            </w: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15,779</w:t>
            </w:r>
          </w:p>
        </w:tc>
        <w:tc>
          <w:tcPr>
            <w:tcW w:w="2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15,470</w:t>
            </w:r>
          </w:p>
        </w:tc>
        <w:tc>
          <w:tcPr>
            <w:tcW w:w="2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15,197</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14,937</w:t>
            </w:r>
          </w:p>
        </w:tc>
        <w:tc>
          <w:tcPr>
            <w:tcW w:w="2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14,851</w:t>
            </w:r>
          </w:p>
        </w:tc>
        <w:tc>
          <w:tcPr>
            <w:tcW w:w="2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14,695</w:t>
            </w:r>
          </w:p>
        </w:tc>
        <w:tc>
          <w:tcPr>
            <w:tcW w:w="2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14,566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(4,593)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(4,593)</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(4,593)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354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(9)</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8"/>
        </w:trPr>
        <w:tc>
          <w:tcPr>
            <w:tcW w:w="35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11,182</w:t>
            </w:r>
          </w:p>
        </w:tc>
        <w:tc>
          <w:tcPr>
            <w:tcW w:w="2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10,870</w:t>
            </w:r>
          </w:p>
        </w:tc>
        <w:tc>
          <w:tcPr>
            <w:tcW w:w="2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10,595</w:t>
            </w:r>
          </w:p>
        </w:tc>
        <w:tc>
          <w:tcPr>
            <w:tcW w:w="2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10,334</w:t>
            </w:r>
          </w:p>
        </w:tc>
        <w:tc>
          <w:tcPr>
            <w:tcW w:w="2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10,245</w:t>
            </w:r>
          </w:p>
        </w:tc>
        <w:tc>
          <w:tcPr>
            <w:tcW w:w="2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10,086</w:t>
            </w: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9,954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-98425</wp:posOffset>
            </wp:positionV>
            <wp:extent cx="48088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08855"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22"/>
        </w:trPr>
        <w:tc>
          <w:tcPr>
            <w:tcW w:w="7580" w:type="dxa"/>
            <w:vAlign w:val="bottom"/>
            <w:gridSpan w:val="14"/>
          </w:tcPr>
          <w:p>
            <w:pPr>
              <w:spacing w:after="0"/>
              <w:rPr>
                <w:sz w:val="20"/>
                <w:szCs w:val="20"/>
                <w:color w:val="auto"/>
              </w:rPr>
            </w:pPr>
            <w:r>
              <w:rPr>
                <w:rFonts w:ascii="Arial" w:cs="Arial" w:eastAsia="Arial" w:hAnsi="Arial"/>
                <w:sz w:val="20"/>
                <w:szCs w:val="20"/>
                <w:color w:val="auto"/>
                <w:w w:val="99"/>
              </w:rPr>
              <w:t>AVERAGE BALANCE SHEETS AND ANNUALIZED TAXABLE-EQUIVALENT RATES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left="379"/>
              <w:spacing w:after="0"/>
              <w:rPr>
                <w:sz w:val="20"/>
                <w:szCs w:val="20"/>
                <w:color w:val="auto"/>
              </w:rPr>
            </w:pPr>
            <w:r>
              <w:rPr>
                <w:rFonts w:ascii="Arial" w:cs="Arial" w:eastAsia="Arial" w:hAnsi="Arial"/>
                <w:sz w:val="14"/>
                <w:szCs w:val="14"/>
                <w:b w:val="1"/>
                <w:bCs w:val="1"/>
                <w:color w:val="auto"/>
                <w:w w:val="97"/>
              </w:rPr>
              <w:t>2021 Third Quarter</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2021 Second Quarter</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2021 First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920" w:type="dxa"/>
            <w:vAlign w:val="bottom"/>
            <w:gridSpan w:val="3"/>
            <w:vMerge w:val="continue"/>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86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1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i w:val="1"/>
                <w:iCs w:val="1"/>
                <w:color w:val="auto"/>
              </w:rPr>
              <w:t>Average balance in millions; interest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$ 236,820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27,055</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219,686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27,723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240,961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20" w:type="dxa"/>
            <w:vAlign w:val="bottom"/>
            <w:gridSpan w:val="2"/>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37,547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371,150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37,419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371,050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37,609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391,094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146,898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17,022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150,704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154,219</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17,658</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193,256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17,114</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189,254</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16,620</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190,038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95,314</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948,124</w:t>
            </w:r>
          </w:p>
        </w:tc>
        <w:tc>
          <w:tcPr>
            <w:tcW w:w="2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98,610</w:t>
            </w:r>
          </w:p>
        </w:tc>
        <w:tc>
          <w:tcPr>
            <w:tcW w:w="2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930,694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99,356</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976,312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39,036</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14,922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32,081</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8,711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27,666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6,874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gridSpan w:val="2"/>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5,352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30,362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5,525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31,621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5,920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34,094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6,019</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33,258</w:t>
            </w:r>
          </w:p>
        </w:tc>
        <w:tc>
          <w:tcPr>
            <w:tcW w:w="2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6,211</w:t>
            </w:r>
          </w:p>
        </w:tc>
        <w:tc>
          <w:tcPr>
            <w:tcW w:w="2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34,469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6,605</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37,129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140,420</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996,649</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136,951</w:t>
            </w:r>
          </w:p>
        </w:tc>
        <w:tc>
          <w:tcPr>
            <w:tcW w:w="22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974,090</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134,355</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1,020,695</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(1,577)</w:t>
            </w: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(1,642)</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(1,744)</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1,480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13,714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13,923</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14,138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22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154,037</w:t>
            </w:r>
          </w:p>
        </w:tc>
        <w:tc>
          <w:tcPr>
            <w:tcW w:w="2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5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150,641</w:t>
            </w:r>
          </w:p>
        </w:tc>
        <w:tc>
          <w:tcPr>
            <w:tcW w:w="220" w:type="dxa"/>
            <w:vAlign w:val="bottom"/>
            <w:tcBorders>
              <w:bottom w:val="single" w:sz="8" w:color="CFF0FC"/>
            </w:tcBorders>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148,157</w:t>
            </w:r>
          </w:p>
        </w:tc>
        <w:tc>
          <w:tcPr>
            <w:tcW w:w="2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gridSpan w:val="2"/>
          </w:tcPr>
          <w:p>
            <w:pPr>
              <w:ind w:left="26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gridSpan w:val="2"/>
          </w:tcPr>
          <w:p>
            <w:pPr>
              <w:ind w:left="38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70,976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71,561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8,052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70,458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11,504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74,037</w:t>
            </w:r>
          </w:p>
        </w:tc>
        <w:tc>
          <w:tcPr>
            <w:tcW w:w="2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10,573</w:t>
            </w:r>
          </w:p>
        </w:tc>
        <w:tc>
          <w:tcPr>
            <w:tcW w:w="2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74,969</w:t>
            </w:r>
          </w:p>
        </w:tc>
        <w:tc>
          <w:tcPr>
            <w:tcW w:w="22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13,152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74,873</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3,431</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15,121</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3,429</w:t>
            </w: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14,864</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3,851</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16,866</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2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77,559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25,696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78,459</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28,018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78,786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35,567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57,218</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53,444</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50,860</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22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136,928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134,070</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131,830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17,109</w:t>
            </w:r>
          </w:p>
        </w:tc>
        <w:tc>
          <w:tcPr>
            <w:tcW w:w="22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16,571</w:t>
            </w:r>
          </w:p>
        </w:tc>
        <w:tc>
          <w:tcPr>
            <w:tcW w:w="220" w:type="dxa"/>
            <w:vAlign w:val="bottom"/>
            <w:tcBorders>
              <w:bottom w:val="single" w:sz="8" w:color="CFF0FC"/>
            </w:tcBorders>
          </w:tcPr>
          <w:p>
            <w:pPr>
              <w:spacing w:after="0"/>
              <w:rPr>
                <w:sz w:val="17"/>
                <w:szCs w:val="17"/>
                <w:color w:val="auto"/>
              </w:rPr>
            </w:pPr>
          </w:p>
        </w:tc>
        <w:tc>
          <w:tcPr>
            <w:tcW w:w="6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16,327</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 and</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Borders>
              <w:bottom w:val="single" w:sz="8" w:color="CFF0FC"/>
            </w:tcBorders>
            <w:gridSpan w:val="2"/>
            <w:shd w:val="clear" w:color="auto" w:fill="CFF0FC"/>
          </w:tcPr>
          <w:p>
            <w:pPr>
              <w:ind w:left="660"/>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154,037</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150,641</w:t>
            </w: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148,157</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20" w:type="dxa"/>
            <w:vAlign w:val="bottom"/>
            <w:gridSpan w:val="2"/>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$ 970,953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946,072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985,128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3 (continued)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AVERAGE BALANCE SHEETS AND ANNUALIZED TAXABLE-EQUIVALENT RATES (continued)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13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2020 Fourth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7"/>
              </w:rPr>
              <w:t>2020 Third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0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180"/>
              <w:spacing w:after="0"/>
              <w:rPr>
                <w:sz w:val="20"/>
                <w:szCs w:val="20"/>
                <w:color w:val="auto"/>
              </w:rPr>
            </w:pPr>
            <w:r>
              <w:rPr>
                <w:rFonts w:ascii="Arial" w:cs="Arial" w:eastAsia="Arial" w:hAnsi="Arial"/>
                <w:sz w:val="16"/>
                <w:szCs w:val="16"/>
                <w:color w:val="auto"/>
              </w:rPr>
              <w:t>discount (a)</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27,713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247,847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28,333</w:t>
            </w:r>
          </w:p>
        </w:tc>
        <w:tc>
          <w:tcPr>
            <w:tcW w:w="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217,171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720" w:type="dxa"/>
            <w:vAlign w:val="bottom"/>
          </w:tcPr>
          <w:p>
            <w:pPr>
              <w:jc w:val="right"/>
              <w:spacing w:after="0"/>
              <w:rPr>
                <w:sz w:val="20"/>
                <w:szCs w:val="20"/>
                <w:color w:val="auto"/>
              </w:rPr>
            </w:pPr>
            <w:r>
              <w:rPr>
                <w:rFonts w:ascii="Arial" w:cs="Arial" w:eastAsia="Arial" w:hAnsi="Arial"/>
                <w:sz w:val="16"/>
                <w:szCs w:val="16"/>
                <w:color w:val="auto"/>
              </w:rPr>
              <w:t>37,707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400,176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37,243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398,619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149,218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16,558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152,594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16,485</w:t>
            </w:r>
          </w:p>
        </w:tc>
        <w:tc>
          <w:tcPr>
            <w:tcW w:w="2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197,992</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192,223</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98,666</w:t>
            </w:r>
          </w:p>
        </w:tc>
        <w:tc>
          <w:tcPr>
            <w:tcW w:w="2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995,233</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98,210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960,607</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720" w:type="dxa"/>
            <w:vAlign w:val="bottom"/>
          </w:tcPr>
          <w:p>
            <w:pPr>
              <w:jc w:val="right"/>
              <w:spacing w:after="0"/>
              <w:rPr>
                <w:sz w:val="20"/>
                <w:szCs w:val="20"/>
                <w:color w:val="auto"/>
              </w:rPr>
            </w:pPr>
            <w:r>
              <w:rPr>
                <w:rFonts w:ascii="Arial" w:cs="Arial" w:eastAsia="Arial" w:hAnsi="Arial"/>
                <w:sz w:val="16"/>
                <w:szCs w:val="16"/>
                <w:color w:val="auto"/>
              </w:rPr>
              <w:t>22,206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5,648</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16,440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4,163</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5,113</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Trading account</w:t>
            </w: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720" w:type="dxa"/>
            <w:vAlign w:val="bottom"/>
          </w:tcPr>
          <w:p>
            <w:pPr>
              <w:jc w:val="right"/>
              <w:spacing w:after="0"/>
              <w:rPr>
                <w:sz w:val="20"/>
                <w:szCs w:val="20"/>
                <w:color w:val="auto"/>
              </w:rPr>
            </w:pPr>
            <w:r>
              <w:rPr>
                <w:rFonts w:ascii="Arial" w:cs="Arial" w:eastAsia="Arial" w:hAnsi="Arial"/>
                <w:sz w:val="16"/>
                <w:szCs w:val="16"/>
                <w:color w:val="auto"/>
              </w:rPr>
              <w:t>6,497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37,768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37,157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2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7,195</w:t>
            </w:r>
          </w:p>
        </w:tc>
        <w:tc>
          <w:tcPr>
            <w:tcW w:w="2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40,637</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7,876</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38,594</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131,916</w:t>
            </w:r>
          </w:p>
        </w:tc>
        <w:tc>
          <w:tcPr>
            <w:tcW w:w="28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1,042,862</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127,689</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1,005,180</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(1,768)</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(1,649)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720" w:type="dxa"/>
            <w:vAlign w:val="bottom"/>
          </w:tcPr>
          <w:p>
            <w:pPr>
              <w:jc w:val="right"/>
              <w:spacing w:after="0"/>
              <w:rPr>
                <w:sz w:val="20"/>
                <w:szCs w:val="20"/>
                <w:color w:val="auto"/>
              </w:rPr>
            </w:pPr>
            <w:r>
              <w:rPr>
                <w:rFonts w:ascii="Arial" w:cs="Arial" w:eastAsia="Arial" w:hAnsi="Arial"/>
                <w:sz w:val="16"/>
                <w:szCs w:val="16"/>
                <w:color w:val="auto"/>
              </w:rPr>
              <w:t>1,372</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13,043</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720" w:type="dxa"/>
            <w:vAlign w:val="bottom"/>
          </w:tcPr>
          <w:p>
            <w:pPr>
              <w:jc w:val="right"/>
              <w:spacing w:after="0"/>
              <w:rPr>
                <w:sz w:val="20"/>
                <w:szCs w:val="20"/>
                <w:color w:val="auto"/>
              </w:rPr>
            </w:pPr>
            <w:r>
              <w:rPr>
                <w:rFonts w:ascii="Arial" w:cs="Arial" w:eastAsia="Arial" w:hAnsi="Arial"/>
                <w:sz w:val="16"/>
                <w:szCs w:val="16"/>
                <w:color w:val="auto"/>
              </w:rPr>
              <w:t>144,563</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140,181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7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6"/>
                <w:szCs w:val="16"/>
                <w:color w:val="auto"/>
              </w:rPr>
              <w:t>Savings and interest-checking deposits</w:t>
            </w:r>
          </w:p>
        </w:tc>
        <w:tc>
          <w:tcPr>
            <w:tcW w:w="720" w:type="dxa"/>
            <w:vAlign w:val="bottom"/>
          </w:tcPr>
          <w:p>
            <w:pPr>
              <w:jc w:val="right"/>
              <w:spacing w:after="0"/>
              <w:rPr>
                <w:sz w:val="20"/>
                <w:szCs w:val="20"/>
                <w:color w:val="auto"/>
              </w:rPr>
            </w:pPr>
            <w:r>
              <w:rPr>
                <w:rFonts w:ascii="Arial" w:cs="Arial" w:eastAsia="Arial" w:hAnsi="Arial"/>
                <w:sz w:val="16"/>
                <w:szCs w:val="16"/>
                <w:color w:val="auto"/>
              </w:rPr>
              <w:t>69,133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19,841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65,848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22,403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14,519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74,072</w:t>
            </w:r>
          </w:p>
        </w:tc>
        <w:tc>
          <w:tcPr>
            <w:tcW w:w="2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30,080</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71,520</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37,163</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6"/>
                <w:szCs w:val="16"/>
                <w:color w:val="auto"/>
              </w:rPr>
              <w:t>Short-term borrowings</w:t>
            </w: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5,294</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19,528</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20,902</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2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720" w:type="dxa"/>
            <w:vAlign w:val="bottom"/>
          </w:tcPr>
          <w:p>
            <w:pPr>
              <w:jc w:val="right"/>
              <w:spacing w:after="0"/>
              <w:rPr>
                <w:sz w:val="20"/>
                <w:szCs w:val="20"/>
                <w:color w:val="auto"/>
              </w:rPr>
            </w:pPr>
            <w:r>
              <w:rPr>
                <w:rFonts w:ascii="Arial" w:cs="Arial" w:eastAsia="Arial" w:hAnsi="Arial"/>
                <w:sz w:val="16"/>
                <w:szCs w:val="16"/>
                <w:color w:val="auto"/>
              </w:rPr>
              <w:t>79,430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49,610</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77,081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58,066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46,904</w:t>
            </w:r>
          </w:p>
        </w:tc>
        <w:tc>
          <w:tcPr>
            <w:tcW w:w="2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44,786</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2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128,350</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124,108</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16,213</w:t>
            </w:r>
          </w:p>
        </w:tc>
        <w:tc>
          <w:tcPr>
            <w:tcW w:w="28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16,073</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144,563</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140,181</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interest spread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6"/>
                <w:szCs w:val="16"/>
                <w:color w:val="auto"/>
              </w:rPr>
              <w:t>2.83</w:t>
            </w: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Arial" w:cs="Arial" w:eastAsia="Arial" w:hAnsi="Arial"/>
                <w:sz w:val="16"/>
                <w:szCs w:val="16"/>
                <w:color w:val="auto"/>
              </w:rPr>
              <w:t>Net interest income/margin on earning assets</w:t>
            </w:r>
          </w:p>
        </w:tc>
        <w:tc>
          <w:tcPr>
            <w:tcW w:w="7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993,252</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947,114</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1" w:name="page92"/>
    <w:bookmarkEnd w:id="91"/>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46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10" w:lineRule="exact"/>
        <w:rPr>
          <w:sz w:val="20"/>
          <w:szCs w:val="20"/>
          <w:color w:val="auto"/>
        </w:rPr>
      </w:pPr>
    </w:p>
    <w:p>
      <w:pPr>
        <w:jc w:val="both"/>
        <w:ind w:firstLine="476"/>
        <w:spacing w:after="0" w:line="249" w:lineRule="auto"/>
        <w:tabs>
          <w:tab w:leader="none" w:pos="786" w:val="left"/>
        </w:tabs>
        <w:numPr>
          <w:ilvl w:val="0"/>
          <w:numId w:val="33"/>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September 30, 2021.</w:t>
      </w:r>
    </w:p>
    <w:p>
      <w:pPr>
        <w:spacing w:after="0" w:line="212" w:lineRule="exact"/>
        <w:rPr>
          <w:rFonts w:ascii="Arial" w:cs="Arial" w:eastAsia="Arial" w:hAnsi="Arial"/>
          <w:sz w:val="21"/>
          <w:szCs w:val="21"/>
          <w:color w:val="auto"/>
        </w:rPr>
      </w:pPr>
    </w:p>
    <w:p>
      <w:pPr>
        <w:jc w:val="both"/>
        <w:ind w:firstLine="476"/>
        <w:spacing w:after="0" w:line="247" w:lineRule="auto"/>
        <w:tabs>
          <w:tab w:leader="none" w:pos="806" w:val="left"/>
        </w:tabs>
        <w:numPr>
          <w:ilvl w:val="0"/>
          <w:numId w:val="33"/>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2021 that have materially affected, or are reasonably likely to materially affect, M&amp;T’s internal control over financial reporting.</w:t>
      </w:r>
    </w:p>
    <w:p>
      <w:pPr>
        <w:spacing w:after="0" w:line="215"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emergence of the COVID-19 pandemic during the first quarter of 2020 necessitated the execution of several M&amp;T contingency plans. Beginning in March 2020 and continuing through this filing date, the Company had a substantial number of its employees working remotely under such contingency plans.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10"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97"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In addition to the risk factors disclosed in response to Item 1A to Part I of M&amp;T’s Form 10-K for the year ended December 31, 2020, M&amp;T has identified certain supplemental risk factors relating to M&amp;T’s acquisition of People’s United Financial, Inc. (“People’s United”) pursuant to an agreement and plan of merger, dated February 21, 2021, by and among M&amp;T, Bridge Merger Corp., a direct, wholly owned subsidiary of M&amp;T, and People’s United (the “merger agreement” and, such transaction, the “merger”). These risk factors and other risks associated with the merger are more fully discussed in the joint proxy statement/prospectus in connection with the merger that was filed by M&amp;T with the Securities and Exchange Commission on April 23,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2" w:name="page93"/>
    <w:bookmarkEnd w:id="92"/>
    <w:p>
      <w:pPr>
        <w:ind w:left="580"/>
        <w:spacing w:after="0"/>
        <w:rPr>
          <w:sz w:val="20"/>
          <w:szCs w:val="20"/>
          <w:color w:val="auto"/>
        </w:rPr>
      </w:pPr>
      <w:r>
        <w:rPr>
          <w:rFonts w:ascii="Arial" w:cs="Arial" w:eastAsia="Arial" w:hAnsi="Arial"/>
          <w:sz w:val="21"/>
          <w:szCs w:val="21"/>
          <w:b w:val="1"/>
          <w:bCs w:val="1"/>
          <w:color w:val="auto"/>
        </w:rPr>
        <w:t>Risks Related to the Merger</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M&amp;T is expected to incur significant costs related to the merger and integration.</w:t>
      </w:r>
    </w:p>
    <w:p>
      <w:pPr>
        <w:spacing w:after="0" w:line="110"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20"/>
          <w:szCs w:val="20"/>
          <w:color w:val="auto"/>
        </w:rPr>
        <w:t>M&amp;T has incurred and expects to incur significant, non-recurring costs in connection with negotiating the merger agreement and closing the merger. In addition, M&amp;T will incur integration costs following the completion of the merger as M&amp;T integrates the People’s United business, including facilities and systems consolidation costs and employment-related costs.</w:t>
      </w:r>
    </w:p>
    <w:p>
      <w:pPr>
        <w:spacing w:after="0" w:line="58" w:lineRule="exact"/>
        <w:rPr>
          <w:sz w:val="20"/>
          <w:szCs w:val="20"/>
          <w:color w:val="auto"/>
        </w:rPr>
      </w:pPr>
    </w:p>
    <w:p>
      <w:pPr>
        <w:jc w:val="both"/>
        <w:ind w:firstLine="562"/>
        <w:spacing w:after="0" w:line="262" w:lineRule="auto"/>
        <w:rPr>
          <w:sz w:val="20"/>
          <w:szCs w:val="20"/>
          <w:color w:val="auto"/>
        </w:rPr>
      </w:pPr>
      <w:r>
        <w:rPr>
          <w:rFonts w:ascii="Arial" w:cs="Arial" w:eastAsia="Arial" w:hAnsi="Arial"/>
          <w:sz w:val="20"/>
          <w:szCs w:val="20"/>
          <w:color w:val="auto"/>
        </w:rPr>
        <w:t>There can be no assurances that the expected benefits and efficiencies related to the integration of the businesses will be realized to offset these transaction and integration costs over time. M&amp;T may also incur additional costs to maintain employee morale and to retain key employees. M&amp;T will also incur significant legal, financial advisory, accounting, banking and consulting fees, fees relating to regulatory filings and notices, SEC filing fees, printing and mailing fees and other costs associated with the merger. Some of these costs are payable regardless of whether the merger is completed.</w:t>
      </w:r>
    </w:p>
    <w:p>
      <w:pPr>
        <w:spacing w:after="0" w:line="68"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21"/>
          <w:szCs w:val="21"/>
          <w:b w:val="1"/>
          <w:bCs w:val="1"/>
          <w:i w:val="1"/>
          <w:iCs w:val="1"/>
          <w:color w:val="auto"/>
        </w:rPr>
        <w:t>Combining M&amp;T and People’s United may be more difficult, costly or time-consuming than expected, and M&amp;T may fail to realize the anticipated benefits of the merger.</w:t>
      </w:r>
    </w:p>
    <w:p>
      <w:pPr>
        <w:spacing w:after="0" w:line="63"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The success of the merger will depend, in part, on the ability to realize the anticipated cost savings from combining the businesses of M&amp;T and People’s United. To realize the anticipated benefits and cost savings from the merger M&amp;T and People’s United must integrate and combine their businesses in a manner that permits cost savings to be realized, without adversely affecting revenues and future growth. If M&amp;T and People’s United are not able to successfully achieve these objectives, the anticipated benefits of the merger may not be realized fully or at all or may take longer to realize than expected. In addition, the actual cost savings of the merger could be less than anticipated, and integration may result in additional and unforeseen expenses.</w:t>
      </w:r>
    </w:p>
    <w:p>
      <w:pPr>
        <w:spacing w:after="0" w:line="53"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21"/>
          <w:szCs w:val="21"/>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levels of expenses and operating results of M&amp;T following the completion of the merger, which may adversely affect the value of M&amp;T’s common stock following the completion of the merger.</w:t>
      </w:r>
    </w:p>
    <w:p>
      <w:pPr>
        <w:spacing w:after="0" w:line="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9"/>
          <w:szCs w:val="19"/>
          <w:color w:val="auto"/>
        </w:rPr>
        <w:t>M&amp;T and People’s United have operated and, until the completion of the merger, must continue to operate, independently. It is possible that the integration process could result in the loss of key employees, the disruption of each company’s ongoing businesses or inconsistencies in standards, controls, procedures and policies that adversely affect the companies’ abilities to maintain relationships with clients, customers, depositors and employees or to achieve the anticipated benefits and cost savings of the merger. Integration efforts between the two companies may also divert management attention and resources. These integration matters could have an adverse effect on M&amp;T during this transition period and for an undetermined period after completion of the merger.</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M&amp;T may be unable to retain M&amp;T and/or People’s United personnel successfully after the merger is completed.</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9"/>
          <w:szCs w:val="19"/>
          <w:color w:val="auto"/>
        </w:rPr>
        <w:t>The success of the merger will depend in part on M&amp;T’s ability to retain the talents and dedication of key employees currently employed by M&amp;T and People’s United. It is possible that these employees may decide not to remain with M&amp;T or People’s United, as applicable, while the merger is pending or with M&amp;T after the merger is completed. If M&amp;T and People’s United are unable to retain key employees, including management, who are critical to the successful integration and future operations of the companies, M&amp;T and People’s United could face disruptions in their operations, loss of existing customers, loss of key information, expertise or know-how and unanticipated additional recruitment costs. In addition, following the merger, if key employees terminate their employment, M&amp;T’s business activities may be adversely affected, and management’s attention may be diverted from successfully integrating M&amp;T and People’s United to hiring suitable replacements, all of which may cause M&amp;T’s business to suffer. In addition, M&amp;T and People’s United may not be able to locate or retain suitable replacements for any key employees who leave either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93" w:name="page94"/>
    <w:bookmarkEnd w:id="93"/>
    <w:p>
      <w:pPr>
        <w:ind w:left="580"/>
        <w:spacing w:after="0"/>
        <w:rPr>
          <w:sz w:val="20"/>
          <w:szCs w:val="20"/>
          <w:color w:val="auto"/>
        </w:rPr>
      </w:pPr>
      <w:r>
        <w:rPr>
          <w:rFonts w:ascii="Arial" w:cs="Arial" w:eastAsia="Arial" w:hAnsi="Arial"/>
          <w:sz w:val="21"/>
          <w:szCs w:val="21"/>
          <w:b w:val="1"/>
          <w:bCs w:val="1"/>
          <w:i w:val="1"/>
          <w:iCs w:val="1"/>
          <w:color w:val="auto"/>
        </w:rPr>
        <w:t>The COVID-19 pandemic may delay and adversely affect the completion of the merger</w:t>
      </w:r>
      <w:r>
        <w:rPr>
          <w:rFonts w:ascii="Arial" w:cs="Arial" w:eastAsia="Arial" w:hAnsi="Arial"/>
          <w:sz w:val="21"/>
          <w:szCs w:val="21"/>
          <w:b w:val="1"/>
          <w:bCs w:val="1"/>
          <w:color w:val="auto"/>
        </w:rPr>
        <w:t>.</w:t>
      </w:r>
    </w:p>
    <w:p>
      <w:pPr>
        <w:spacing w:after="0" w:line="116"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21"/>
          <w:szCs w:val="21"/>
          <w:color w:val="auto"/>
        </w:rPr>
        <w:t>The Coronavirus Disease 2019 (“COVID-19”) pandemic has created economic and financial disruptions that have adversely affected, and are likely to continue to adversely affect, the business, financial condition, liquidity, capital and results of operations of M&amp;T and People’s United. If the effects of the COVID-19 pandemic cause a continued or extended decline in the economic environment and the financial results of M&amp;T or People’s United, or the business operations of M&amp;T or People’s United are further disrupted as a result of the COVID-19 pandemic, efforts to complete the merger and integrate the businesses of M&amp;T and People’s United may also be delayed and adversely affected. Additional time may be required to obtain the requisite regulatory approval, and the Board of Governors of the Federal Reserve System (the “Federal Reserve Board”) may impose additional requirements on M&amp;T or People’s United that must be satisfied prior to completion of the merger, which could delay and adversely affect the completion of the merger.</w:t>
      </w:r>
    </w:p>
    <w:p>
      <w:pPr>
        <w:spacing w:after="0" w:line="85" w:lineRule="exact"/>
        <w:rPr>
          <w:sz w:val="20"/>
          <w:szCs w:val="20"/>
          <w:color w:val="auto"/>
        </w:rPr>
      </w:pPr>
    </w:p>
    <w:p>
      <w:pPr>
        <w:jc w:val="both"/>
        <w:ind w:right="20" w:firstLine="562"/>
        <w:spacing w:after="0" w:line="317" w:lineRule="auto"/>
        <w:rPr>
          <w:sz w:val="20"/>
          <w:szCs w:val="20"/>
          <w:color w:val="auto"/>
        </w:rPr>
      </w:pPr>
      <w:r>
        <w:rPr>
          <w:rFonts w:ascii="Arial" w:cs="Arial" w:eastAsia="Arial" w:hAnsi="Arial"/>
          <w:sz w:val="19"/>
          <w:szCs w:val="19"/>
          <w:b w:val="1"/>
          <w:bCs w:val="1"/>
          <w:i w:val="1"/>
          <w:iCs w:val="1"/>
          <w:color w:val="auto"/>
        </w:rPr>
        <w:t>Regulatory approval from the Federal Reserve Board may not be received, may take longer than expected, or may impose conditions that are not presently anticipated or that could have an adverse effect on M&amp;T following the merger.</w:t>
      </w:r>
    </w:p>
    <w:p>
      <w:pPr>
        <w:spacing w:after="0" w:line="1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9"/>
          <w:szCs w:val="19"/>
          <w:color w:val="auto"/>
        </w:rPr>
        <w:t>Before the merger and the other transactions contemplated by the merger agreement may be completed, certain regulatory approvals must be obtained. Approvals from the New York State Department of Financial Services and the State of Connecticut Department of Banking, among other regulatory approvals, have been received but the transaction remains subject to approval from the Federal Reserve Board. That approval could be delayed or not obtained at all, including due to: an adverse development in either party’s regulatory standing or in any other factors considered by regulators when granting such approval, including factors not known at the present time and factors that may arise in the future; governmental, political or community group inquiries, investigations or opposition; or changes in legislation or the political environment generally. The Federal Reserve Board has stated that if material weaknesses are identified by examiners before a banking organization applies to engage in expansionary activity, the Federal Reserve Board will expect the banking organization to resolve all such weaknesses before applying for such expansionary activity. The Federal Reserve Board has also stated that if issues arise during the processing of an application for expansionary activity, it will expect the applicant banking organization to withdraw its application pending resolution of any supervisory concerns.</w:t>
      </w:r>
    </w:p>
    <w:p>
      <w:pPr>
        <w:spacing w:after="0" w:line="6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Any Federal Reserve Board approval, if granted, may impose terms and conditions, limitations, obligations or costs, or place restrictions on the conduct of M&amp;T’s business or require changes to the terms of the transactions contemplated by the merger agreement. There can be no assurance that the regulator will not impose any such conditions, limitations, obligations or restrictions and that such conditions, limitations, obligations or restrictions will not have the effect of delaying the completion of any of the transactions contemplated by the merger agreement, imposing additional material costs on or materially limiting the revenues of M&amp;T following the merger or otherwise reduce the anticipated benefits of the merger if the merger were consummated successfully within the expected timeframe. In addition, there can be no assurance that any such conditions, terms, obligations or restrictions will not result in the delay or abandonment of the merger. Additionally, the completion of the merger is conditioned on the absence of certain orders, injunctions or decrees by any court or regulatory agency of competent jurisdiction that would prohibit or make illegal the completion of any of the transactions contemplated by the merger agreement.</w:t>
      </w:r>
    </w:p>
    <w:p>
      <w:pPr>
        <w:spacing w:after="0" w:line="75" w:lineRule="exact"/>
        <w:rPr>
          <w:sz w:val="20"/>
          <w:szCs w:val="20"/>
          <w:color w:val="auto"/>
        </w:rPr>
      </w:pPr>
    </w:p>
    <w:p>
      <w:pPr>
        <w:jc w:val="both"/>
        <w:ind w:firstLine="562"/>
        <w:spacing w:after="0" w:line="247" w:lineRule="auto"/>
        <w:rPr>
          <w:sz w:val="20"/>
          <w:szCs w:val="20"/>
          <w:color w:val="auto"/>
        </w:rPr>
      </w:pPr>
      <w:r>
        <w:rPr>
          <w:rFonts w:ascii="Arial" w:cs="Arial" w:eastAsia="Arial" w:hAnsi="Arial"/>
          <w:sz w:val="21"/>
          <w:szCs w:val="21"/>
          <w:color w:val="auto"/>
        </w:rPr>
        <w:t>In addition, despite the parties’ commitments to use their reasonable best efforts to comply with conditions imposed by regulators, under the terms of the merger agreement, M&amp;T will not be required, and People’s United will not be permitted without M&amp;T’s prior written consent, to take actions or agree to conditions in connection with obtaining the foregoing permits, consents, approvals and authorizations of governmental entities that would reasonably be expected to have a material adverse effect on M&amp;T and its subsidiaries, taken as a whole, after giving effect to the merger.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Failure to complete the merger could negatively impact M&amp;T.</w:t>
      </w:r>
    </w:p>
    <w:p>
      <w:pPr>
        <w:spacing w:after="0" w:line="110"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color w:val="auto"/>
        </w:rPr>
        <w:t>If the merger is not completed for any reason, there may be various adverse consequences and M&amp;T may experience negative reactions from the financial markets and from its customers and employees. For example, M&amp;T’s business may have been impacted adversely by the failure to pursue other beneficial opportunities due to the focus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1"/>
          <w:szCs w:val="21"/>
          <w:color w:val="auto"/>
        </w:rPr>
        <w:t>management on the merger, without realizing any of the anticipated benefits of completing the merger. Additionally, if the merger agreement is terminated, the market price of M&amp;T common stock could decline to the extent that the current market price of M&amp;T common stock reflects a market assumption that the merger will be beneficial to M&amp;T and will be completed. M&amp;T could be subject to litigation related to any failure to complete the merger or to proceedings commenced against M&amp;T to perform its obligations under the merger agreement. If the merger agreement is terminated under certain circumstances, M&amp;T may be required to pay a termination fee of $280 million to People’s United.</w:t>
      </w:r>
    </w:p>
    <w:p>
      <w:pPr>
        <w:spacing w:after="0" w:line="81" w:lineRule="exact"/>
        <w:rPr>
          <w:sz w:val="20"/>
          <w:szCs w:val="20"/>
          <w:color w:val="auto"/>
        </w:rPr>
      </w:pPr>
    </w:p>
    <w:p>
      <w:pPr>
        <w:jc w:val="both"/>
        <w:ind w:firstLine="562"/>
        <w:spacing w:after="0" w:line="265" w:lineRule="auto"/>
        <w:rPr>
          <w:sz w:val="20"/>
          <w:szCs w:val="20"/>
          <w:color w:val="auto"/>
        </w:rPr>
      </w:pPr>
      <w:r>
        <w:rPr>
          <w:rFonts w:ascii="Arial" w:cs="Arial" w:eastAsia="Arial" w:hAnsi="Arial"/>
          <w:sz w:val="20"/>
          <w:szCs w:val="20"/>
          <w:color w:val="auto"/>
        </w:rPr>
        <w:t>Additionally, M&amp;T has incurred and will incur substantial expenses in connection with the negotiation and completion of the transactions contemplated by the merger agreement, as well as the costs and expenses of preparing, filing, printing and mailing the joint proxy statement/prospectus for the merger, and all filing and other fees paid in connection with the merger. If the merger is not completed, M&amp;T would have incurred these expenses without realizing the expected benefits of the merger.</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21"/>
          <w:szCs w:val="21"/>
          <w:b w:val="1"/>
          <w:bCs w:val="1"/>
          <w:i w:val="1"/>
          <w:iCs w:val="1"/>
          <w:color w:val="auto"/>
        </w:rPr>
        <w:t>M&amp;T will be subject to business uncertainties and contractual restrictions while the merger is pending.</w:t>
      </w:r>
    </w:p>
    <w:p>
      <w:pPr>
        <w:spacing w:after="0" w:line="110"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color w:val="auto"/>
        </w:rPr>
        <w:t>Uncertainty about the effect of the merger on employees and customers may have an adverse effect on M&amp;T. These uncertainties may impair M&amp;T’s ability to attract, retain and motivate key personnel until the merger is completed, and could cause customers and others that deal with M&amp;T to seek to change existing business relationships with M&amp;T. In addition, subject to certain exceptions, M&amp;T has agreed to refrain from taking certain actions that may adversely affect its ability to consummate the merger on a timely basis without People’s United’s consent. These restrictions may prevent M&amp;T from pursuing attractive business opportunities that may arise prior to the completion of the merger.</w:t>
      </w:r>
    </w:p>
    <w:p>
      <w:pPr>
        <w:spacing w:after="0" w:line="81" w:lineRule="exact"/>
        <w:rPr>
          <w:sz w:val="20"/>
          <w:szCs w:val="20"/>
          <w:color w:val="auto"/>
        </w:rPr>
      </w:pPr>
    </w:p>
    <w:p>
      <w:pPr>
        <w:jc w:val="both"/>
        <w:ind w:firstLine="562"/>
        <w:spacing w:after="0" w:line="249" w:lineRule="auto"/>
        <w:rPr>
          <w:sz w:val="20"/>
          <w:szCs w:val="20"/>
          <w:color w:val="auto"/>
        </w:rPr>
      </w:pPr>
      <w:r>
        <w:rPr>
          <w:rFonts w:ascii="Arial" w:cs="Arial" w:eastAsia="Arial" w:hAnsi="Arial"/>
          <w:sz w:val="21"/>
          <w:szCs w:val="21"/>
          <w:b w:val="1"/>
          <w:bCs w:val="1"/>
          <w:i w:val="1"/>
          <w:iCs w:val="1"/>
          <w:color w:val="auto"/>
        </w:rPr>
        <w:t>Litigation related to the merger has been filed against People’s United, the People’s United board of directors and M&amp;T, and additional litigation may be filed against People’s United, the People’s United board of directors, M&amp;T and the M&amp;T board of directors in the future, which could prevent or delay the completion of the merger, result in the payment of damages or otherwise negatively impact the business and operations of M&amp;T.</w:t>
      </w:r>
    </w:p>
    <w:p>
      <w:pPr>
        <w:spacing w:after="0" w:line="78" w:lineRule="exact"/>
        <w:rPr>
          <w:sz w:val="20"/>
          <w:szCs w:val="20"/>
          <w:color w:val="auto"/>
        </w:rPr>
      </w:pPr>
    </w:p>
    <w:p>
      <w:pPr>
        <w:jc w:val="both"/>
        <w:ind w:firstLine="562"/>
        <w:spacing w:after="0" w:line="244" w:lineRule="auto"/>
        <w:rPr>
          <w:sz w:val="20"/>
          <w:szCs w:val="20"/>
          <w:color w:val="auto"/>
        </w:rPr>
      </w:pPr>
      <w:r>
        <w:rPr>
          <w:rFonts w:ascii="Arial" w:cs="Arial" w:eastAsia="Arial" w:hAnsi="Arial"/>
          <w:sz w:val="21"/>
          <w:szCs w:val="21"/>
          <w:color w:val="auto"/>
        </w:rPr>
        <w:t>Litigation related to the merger has been filed against People’s United, the People’s United board of directors and M&amp;T, and additional litigation may be filed against People’s United, the People’s United board of directors, M&amp;T and the M&amp;T board of directors in the future. Among other remedies, litigation that has been filed seeks, and additional litigation by shareholders of M&amp;T and/or stockholders of People’s United in the future may seek, damages and/or to enjoin the merger or the other transactions contemplated by the merger agreement. The outcome of any litigation is uncertain. If any plaintiff were successful in obtaining an injunction prohibiting M&amp;T or People’s United from completing the merger or any other transactions contemplated by the merger agreement, then such injunction may delay or prevent the effectiveness of the merger and could result in significant costs to M&amp;T, including costs in connection with the defense or settlement of any shareholder lawsuits filed in connection with the merger. Further, such lawsuits and the defense or settlement of any such lawsuits may have an adverse effect on the financial condition and results of operations of M&amp;T.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COVID-19 pandemic’s impact on M&amp;T’s business and operations following the completion of the merger is uncertain.</w:t>
      </w:r>
    </w:p>
    <w:p>
      <w:pPr>
        <w:spacing w:after="0" w:line="144" w:lineRule="exact"/>
        <w:rPr>
          <w:sz w:val="20"/>
          <w:szCs w:val="20"/>
          <w:color w:val="auto"/>
        </w:rPr>
      </w:pPr>
    </w:p>
    <w:p>
      <w:pPr>
        <w:jc w:val="both"/>
        <w:ind w:firstLine="562"/>
        <w:spacing w:after="0" w:line="246" w:lineRule="exact"/>
        <w:rPr>
          <w:sz w:val="20"/>
          <w:szCs w:val="20"/>
          <w:color w:val="auto"/>
        </w:rPr>
      </w:pPr>
      <w:r>
        <w:rPr>
          <w:rFonts w:ascii="Arial" w:cs="Arial" w:eastAsia="Arial" w:hAnsi="Arial"/>
          <w:sz w:val="19"/>
          <w:szCs w:val="19"/>
          <w:color w:val="auto"/>
        </w:rPr>
        <w:t>The extent to which the COVID-19 pandemic will negatively affect the business, financial condition, liquidity, capital and results of operations of M&amp;T following the completion of the merger will depend on future developments, which are highly uncertain and cannot be predicted, including the scope and duration of the COVID</w:t>
      </w:r>
      <w:r>
        <w:rPr>
          <w:rFonts w:ascii="MS PGothic" w:cs="MS PGothic" w:eastAsia="MS PGothic" w:hAnsi="MS PGothic"/>
          <w:sz w:val="19"/>
          <w:szCs w:val="19"/>
          <w:color w:val="auto"/>
        </w:rPr>
        <w:t>‑</w:t>
      </w:r>
      <w:r>
        <w:rPr>
          <w:rFonts w:ascii="Arial" w:cs="Arial" w:eastAsia="Arial" w:hAnsi="Arial"/>
          <w:sz w:val="19"/>
          <w:szCs w:val="19"/>
          <w:color w:val="auto"/>
        </w:rPr>
        <w:t>19 pandemic, the direct and indirect impact of the COVID-19 pandemic on employees, clients, counterparties and service providers, as well as other market participants, and actions taken by governmental authorities and other third parties in response to the COVID-19 pandemic. Given the ongoing and dynamic nature of the circumstances, it is difficult to predict the impact of the COVID-19 pandemic on M&amp;T’s business, and there is no guarantee that efforts by M&amp;T to address the adverse impacts of the COVID-19 pandemic will be effective.</w:t>
      </w:r>
    </w:p>
    <w:p>
      <w:pPr>
        <w:spacing w:after="0" w:line="88"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21"/>
          <w:szCs w:val="21"/>
          <w:color w:val="auto"/>
        </w:rPr>
        <w:t>Even after the COVID-19 pandemic has subsided, M&amp;T may continue to experience adverse impacts to its business as a result of the COVID-19 pandemic’s global economic impact, including reduced availability of credit, adverse impacts on liquidity and the negative financial effects from any recession or depression that may occur.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95" w:name="page96"/>
    <w:bookmarkEnd w:id="95"/>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82"/>
        <w:spacing w:after="0"/>
        <w:tabs>
          <w:tab w:leader="none" w:pos="8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5"/>
        </w:numPr>
        <w:rPr>
          <w:rFonts w:ascii="Arial" w:cs="Arial" w:eastAsia="Arial" w:hAnsi="Arial"/>
          <w:sz w:val="21"/>
          <w:szCs w:val="21"/>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1"/>
              </w:rPr>
              <w:t>Issuer Purchases of Equity Securities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9"/>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(or Units)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(b)Average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5"/>
        </w:trPr>
        <w:tc>
          <w:tcPr>
            <w:tcW w:w="4180" w:type="dxa"/>
            <w:vAlign w:val="bottom"/>
            <w:gridSpan w:val="3"/>
            <w:vMerge w:val="continue"/>
          </w:tcPr>
          <w:p>
            <w:pPr>
              <w:spacing w:after="0"/>
              <w:rPr>
                <w:sz w:val="14"/>
                <w:szCs w:val="14"/>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9"/>
              </w:rPr>
              <w:t>(or Unit)</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July 1 - July 31,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August 1 - August 31, 2021</w:t>
            </w:r>
          </w:p>
        </w:tc>
        <w:tc>
          <w:tcPr>
            <w:tcW w:w="1100" w:type="dxa"/>
            <w:vAlign w:val="bottom"/>
          </w:tcPr>
          <w:p>
            <w:pPr>
              <w:jc w:val="right"/>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133.85</w:t>
            </w:r>
          </w:p>
        </w:tc>
        <w:tc>
          <w:tcPr>
            <w:tcW w:w="28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September 1 - September 30,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800,000,000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133.85</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00" w:hanging="492"/>
        <w:spacing w:after="0" w:line="254" w:lineRule="auto"/>
        <w:tabs>
          <w:tab w:leader="none" w:pos="5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00" w:hanging="492"/>
        <w:spacing w:after="0" w:line="260" w:lineRule="auto"/>
        <w:tabs>
          <w:tab w:leader="none" w:pos="5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On January 20, 2021, M&amp;T's Board of Directors authorized a new stock repurchase program to repurchase up to $800 million of common shares during the twelve-month period from January 1, 2021 to December 31, 2021.</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6" w:name="page97"/>
    <w:bookmarkEnd w:id="96"/>
    <w:p>
      <w:pPr>
        <w:spacing w:after="0"/>
        <w:tabs>
          <w:tab w:leader="none" w:pos="1000" w:val="left"/>
        </w:tabs>
        <w:rPr>
          <w:sz w:val="20"/>
          <w:szCs w:val="20"/>
          <w:color w:val="auto"/>
        </w:rPr>
      </w:pPr>
      <w:r>
        <w:rPr>
          <w:rFonts w:ascii="Arial" w:cs="Arial" w:eastAsia="Arial" w:hAnsi="Arial"/>
          <w:sz w:val="21"/>
          <w:szCs w:val="21"/>
          <w:color w:val="auto"/>
        </w:rPr>
        <w:t>Item 6.</w:t>
      </w:r>
      <w:r>
        <w:rPr>
          <w:sz w:val="20"/>
          <w:szCs w:val="20"/>
          <w:color w:val="auto"/>
        </w:rPr>
        <w:tab/>
      </w:r>
      <w:r>
        <w:rPr>
          <w:rFonts w:ascii="Arial" w:cs="Arial" w:eastAsia="Arial" w:hAnsi="Arial"/>
          <w:sz w:val="19"/>
          <w:szCs w:val="19"/>
          <w:color w:val="auto"/>
        </w:rPr>
        <w:t>Exhibits.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following exhibits are filed as a part of this report.</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21"/>
          <w:szCs w:val="21"/>
          <w:color w:val="auto"/>
        </w:rPr>
        <w:t>Exhibit</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00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gridSpan w:val="3"/>
          </w:tcPr>
          <w:p>
            <w:pPr>
              <w:ind w:left="120"/>
              <w:spacing w:after="0"/>
              <w:rPr>
                <w:rFonts w:ascii="Arial" w:cs="Arial" w:eastAsia="Arial" w:hAnsi="Arial"/>
                <w:sz w:val="21"/>
                <w:szCs w:val="21"/>
                <w:color w:val="0000EE"/>
              </w:rPr>
            </w:pPr>
            <w:hyperlink r:id="rId149">
              <w:r>
                <w:rPr>
                  <w:rFonts w:ascii="Arial" w:cs="Arial" w:eastAsia="Arial" w:hAnsi="Arial"/>
                  <w:sz w:val="21"/>
                  <w:szCs w:val="21"/>
                  <w:color w:val="0000EE"/>
                </w:rPr>
                <w:t>3.</w:t>
              </w:r>
              <w:r>
                <w:rPr>
                  <w:rFonts w:ascii="Arial" w:cs="Arial" w:eastAsia="Arial" w:hAnsi="Arial"/>
                  <w:sz w:val="21"/>
                  <w:szCs w:val="21"/>
                  <w:u w:val="single" w:color="auto"/>
                  <w:color w:val="0000EE"/>
                </w:rPr>
                <w:t>1</w:t>
              </w:r>
            </w:hyperlink>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Certificate of Amendment to Restated Certificate of Incorporation of M&amp;T Bank Corporation with respect to Perpetual</w:t>
            </w:r>
          </w:p>
        </w:tc>
      </w:tr>
      <w:tr>
        <w:trPr>
          <w:trHeight w:val="250"/>
        </w:trPr>
        <w:tc>
          <w:tcPr>
            <w:tcW w:w="12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1"/>
              </w:rPr>
              <w:t>3.500% Fixed-Rate Reset Non-Cumulative Preferred Stock, Series I, dated August 12, 2021. Incorporated by reference</w:t>
            </w:r>
          </w:p>
        </w:tc>
      </w:tr>
      <w:tr>
        <w:trPr>
          <w:trHeight w:val="264"/>
        </w:trPr>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to Exhibit 3.1 of M&amp;T Bank Corporation’s Form 8-K dated August 17, 2021 (File No. 1-9861).</w:t>
            </w:r>
          </w:p>
        </w:tc>
      </w:tr>
      <w:tr>
        <w:trPr>
          <w:trHeight w:val="438"/>
        </w:trPr>
        <w:tc>
          <w:tcPr>
            <w:tcW w:w="480" w:type="dxa"/>
            <w:vAlign w:val="bottom"/>
            <w:gridSpan w:val="3"/>
          </w:tcPr>
          <w:p>
            <w:pPr>
              <w:ind w:left="120"/>
              <w:spacing w:after="0"/>
              <w:rPr>
                <w:rFonts w:ascii="Arial" w:cs="Arial" w:eastAsia="Arial" w:hAnsi="Arial"/>
                <w:sz w:val="21"/>
                <w:szCs w:val="21"/>
                <w:color w:val="0000EE"/>
                <w:w w:val="83"/>
              </w:rPr>
            </w:pPr>
            <w:hyperlink w:anchor="page99">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3"/>
          </w:tcPr>
          <w:p>
            <w:pPr>
              <w:ind w:left="120"/>
              <w:spacing w:after="0"/>
              <w:rPr>
                <w:rFonts w:ascii="Arial" w:cs="Arial" w:eastAsia="Arial" w:hAnsi="Arial"/>
                <w:sz w:val="21"/>
                <w:szCs w:val="21"/>
                <w:color w:val="0000EE"/>
                <w:w w:val="83"/>
              </w:rPr>
            </w:pPr>
            <w:hyperlink w:anchor="page100">
              <w:r>
                <w:rPr>
                  <w:rFonts w:ascii="Arial" w:cs="Arial" w:eastAsia="Arial" w:hAnsi="Arial"/>
                  <w:sz w:val="21"/>
                  <w:szCs w:val="21"/>
                  <w:color w:val="0000EE"/>
                  <w:w w:val="83"/>
                </w:rPr>
                <w:t>31.</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20"/>
        </w:trPr>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r>
      <w:tr>
        <w:trPr>
          <w:trHeight w:val="466"/>
        </w:trPr>
        <w:tc>
          <w:tcPr>
            <w:tcW w:w="480" w:type="dxa"/>
            <w:vAlign w:val="bottom"/>
            <w:gridSpan w:val="3"/>
          </w:tcPr>
          <w:p>
            <w:pPr>
              <w:ind w:left="120"/>
              <w:spacing w:after="0"/>
              <w:rPr>
                <w:rFonts w:ascii="Arial" w:cs="Arial" w:eastAsia="Arial" w:hAnsi="Arial"/>
                <w:sz w:val="21"/>
                <w:szCs w:val="21"/>
                <w:color w:val="0000EE"/>
                <w:w w:val="83"/>
              </w:rPr>
            </w:pPr>
            <w:hyperlink w:anchor="page101">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1</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Certification of Chief Executive Officer under 18 U.S.C. §1350 pursuant to Section 906 of the Sarbanes-Oxley Act of</w:t>
            </w:r>
          </w:p>
        </w:tc>
      </w:tr>
      <w:tr>
        <w:trPr>
          <w:trHeight w:val="271"/>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38"/>
        </w:trPr>
        <w:tc>
          <w:tcPr>
            <w:tcW w:w="480" w:type="dxa"/>
            <w:vAlign w:val="bottom"/>
            <w:gridSpan w:val="3"/>
          </w:tcPr>
          <w:p>
            <w:pPr>
              <w:ind w:left="120"/>
              <w:spacing w:after="0"/>
              <w:rPr>
                <w:rFonts w:ascii="Arial" w:cs="Arial" w:eastAsia="Arial" w:hAnsi="Arial"/>
                <w:sz w:val="21"/>
                <w:szCs w:val="21"/>
                <w:color w:val="0000EE"/>
                <w:w w:val="83"/>
              </w:rPr>
            </w:pPr>
            <w:hyperlink w:anchor="page102">
              <w:r>
                <w:rPr>
                  <w:rFonts w:ascii="Arial" w:cs="Arial" w:eastAsia="Arial" w:hAnsi="Arial"/>
                  <w:sz w:val="21"/>
                  <w:szCs w:val="21"/>
                  <w:color w:val="0000EE"/>
                  <w:w w:val="83"/>
                </w:rPr>
                <w:t>32.</w:t>
              </w:r>
              <w:r>
                <w:rPr>
                  <w:rFonts w:ascii="Arial" w:cs="Arial" w:eastAsia="Arial" w:hAnsi="Arial"/>
                  <w:sz w:val="21"/>
                  <w:szCs w:val="21"/>
                  <w:u w:val="single" w:color="auto"/>
                  <w:color w:val="0000EE"/>
                  <w:w w:val="83"/>
                </w:rPr>
                <w:t>2</w:t>
              </w:r>
            </w:hyperlink>
          </w:p>
        </w:tc>
        <w:tc>
          <w:tcPr>
            <w:tcW w:w="48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w w:val="94"/>
              </w:rPr>
              <w:t>Certification of Chief Financial Officer under 18 U.S.C. §1350 pursuant to Section 906 of the Sarbanes-Oxley Act of</w:t>
            </w:r>
          </w:p>
        </w:tc>
      </w:tr>
      <w:tr>
        <w:trPr>
          <w:trHeight w:val="272"/>
        </w:trPr>
        <w:tc>
          <w:tcPr>
            <w:tcW w:w="120" w:type="dxa"/>
            <w:vAlign w:val="bottom"/>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80" w:type="dxa"/>
            <w:vAlign w:val="bottom"/>
          </w:tcPr>
          <w:p>
            <w:pPr>
              <w:spacing w:after="0"/>
              <w:rPr>
                <w:sz w:val="23"/>
                <w:szCs w:val="23"/>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101.INS</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Instance Document.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101.SCH</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Schema.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101.CAL</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Calculation Linkbase.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101.DEF</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Definition Linkbase.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101.LAB</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Label Linkbase. Filed herewith.</w:t>
            </w:r>
          </w:p>
        </w:tc>
      </w:tr>
      <w:tr>
        <w:trPr>
          <w:trHeight w:val="486"/>
        </w:trPr>
        <w:tc>
          <w:tcPr>
            <w:tcW w:w="960" w:type="dxa"/>
            <w:vAlign w:val="bottom"/>
            <w:gridSpan w:val="4"/>
          </w:tcPr>
          <w:p>
            <w:pPr>
              <w:spacing w:after="0"/>
              <w:rPr>
                <w:sz w:val="20"/>
                <w:szCs w:val="20"/>
                <w:color w:val="auto"/>
              </w:rPr>
            </w:pPr>
            <w:r>
              <w:rPr>
                <w:rFonts w:ascii="Arial" w:cs="Arial" w:eastAsia="Arial" w:hAnsi="Arial"/>
                <w:sz w:val="21"/>
                <w:szCs w:val="21"/>
                <w:color w:val="auto"/>
              </w:rPr>
              <w:t>101.PRE</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Presentation Linkbase. Filed herewith.</w:t>
            </w:r>
          </w:p>
        </w:tc>
      </w:tr>
    </w:tbl>
    <w:p>
      <w:pPr>
        <w:spacing w:after="0" w:line="222" w:lineRule="exact"/>
        <w:rPr>
          <w:sz w:val="20"/>
          <w:szCs w:val="20"/>
          <w:color w:val="auto"/>
        </w:rPr>
      </w:pPr>
    </w:p>
    <w:p>
      <w:pPr>
        <w:ind w:left="1140" w:right="1700" w:hanging="1132"/>
        <w:spacing w:after="0" w:line="264" w:lineRule="auto"/>
        <w:tabs>
          <w:tab w:leader="none" w:pos="11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cover page from M&amp;T Bank Corporation’s Quarterly Report on Form 10-Q for the quarter ended September 30, 2021 has been formatted in Inline XBRL.</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left="5540" w:hanging="111"/>
        <w:spacing w:after="0"/>
        <w:tabs>
          <w:tab w:leader="none" w:pos="5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580" w:val="left"/>
          <w:tab w:leader="none" w:pos="7040" w:val="left"/>
        </w:tabs>
        <w:rPr>
          <w:sz w:val="20"/>
          <w:szCs w:val="20"/>
          <w:color w:val="auto"/>
        </w:rPr>
      </w:pPr>
      <w:r>
        <w:rPr>
          <w:rFonts w:ascii="Arial" w:cs="Arial" w:eastAsia="Arial" w:hAnsi="Arial"/>
          <w:sz w:val="20"/>
          <w:szCs w:val="20"/>
          <w:color w:val="auto"/>
        </w:rPr>
        <w:t>Date: November 5,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10160</wp:posOffset>
            </wp:positionV>
            <wp:extent cx="26574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70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Executive Vice President</w:t>
      </w:r>
    </w:p>
    <w:p>
      <w:pPr>
        <w:ind w:left="7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220"/>
          </w:cols>
          <w:pgMar w:left="320" w:top="342"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3"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November 5,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9525</wp:posOffset>
            </wp:positionV>
            <wp:extent cx="25285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240"/>
          </w:cols>
          <w:pgMar w:left="320" w:top="12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November 5, 2021</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457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240"/>
          </w:cols>
          <w:pgMar w:left="320" w:top="85" w:right="339" w:bottom="1440" w:gutter="0" w:footer="0" w:header="0"/>
        </w:sectPr>
      </w:pPr>
    </w:p>
    <w:bookmarkStart w:id="100" w:name="page101"/>
    <w:bookmarkEnd w:id="100"/>
    <w:p>
      <w:pPr>
        <w:ind w:left="1000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3" w:lineRule="exact"/>
        <w:rPr>
          <w:sz w:val="20"/>
          <w:szCs w:val="20"/>
          <w:color w:val="auto"/>
        </w:rPr>
      </w:pPr>
    </w:p>
    <w:p>
      <w:pPr>
        <w:jc w:val="both"/>
        <w:ind w:left="1880" w:right="1880" w:hanging="941"/>
        <w:spacing w:after="0" w:line="262" w:lineRule="auto"/>
        <w:tabs>
          <w:tab w:leader="none" w:pos="18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September 30, 2021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November 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14" w:right="339" w:bottom="1440" w:gutter="0" w:footer="0" w:header="0"/>
        </w:sectPr>
      </w:pPr>
    </w:p>
    <w:bookmarkStart w:id="101" w:name="page102"/>
    <w:bookmarkEnd w:id="101"/>
    <w:p>
      <w:pPr>
        <w:ind w:left="1000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880" w:right="1880" w:hanging="941"/>
        <w:spacing w:after="0" w:line="262" w:lineRule="auto"/>
        <w:tabs>
          <w:tab w:leader="none" w:pos="18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September 30, 2021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November 5,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4"/>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lvl w:ilvl="1">
      <w:lvlJc w:val="left"/>
      <w:lvlText w:val="-"/>
      <w:numFmt w:val="bullet"/>
      <w:start w:val="1"/>
    </w:lvl>
  </w:abstractNum>
  <w:abstractNum w:abstractNumId="9">
    <w:nsid w:val="836C40E"/>
    <w:multiLevelType w:val="hybridMultilevel"/>
    <w:lvl w:ilvl="0">
      <w:lvlJc w:val="left"/>
      <w:lvlText w:val="(%1)"/>
      <w:numFmt w:val="lowerLetter"/>
      <w:start w:val="1"/>
    </w:lvl>
    <w:lvl w:ilvl="1">
      <w:lvlJc w:val="left"/>
      <w:lvlText w:val="-"/>
      <w:numFmt w:val="bullet"/>
      <w:start w:val="1"/>
    </w:lvl>
  </w:abstractNum>
  <w:abstractNum w:abstractNumId="10">
    <w:nsid w:val="2901D82"/>
    <w:multiLevelType w:val="hybridMultilevel"/>
    <w:lvl w:ilvl="0">
      <w:lvlJc w:val="left"/>
      <w:lvlText w:val="(%1)"/>
      <w:numFmt w:val="lowerLetter"/>
      <w:start w:val="1"/>
    </w:lvl>
    <w:lvl w:ilvl="1">
      <w:lvlJc w:val="left"/>
      <w:lvlText w:val="(%2)"/>
      <w:numFmt w:val="lowerLetter"/>
      <w:start w:val="2"/>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3"/>
    </w:lvl>
  </w:abstractNum>
  <w:abstractNum w:abstractNumId="13">
    <w:nsid w:val="1E7FF521"/>
    <w:multiLevelType w:val="hybridMultilevel"/>
    <w:lvl w:ilvl="0">
      <w:lvlJc w:val="left"/>
      <w:lvlText w:val="(%1)"/>
      <w:numFmt w:val="lowerLetter"/>
      <w:start w:val="1"/>
    </w:lvl>
    <w:lvl w:ilvl="1">
      <w:lvlJc w:val="left"/>
      <w:lvlText w:val="-"/>
      <w:numFmt w:val="bullet"/>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decimal"/>
      <w:start w:val="13"/>
    </w:lvl>
  </w:abstractNum>
  <w:abstractNum w:abstractNumId="16">
    <w:nsid w:val="6CEAF087"/>
    <w:multiLevelType w:val="hybridMultilevel"/>
    <w:lvl w:ilvl="0">
      <w:lvlJc w:val="left"/>
      <w:lvlText w:val="%1."/>
      <w:numFmt w:val="decimal"/>
      <w:start w:val="2"/>
    </w:lvl>
  </w:abstractNum>
  <w:abstractNum w:abstractNumId="17">
    <w:nsid w:val="22221A70"/>
    <w:multiLevelType w:val="hybridMultilevel"/>
    <w:lvl w:ilvl="0">
      <w:lvlJc w:val="left"/>
      <w:lvlText w:val="%1."/>
      <w:numFmt w:val="decimal"/>
      <w:start w:val="2"/>
    </w:lvl>
    <w:lvl w:ilvl="1">
      <w:lvlJc w:val="left"/>
      <w:lvlText w:val="-"/>
      <w:numFmt w:val="bullet"/>
      <w:start w:val="1"/>
    </w:lvl>
  </w:abstractNum>
  <w:abstractNum w:abstractNumId="18">
    <w:nsid w:val="4516DDE9"/>
    <w:multiLevelType w:val="hybridMultilevel"/>
    <w:lvl w:ilvl="0">
      <w:lvlJc w:val="left"/>
      <w:lvlText w:val="%1."/>
      <w:numFmt w:val="decimal"/>
      <w:start w:val="13"/>
    </w:lvl>
  </w:abstractNum>
  <w:abstractNum w:abstractNumId="19">
    <w:nsid w:val="3006C83E"/>
    <w:multiLevelType w:val="hybridMultilevel"/>
    <w:lvl w:ilvl="0">
      <w:lvlJc w:val="left"/>
      <w:lvlText w:val="(%1)"/>
      <w:numFmt w:val="lowerLetter"/>
      <w:start w:val="1"/>
    </w:lvl>
    <w:lvl w:ilvl="1">
      <w:lvlJc w:val="left"/>
      <w:lvlText w:val="-"/>
      <w:numFmt w:val="bullet"/>
      <w:start w:val="1"/>
    </w:lvl>
  </w:abstractNum>
  <w:abstractNum w:abstractNumId="20">
    <w:nsid w:val="614FD4A1"/>
    <w:multiLevelType w:val="hybridMultilevel"/>
    <w:lvl w:ilvl="0">
      <w:lvlJc w:val="left"/>
      <w:lvlText w:val="(%1)"/>
      <w:numFmt w:val="lowerLetter"/>
      <w:start w:val="1"/>
    </w:lvl>
    <w:lvl w:ilvl="1">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Letter"/>
      <w:start w:val="1"/>
    </w:lvl>
    <w:lvl w:ilvl="1">
      <w:lvlJc w:val="left"/>
      <w:lvlText w:val="-"/>
      <w:numFmt w:val="bullet"/>
      <w:start w:val="1"/>
    </w:lvl>
  </w:abstractNum>
  <w:abstractNum w:abstractNumId="24">
    <w:nsid w:val="5072367"/>
    <w:multiLevelType w:val="hybridMultilevel"/>
    <w:lvl w:ilvl="0">
      <w:lvlJc w:val="left"/>
      <w:lvlText w:val="(%1)"/>
      <w:numFmt w:val="lowerLetter"/>
      <w:start w:val="1"/>
    </w:lvl>
    <w:lvl w:ilvl="1">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upperLetter"/>
      <w:start w:val="68"/>
    </w:lvl>
  </w:abstractNum>
  <w:abstractNum w:abstractNumId="29">
    <w:nsid w:val="2463B9EA"/>
    <w:multiLevelType w:val="hybridMultilevel"/>
    <w:lvl w:ilvl="0">
      <w:lvlJc w:val="left"/>
      <w:lvlText w:val="(%1)"/>
      <w:numFmt w:val="lowerLetter"/>
      <w:start w:val="1"/>
    </w:lvl>
    <w:lvl w:ilvl="1">
      <w:lvlJc w:val="left"/>
      <w:lvlText w:val="-"/>
      <w:numFmt w:val="bullet"/>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04"/>
    </w:lvl>
    <w:lvl w:ilvl="1">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49" Type="http://schemas.openxmlformats.org/officeDocument/2006/relationships/hyperlink" Target="http://www.sec.gov/Archives/edgar/data/0000036270/000119312521249178/d20058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2021-11-05T14:24:33Z</dcterms:created>
  <dcterms:modified xsi:type="dcterms:W3CDTF">2021-11-05T14:24:33Z</dcterms:modified>
</cp:coreProperties>
</file>