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422910</wp:posOffset>
            </wp:positionH>
            <wp:positionV relativeFrom="page">
              <wp:posOffset>758190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781050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color w:val="auto"/>
        </w:rPr>
        <w:t>_______________________</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73"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1-9861</w:t>
      </w:r>
    </w:p>
    <w:p>
      <w:pPr>
        <w:spacing w:after="0" w:line="2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color w:val="auto"/>
        </w:rPr>
        <w:t>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M&amp;T BANK CORPORATION</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color w:val="auto"/>
        </w:rPr>
        <w:t>_______________________</w:t>
      </w:r>
    </w:p>
    <w:p>
      <w:pPr>
        <w:spacing w:after="0" w:line="180" w:lineRule="exact"/>
        <w:rPr>
          <w:sz w:val="24"/>
          <w:szCs w:val="24"/>
          <w:color w:val="auto"/>
        </w:rPr>
      </w:pPr>
    </w:p>
    <w:tbl>
      <w:tblPr>
        <w:tblLayout w:type="fixed"/>
        <w:tblInd w:w="1060" w:type="dxa"/>
        <w:tblCellMar>
          <w:top w:w="0" w:type="dxa"/>
          <w:left w:w="0" w:type="dxa"/>
          <w:bottom w:w="0" w:type="dxa"/>
          <w:right w:w="0" w:type="dxa"/>
        </w:tblCellMar>
      </w:tblPr>
      <w:tr>
        <w:trPr>
          <w:trHeight w:val="205"/>
        </w:trPr>
        <w:tc>
          <w:tcPr>
            <w:tcW w:w="2460" w:type="dxa"/>
            <w:vAlign w:val="bottom"/>
          </w:tcPr>
          <w:p>
            <w:pPr>
              <w:jc w:val="center"/>
              <w:ind w:right="188"/>
              <w:spacing w:after="0"/>
              <w:rPr>
                <w:sz w:val="20"/>
                <w:szCs w:val="20"/>
                <w:color w:val="auto"/>
              </w:rPr>
            </w:pPr>
            <w:r>
              <w:rPr>
                <w:rFonts w:ascii="Times New Roman" w:cs="Times New Roman" w:eastAsia="Times New Roman" w:hAnsi="Times New Roman"/>
                <w:sz w:val="16"/>
                <w:szCs w:val="16"/>
                <w:b w:val="1"/>
                <w:bCs w:val="1"/>
                <w:color w:val="auto"/>
                <w:w w:val="97"/>
              </w:rPr>
              <w:t>New York</w:t>
            </w:r>
          </w:p>
        </w:tc>
        <w:tc>
          <w:tcPr>
            <w:tcW w:w="544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16-0968385</w:t>
            </w:r>
          </w:p>
        </w:tc>
      </w:tr>
      <w:tr>
        <w:trPr>
          <w:trHeight w:val="180"/>
        </w:trPr>
        <w:tc>
          <w:tcPr>
            <w:tcW w:w="2460" w:type="dxa"/>
            <w:vAlign w:val="bottom"/>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5440" w:type="dxa"/>
            <w:vAlign w:val="bottom"/>
          </w:tcPr>
          <w:p>
            <w:pPr>
              <w:jc w:val="center"/>
              <w:ind w:left="432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246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5440" w:type="dxa"/>
            <w:vAlign w:val="bottom"/>
          </w:tcPr>
          <w:p>
            <w:pPr>
              <w:jc w:val="center"/>
              <w:ind w:left="4329"/>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81"/>
        </w:trPr>
        <w:tc>
          <w:tcPr>
            <w:tcW w:w="2460" w:type="dxa"/>
            <w:vAlign w:val="bottom"/>
          </w:tcPr>
          <w:p>
            <w:pPr>
              <w:jc w:val="center"/>
              <w:ind w:right="168"/>
              <w:spacing w:after="0"/>
              <w:rPr>
                <w:sz w:val="20"/>
                <w:szCs w:val="20"/>
                <w:color w:val="auto"/>
              </w:rPr>
            </w:pPr>
            <w:r>
              <w:rPr>
                <w:rFonts w:ascii="Times New Roman" w:cs="Times New Roman" w:eastAsia="Times New Roman" w:hAnsi="Times New Roman"/>
                <w:sz w:val="16"/>
                <w:szCs w:val="16"/>
                <w:b w:val="1"/>
                <w:bCs w:val="1"/>
                <w:color w:val="auto"/>
                <w:w w:val="97"/>
              </w:rPr>
              <w:t>One M&amp;T Plaza</w:t>
            </w:r>
          </w:p>
        </w:tc>
        <w:tc>
          <w:tcPr>
            <w:tcW w:w="5440" w:type="dxa"/>
            <w:vAlign w:val="bottom"/>
          </w:tcPr>
          <w:p>
            <w:pPr>
              <w:spacing w:after="0"/>
              <w:rPr>
                <w:sz w:val="24"/>
                <w:szCs w:val="24"/>
                <w:color w:val="auto"/>
              </w:rPr>
            </w:pPr>
          </w:p>
        </w:tc>
      </w:tr>
      <w:tr>
        <w:trPr>
          <w:trHeight w:val="205"/>
        </w:trPr>
        <w:tc>
          <w:tcPr>
            <w:tcW w:w="2460" w:type="dxa"/>
            <w:vAlign w:val="bottom"/>
          </w:tcPr>
          <w:p>
            <w:pPr>
              <w:jc w:val="center"/>
              <w:ind w:right="168"/>
              <w:spacing w:after="0"/>
              <w:rPr>
                <w:sz w:val="20"/>
                <w:szCs w:val="20"/>
                <w:color w:val="auto"/>
              </w:rPr>
            </w:pPr>
            <w:r>
              <w:rPr>
                <w:rFonts w:ascii="Times New Roman" w:cs="Times New Roman" w:eastAsia="Times New Roman" w:hAnsi="Times New Roman"/>
                <w:sz w:val="16"/>
                <w:szCs w:val="16"/>
                <w:b w:val="1"/>
                <w:bCs w:val="1"/>
                <w:color w:val="auto"/>
                <w:w w:val="98"/>
              </w:rPr>
              <w:t>Buffalo, New York</w:t>
            </w:r>
          </w:p>
        </w:tc>
        <w:tc>
          <w:tcPr>
            <w:tcW w:w="5440" w:type="dxa"/>
            <w:vAlign w:val="bottom"/>
          </w:tcPr>
          <w:p>
            <w:pPr>
              <w:jc w:val="right"/>
              <w:ind w:right="269"/>
              <w:spacing w:after="0"/>
              <w:rPr>
                <w:sz w:val="20"/>
                <w:szCs w:val="20"/>
                <w:color w:val="auto"/>
              </w:rPr>
            </w:pPr>
            <w:r>
              <w:rPr>
                <w:rFonts w:ascii="Times New Roman" w:cs="Times New Roman" w:eastAsia="Times New Roman" w:hAnsi="Times New Roman"/>
                <w:sz w:val="16"/>
                <w:szCs w:val="16"/>
                <w:b w:val="1"/>
                <w:bCs w:val="1"/>
                <w:color w:val="auto"/>
              </w:rPr>
              <w:t>14203</w:t>
            </w:r>
          </w:p>
        </w:tc>
      </w:tr>
      <w:tr>
        <w:trPr>
          <w:trHeight w:val="198"/>
        </w:trPr>
        <w:tc>
          <w:tcPr>
            <w:tcW w:w="246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440" w:type="dxa"/>
            <w:vAlign w:val="bottom"/>
          </w:tcPr>
          <w:p>
            <w:pPr>
              <w:jc w:val="center"/>
              <w:ind w:left="4329"/>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348"/>
        </w:trPr>
        <w:tc>
          <w:tcPr>
            <w:tcW w:w="2460" w:type="dxa"/>
            <w:vAlign w:val="bottom"/>
          </w:tcPr>
          <w:p>
            <w:pPr>
              <w:spacing w:after="0"/>
              <w:rPr>
                <w:sz w:val="24"/>
                <w:szCs w:val="24"/>
                <w:color w:val="auto"/>
              </w:rPr>
            </w:pPr>
          </w:p>
        </w:tc>
        <w:tc>
          <w:tcPr>
            <w:tcW w:w="5440" w:type="dxa"/>
            <w:vAlign w:val="bottom"/>
          </w:tcPr>
          <w:p>
            <w:pPr>
              <w:jc w:val="center"/>
              <w:ind w:right="186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234"/>
        </w:trPr>
        <w:tc>
          <w:tcPr>
            <w:tcW w:w="2460" w:type="dxa"/>
            <w:vAlign w:val="bottom"/>
          </w:tcPr>
          <w:p>
            <w:pPr>
              <w:spacing w:after="0"/>
              <w:rPr>
                <w:sz w:val="20"/>
                <w:szCs w:val="20"/>
                <w:color w:val="auto"/>
              </w:rPr>
            </w:pPr>
          </w:p>
        </w:tc>
        <w:tc>
          <w:tcPr>
            <w:tcW w:w="5440" w:type="dxa"/>
            <w:vAlign w:val="bottom"/>
          </w:tcPr>
          <w:p>
            <w:pPr>
              <w:jc w:val="right"/>
              <w:ind w:right="3109"/>
              <w:spacing w:after="0"/>
              <w:rPr>
                <w:sz w:val="20"/>
                <w:szCs w:val="20"/>
                <w:color w:val="auto"/>
              </w:rPr>
            </w:pPr>
            <w:r>
              <w:rPr>
                <w:rFonts w:ascii="Times New Roman" w:cs="Times New Roman" w:eastAsia="Times New Roman" w:hAnsi="Times New Roman"/>
                <w:sz w:val="16"/>
                <w:szCs w:val="16"/>
                <w:b w:val="1"/>
                <w:bCs w:val="1"/>
                <w:color w:val="auto"/>
              </w:rPr>
              <w:t>(716) 635-4000</w:t>
            </w:r>
          </w:p>
        </w:tc>
      </w:tr>
    </w:tbl>
    <w:p>
      <w:pPr>
        <w:spacing w:after="0" w:line="24" w:lineRule="exact"/>
        <w:rPr>
          <w:sz w:val="24"/>
          <w:szCs w:val="24"/>
          <w:color w:val="auto"/>
        </w:rPr>
      </w:pPr>
    </w:p>
    <w:p>
      <w:pPr>
        <w:sectPr>
          <w:pgSz w:w="11900" w:h="16840" w:orient="portrait"/>
          <w:cols w:equalWidth="0" w:num="1">
            <w:col w:w="10560"/>
          </w:cols>
          <w:pgMar w:left="660" w:top="1355" w:right="680" w:bottom="1440" w:gutter="0" w:footer="0" w:header="0"/>
        </w:sectPr>
      </w:pPr>
    </w:p>
    <w:p>
      <w:pPr>
        <w:spacing w:after="0" w:line="30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3"/>
          <w:szCs w:val="13"/>
          <w:b w:val="1"/>
          <w:bCs w:val="1"/>
          <w:u w:val="single" w:color="auto"/>
          <w:color w:val="auto"/>
        </w:rPr>
        <w:t>Title of Each Class</w:t>
      </w:r>
    </w:p>
    <w:p>
      <w:pPr>
        <w:spacing w:after="0" w:line="5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Common Stock, $0.50 par value</w:t>
      </w:r>
    </w:p>
    <w:p>
      <w:pPr>
        <w:spacing w:after="0" w:line="55" w:lineRule="exact"/>
        <w:rPr>
          <w:sz w:val="24"/>
          <w:szCs w:val="24"/>
          <w:color w:val="auto"/>
        </w:rPr>
      </w:pPr>
    </w:p>
    <w:p>
      <w:pPr>
        <w:ind w:left="20" w:right="660"/>
        <w:spacing w:after="0" w:line="286" w:lineRule="auto"/>
        <w:rPr>
          <w:sz w:val="20"/>
          <w:szCs w:val="20"/>
          <w:color w:val="auto"/>
        </w:rPr>
      </w:pPr>
      <w:r>
        <w:rPr>
          <w:rFonts w:ascii="Times New Roman" w:cs="Times New Roman" w:eastAsia="Times New Roman" w:hAnsi="Times New Roman"/>
          <w:sz w:val="13"/>
          <w:szCs w:val="13"/>
          <w:color w:val="auto"/>
        </w:rPr>
        <w:t>Perpetual Fixed-to-Floating Rate Non-Cumulative Preferred Stock, Series H</w:t>
      </w:r>
    </w:p>
    <w:p>
      <w:pPr>
        <w:spacing w:after="0" w:line="4" w:lineRule="exact"/>
        <w:rPr>
          <w:sz w:val="24"/>
          <w:szCs w:val="24"/>
          <w:color w:val="auto"/>
        </w:rPr>
      </w:pPr>
    </w:p>
    <w:p>
      <w:pPr>
        <w:ind w:left="20" w:right="900"/>
        <w:spacing w:after="0" w:line="286" w:lineRule="auto"/>
        <w:rPr>
          <w:sz w:val="20"/>
          <w:szCs w:val="20"/>
          <w:color w:val="auto"/>
        </w:rPr>
      </w:pPr>
      <w:r>
        <w:rPr>
          <w:rFonts w:ascii="Times New Roman" w:cs="Times New Roman" w:eastAsia="Times New Roman" w:hAnsi="Times New Roman"/>
          <w:sz w:val="13"/>
          <w:szCs w:val="13"/>
          <w:color w:val="auto"/>
        </w:rPr>
        <w:t>Perpetual Fixed Rate Non-Cumulative Preferred Stock, Series J</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3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16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72"/>
        </w:trPr>
        <w:tc>
          <w:tcPr>
            <w:tcW w:w="1140" w:type="dxa"/>
            <w:vAlign w:val="bottom"/>
          </w:tcPr>
          <w:p>
            <w:pPr>
              <w:spacing w:after="0"/>
              <w:rPr>
                <w:sz w:val="23"/>
                <w:szCs w:val="23"/>
                <w:color w:val="auto"/>
              </w:rPr>
            </w:pPr>
          </w:p>
        </w:tc>
        <w:tc>
          <w:tcPr>
            <w:tcW w:w="2240" w:type="dxa"/>
            <w:vAlign w:val="bottom"/>
            <w:gridSpan w:val="2"/>
          </w:tcPr>
          <w:p>
            <w:pPr>
              <w:jc w:val="center"/>
              <w:ind w:right="128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2780" w:type="dxa"/>
            <w:vAlign w:val="bottom"/>
            <w:gridSpan w:val="2"/>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12"/>
        </w:trPr>
        <w:tc>
          <w:tcPr>
            <w:tcW w:w="114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MTB</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276"/>
        </w:trPr>
        <w:tc>
          <w:tcPr>
            <w:tcW w:w="1140" w:type="dxa"/>
            <w:vAlign w:val="bottom"/>
          </w:tcPr>
          <w:p>
            <w:pPr>
              <w:spacing w:after="0"/>
              <w:rPr>
                <w:sz w:val="24"/>
                <w:szCs w:val="24"/>
                <w:color w:val="auto"/>
              </w:rPr>
            </w:pPr>
          </w:p>
        </w:tc>
        <w:tc>
          <w:tcPr>
            <w:tcW w:w="2240" w:type="dxa"/>
            <w:vAlign w:val="bottom"/>
            <w:gridSpan w:val="2"/>
          </w:tcPr>
          <w:p>
            <w:pPr>
              <w:jc w:val="center"/>
              <w:ind w:right="1300"/>
              <w:spacing w:after="0"/>
              <w:rPr>
                <w:sz w:val="20"/>
                <w:szCs w:val="20"/>
                <w:color w:val="auto"/>
              </w:rPr>
            </w:pPr>
            <w:r>
              <w:rPr>
                <w:rFonts w:ascii="Times New Roman" w:cs="Times New Roman" w:eastAsia="Times New Roman" w:hAnsi="Times New Roman"/>
                <w:sz w:val="13"/>
                <w:szCs w:val="13"/>
                <w:color w:val="auto"/>
              </w:rPr>
              <w:t>MTBPrH</w:t>
            </w:r>
          </w:p>
        </w:tc>
        <w:tc>
          <w:tcPr>
            <w:tcW w:w="16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360"/>
        </w:trPr>
        <w:tc>
          <w:tcPr>
            <w:tcW w:w="1140" w:type="dxa"/>
            <w:vAlign w:val="bottom"/>
          </w:tcPr>
          <w:p>
            <w:pPr>
              <w:spacing w:after="0"/>
              <w:rPr>
                <w:sz w:val="24"/>
                <w:szCs w:val="24"/>
                <w:color w:val="auto"/>
              </w:rPr>
            </w:pPr>
          </w:p>
        </w:tc>
        <w:tc>
          <w:tcPr>
            <w:tcW w:w="2240" w:type="dxa"/>
            <w:vAlign w:val="bottom"/>
            <w:gridSpan w:val="2"/>
          </w:tcPr>
          <w:p>
            <w:pPr>
              <w:jc w:val="center"/>
              <w:ind w:right="1280"/>
              <w:spacing w:after="0"/>
              <w:rPr>
                <w:sz w:val="20"/>
                <w:szCs w:val="20"/>
                <w:color w:val="auto"/>
              </w:rPr>
            </w:pPr>
            <w:r>
              <w:rPr>
                <w:rFonts w:ascii="Times New Roman" w:cs="Times New Roman" w:eastAsia="Times New Roman" w:hAnsi="Times New Roman"/>
                <w:sz w:val="13"/>
                <w:szCs w:val="13"/>
                <w:color w:val="auto"/>
                <w:w w:val="98"/>
              </w:rPr>
              <w:t>MTBPrJ</w:t>
            </w:r>
          </w:p>
        </w:tc>
        <w:tc>
          <w:tcPr>
            <w:tcW w:w="16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New York Stock Exchange</w:t>
            </w:r>
          </w:p>
        </w:tc>
      </w:tr>
    </w:tbl>
    <w:p>
      <w:pPr>
        <w:spacing w:after="0" w:line="162" w:lineRule="exact"/>
        <w:rPr>
          <w:sz w:val="24"/>
          <w:szCs w:val="24"/>
          <w:color w:val="auto"/>
        </w:rPr>
      </w:pPr>
    </w:p>
    <w:p>
      <w:pPr>
        <w:sectPr>
          <w:pgSz w:w="11900" w:h="16840" w:orient="portrait"/>
          <w:cols w:equalWidth="0" w:num="2">
            <w:col w:w="2940" w:space="720"/>
            <w:col w:w="6900"/>
          </w:cols>
          <w:pgMar w:left="660" w:top="1355" w:right="680" w:bottom="1440" w:gutter="0" w:footer="0" w:header="0"/>
          <w:type w:val="continuous"/>
        </w:sectPr>
      </w:pPr>
    </w:p>
    <w:p>
      <w:pPr>
        <w:ind w:left="4160"/>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4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3"/>
          <w:szCs w:val="13"/>
          <w:color w:val="auto"/>
        </w:rPr>
        <w:t>x</w:t>
      </w:r>
      <w:r>
        <w:rPr>
          <w:rFonts w:ascii="Times New Roman" w:cs="Times New Roman" w:eastAsia="Times New Roman" w:hAnsi="Times New Roman"/>
          <w:sz w:val="13"/>
          <w:szCs w:val="13"/>
          <w:color w:val="auto"/>
        </w:rPr>
        <w:t xml:space="preserve"> Yes </w:t>
      </w:r>
      <w:r>
        <w:rPr>
          <w:rFonts w:ascii="Wingdings" w:cs="Wingdings" w:eastAsia="Wingdings" w:hAnsi="Wingdings"/>
          <w:sz w:val="13"/>
          <w:szCs w:val="13"/>
          <w:color w:val="auto"/>
        </w:rPr>
        <w:t>o</w:t>
      </w:r>
      <w:r>
        <w:rPr>
          <w:rFonts w:ascii="Times New Roman" w:cs="Times New Roman" w:eastAsia="Times New Roman" w:hAnsi="Times New Roman"/>
          <w:sz w:val="13"/>
          <w:szCs w:val="13"/>
          <w:color w:val="auto"/>
        </w:rPr>
        <w:t xml:space="preserve"> No</w:t>
      </w:r>
    </w:p>
    <w:p>
      <w:pPr>
        <w:spacing w:after="0" w:line="4"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3"/>
          <w:szCs w:val="13"/>
          <w:color w:val="auto"/>
        </w:rPr>
        <w:t xml:space="preserve">x </w:t>
      </w:r>
      <w:r>
        <w:rPr>
          <w:rFonts w:ascii="Times New Roman" w:cs="Times New Roman" w:eastAsia="Times New Roman" w:hAnsi="Times New Roman"/>
          <w:sz w:val="13"/>
          <w:szCs w:val="13"/>
          <w:color w:val="auto"/>
        </w:rPr>
        <w:t>Yes</w:t>
      </w:r>
      <w:r>
        <w:rPr>
          <w:rFonts w:ascii="Wingdings" w:cs="Wingdings" w:eastAsia="Wingdings" w:hAnsi="Wingdings"/>
          <w:sz w:val="13"/>
          <w:szCs w:val="13"/>
          <w:color w:val="auto"/>
        </w:rPr>
        <w:t xml:space="preserve"> o </w:t>
      </w:r>
      <w:r>
        <w:rPr>
          <w:rFonts w:ascii="Times New Roman" w:cs="Times New Roman" w:eastAsia="Times New Roman" w:hAnsi="Times New Roman"/>
          <w:sz w:val="13"/>
          <w:szCs w:val="13"/>
          <w:color w:val="auto"/>
        </w:rPr>
        <w:t>No</w:t>
      </w:r>
    </w:p>
    <w:p>
      <w:pPr>
        <w:spacing w:after="0" w:line="171"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120" w:type="dxa"/>
            <w:vAlign w:val="bottom"/>
          </w:tcPr>
          <w:p>
            <w:pPr>
              <w:ind w:left="880"/>
              <w:spacing w:after="0"/>
              <w:rPr>
                <w:sz w:val="20"/>
                <w:szCs w:val="20"/>
                <w:color w:val="auto"/>
              </w:rPr>
            </w:pPr>
            <w:r>
              <w:rPr>
                <w:rFonts w:ascii="Wingdings" w:cs="Wingdings" w:eastAsia="Wingdings" w:hAnsi="Wingdings"/>
                <w:sz w:val="13"/>
                <w:szCs w:val="13"/>
                <w:color w:val="auto"/>
              </w:rPr>
              <w:t>x</w:t>
            </w:r>
          </w:p>
        </w:tc>
        <w:tc>
          <w:tcPr>
            <w:tcW w:w="4180" w:type="dxa"/>
            <w:vAlign w:val="bottom"/>
          </w:tcPr>
          <w:p>
            <w:pPr>
              <w:ind w:left="2080"/>
              <w:spacing w:after="0"/>
              <w:rPr>
                <w:sz w:val="20"/>
                <w:szCs w:val="20"/>
                <w:color w:val="auto"/>
              </w:rPr>
            </w:pPr>
            <w:r>
              <w:rPr>
                <w:rFonts w:ascii="Times New Roman" w:cs="Times New Roman" w:eastAsia="Times New Roman" w:hAnsi="Times New Roman"/>
                <w:sz w:val="13"/>
                <w:szCs w:val="13"/>
                <w:color w:val="auto"/>
              </w:rPr>
              <w:t>Accelerated filer</w:t>
            </w:r>
          </w:p>
        </w:tc>
        <w:tc>
          <w:tcPr>
            <w:tcW w:w="780" w:type="dxa"/>
            <w:vAlign w:val="bottom"/>
          </w:tcPr>
          <w:p>
            <w:pPr>
              <w:ind w:left="660"/>
              <w:spacing w:after="0"/>
              <w:rPr>
                <w:sz w:val="20"/>
                <w:szCs w:val="20"/>
                <w:color w:val="auto"/>
              </w:rPr>
            </w:pPr>
            <w:r>
              <w:rPr>
                <w:rFonts w:ascii="Wingdings" w:cs="Wingdings" w:eastAsia="Wingdings" w:hAnsi="Wingdings"/>
                <w:sz w:val="13"/>
                <w:szCs w:val="13"/>
                <w:color w:val="auto"/>
                <w:w w:val="85"/>
              </w:rPr>
              <w:t>o</w:t>
            </w:r>
          </w:p>
        </w:tc>
      </w:tr>
      <w:tr>
        <w:trPr>
          <w:trHeight w:val="204"/>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120" w:type="dxa"/>
            <w:vAlign w:val="bottom"/>
          </w:tcPr>
          <w:p>
            <w:pPr>
              <w:ind w:left="880"/>
              <w:spacing w:after="0"/>
              <w:rPr>
                <w:sz w:val="20"/>
                <w:szCs w:val="20"/>
                <w:color w:val="auto"/>
              </w:rPr>
            </w:pPr>
            <w:r>
              <w:rPr>
                <w:rFonts w:ascii="Wingdings" w:cs="Wingdings" w:eastAsia="Wingdings" w:hAnsi="Wingdings"/>
                <w:sz w:val="13"/>
                <w:szCs w:val="13"/>
                <w:color w:val="auto"/>
              </w:rPr>
              <w:t>o</w:t>
            </w:r>
          </w:p>
        </w:tc>
        <w:tc>
          <w:tcPr>
            <w:tcW w:w="4180" w:type="dxa"/>
            <w:vAlign w:val="bottom"/>
          </w:tcPr>
          <w:p>
            <w:pPr>
              <w:ind w:left="20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80" w:type="dxa"/>
            <w:vAlign w:val="bottom"/>
          </w:tcPr>
          <w:p>
            <w:pPr>
              <w:ind w:left="660"/>
              <w:spacing w:after="0"/>
              <w:rPr>
                <w:sz w:val="20"/>
                <w:szCs w:val="20"/>
                <w:color w:val="auto"/>
              </w:rPr>
            </w:pPr>
            <w:r>
              <w:rPr>
                <w:rFonts w:ascii="Wingdings" w:cs="Wingdings" w:eastAsia="Wingdings" w:hAnsi="Wingdings"/>
                <w:sz w:val="13"/>
                <w:szCs w:val="13"/>
                <w:color w:val="auto"/>
                <w:w w:val="85"/>
              </w:rPr>
              <w:t>o</w:t>
            </w:r>
          </w:p>
        </w:tc>
      </w:tr>
      <w:tr>
        <w:trPr>
          <w:trHeight w:val="204"/>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120" w:type="dxa"/>
            <w:vAlign w:val="bottom"/>
          </w:tcPr>
          <w:p>
            <w:pPr>
              <w:ind w:left="880"/>
              <w:spacing w:after="0"/>
              <w:rPr>
                <w:sz w:val="20"/>
                <w:szCs w:val="20"/>
                <w:color w:val="auto"/>
              </w:rPr>
            </w:pPr>
            <w:r>
              <w:rPr>
                <w:rFonts w:ascii="Wingdings" w:cs="Wingdings" w:eastAsia="Wingdings" w:hAnsi="Wingdings"/>
                <w:sz w:val="13"/>
                <w:szCs w:val="13"/>
                <w:color w:val="auto"/>
              </w:rPr>
              <w:t>o</w:t>
            </w:r>
          </w:p>
        </w:tc>
        <w:tc>
          <w:tcPr>
            <w:tcW w:w="4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128"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color w:val="auto"/>
        </w:rPr>
        <w:t>o</w:t>
      </w:r>
    </w:p>
    <w:p>
      <w:pPr>
        <w:spacing w:after="0" w:line="4" w:lineRule="exact"/>
        <w:rPr>
          <w:sz w:val="24"/>
          <w:szCs w:val="24"/>
          <w:color w:val="auto"/>
        </w:rPr>
      </w:pPr>
    </w:p>
    <w:p>
      <w:pPr>
        <w:spacing w:after="0"/>
        <w:tabs>
          <w:tab w:leader="none" w:pos="61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r>
        <w:rPr>
          <w:sz w:val="20"/>
          <w:szCs w:val="20"/>
          <w:color w:val="auto"/>
        </w:rPr>
        <w:tab/>
      </w:r>
      <w:r>
        <w:rPr>
          <w:rFonts w:ascii="Wingdings" w:cs="Wingdings" w:eastAsia="Wingdings" w:hAnsi="Wingdings"/>
          <w:sz w:val="9"/>
          <w:szCs w:val="9"/>
          <w:color w:val="auto"/>
        </w:rPr>
        <w:t xml:space="preserve">o </w:t>
      </w:r>
      <w:r>
        <w:rPr>
          <w:rFonts w:ascii="Times New Roman" w:cs="Times New Roman" w:eastAsia="Times New Roman" w:hAnsi="Times New Roman"/>
          <w:sz w:val="9"/>
          <w:szCs w:val="9"/>
          <w:color w:val="auto"/>
        </w:rPr>
        <w:t>Yes</w:t>
      </w:r>
      <w:r>
        <w:rPr>
          <w:rFonts w:ascii="Wingdings" w:cs="Wingdings" w:eastAsia="Wingdings" w:hAnsi="Wingdings"/>
          <w:sz w:val="9"/>
          <w:szCs w:val="9"/>
          <w:color w:val="auto"/>
        </w:rPr>
        <w:t xml:space="preserve">  x </w:t>
      </w:r>
      <w:r>
        <w:rPr>
          <w:rFonts w:ascii="Times New Roman" w:cs="Times New Roman" w:eastAsia="Times New Roman" w:hAnsi="Times New Roman"/>
          <w:sz w:val="9"/>
          <w:szCs w:val="9"/>
          <w:color w:val="auto"/>
        </w:rPr>
        <w:t>No</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Number of shares of the registrant's Common Stock, $0.50 par value, outstanding as of the close of business on October 23, 2025: 153,690,781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593090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102870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125730</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60"/>
          </w:cols>
          <w:pgMar w:left="660" w:top="1355" w:right="68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40" w:type="dxa"/>
            <w:vAlign w:val="bottom"/>
            <w:gridSpan w:val="14"/>
          </w:tcPr>
          <w:p>
            <w:pPr>
              <w:jc w:val="center"/>
              <w:ind w:right="3360"/>
              <w:spacing w:after="0"/>
              <w:rPr>
                <w:sz w:val="20"/>
                <w:szCs w:val="20"/>
                <w:color w:val="auto"/>
              </w:rPr>
            </w:pPr>
            <w:r>
              <w:rPr>
                <w:rFonts w:ascii="Times New Roman" w:cs="Times New Roman" w:eastAsia="Times New Roman" w:hAnsi="Times New Roman"/>
                <w:sz w:val="16"/>
                <w:szCs w:val="16"/>
                <w:color w:val="auto"/>
                <w:w w:val="96"/>
              </w:rPr>
              <w:t>M&amp;T Bank Corporation</w:t>
            </w:r>
          </w:p>
        </w:tc>
        <w:tc>
          <w:tcPr>
            <w:tcW w:w="1120" w:type="dxa"/>
            <w:vAlign w:val="bottom"/>
          </w:tcPr>
          <w:p>
            <w:pPr>
              <w:spacing w:after="0"/>
              <w:rPr>
                <w:sz w:val="16"/>
                <w:szCs w:val="16"/>
                <w:color w:val="auto"/>
              </w:rPr>
            </w:pPr>
          </w:p>
        </w:tc>
      </w:tr>
      <w:tr>
        <w:trPr>
          <w:trHeight w:val="35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7"/>
              </w:rPr>
              <w:t>FORM 10-Q</w:t>
            </w:r>
          </w:p>
        </w:tc>
        <w:tc>
          <w:tcPr>
            <w:tcW w:w="340" w:type="dxa"/>
            <w:vAlign w:val="bottom"/>
            <w:tcBorders>
              <w:top w:val="single" w:sz="8" w:color="auto"/>
            </w:tcBorders>
            <w:gridSpan w:val="2"/>
          </w:tcPr>
          <w:p>
            <w:pPr>
              <w:spacing w:after="0"/>
              <w:rPr>
                <w:sz w:val="24"/>
                <w:szCs w:val="24"/>
                <w:color w:val="auto"/>
              </w:rPr>
            </w:pPr>
          </w:p>
        </w:tc>
        <w:tc>
          <w:tcPr>
            <w:tcW w:w="3400" w:type="dxa"/>
            <w:vAlign w:val="bottom"/>
            <w:gridSpan w:val="7"/>
          </w:tcPr>
          <w:p>
            <w:pPr>
              <w:spacing w:after="0"/>
              <w:rPr>
                <w:sz w:val="24"/>
                <w:szCs w:val="24"/>
                <w:color w:val="auto"/>
              </w:rPr>
            </w:pPr>
          </w:p>
        </w:tc>
        <w:tc>
          <w:tcPr>
            <w:tcW w:w="1120" w:type="dxa"/>
            <w:vAlign w:val="bottom"/>
          </w:tcPr>
          <w:p>
            <w:pPr>
              <w:spacing w:after="0"/>
              <w:rPr>
                <w:sz w:val="24"/>
                <w:szCs w:val="24"/>
                <w:color w:val="auto"/>
              </w:rPr>
            </w:pPr>
          </w:p>
        </w:tc>
      </w:tr>
      <w:tr>
        <w:trPr>
          <w:trHeight w:val="35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20"/>
          </w:tcPr>
          <w:p>
            <w:pPr>
              <w:jc w:val="center"/>
              <w:ind w:right="2480"/>
              <w:spacing w:after="0"/>
              <w:rPr>
                <w:sz w:val="20"/>
                <w:szCs w:val="20"/>
                <w:color w:val="auto"/>
              </w:rPr>
            </w:pPr>
            <w:r>
              <w:rPr>
                <w:rFonts w:ascii="Times New Roman" w:cs="Times New Roman" w:eastAsia="Times New Roman" w:hAnsi="Times New Roman"/>
                <w:sz w:val="16"/>
                <w:szCs w:val="16"/>
                <w:color w:val="auto"/>
                <w:w w:val="97"/>
              </w:rPr>
              <w:t>For the Quarterly Period Ended September 30, 2025</w:t>
            </w:r>
          </w:p>
        </w:tc>
        <w:tc>
          <w:tcPr>
            <w:tcW w:w="11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5"/>
              </w:rPr>
              <w:t>Table of Contents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Page</w:t>
            </w:r>
          </w:p>
        </w:tc>
      </w:tr>
      <w:tr>
        <w:trPr>
          <w:trHeight w:val="280"/>
        </w:trPr>
        <w:tc>
          <w:tcPr>
            <w:tcW w:w="2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5"/>
              </w:rPr>
            </w:pPr>
            <w:hyperlink w:anchor="page3">
              <w:r>
                <w:rPr>
                  <w:rFonts w:ascii="Times New Roman" w:cs="Times New Roman" w:eastAsia="Times New Roman" w:hAnsi="Times New Roman"/>
                  <w:sz w:val="16"/>
                  <w:szCs w:val="16"/>
                  <w:color w:val="0000FF"/>
                  <w:w w:val="95"/>
                </w:rPr>
                <w:t>Glossary of Terms</w:t>
              </w:r>
            </w:hyperlink>
          </w:p>
        </w:tc>
        <w:tc>
          <w:tcPr>
            <w:tcW w:w="3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3">
              <w:r>
                <w:rPr>
                  <w:rFonts w:ascii="Times New Roman" w:cs="Times New Roman" w:eastAsia="Times New Roman" w:hAnsi="Times New Roman"/>
                  <w:sz w:val="16"/>
                  <w:szCs w:val="16"/>
                  <w:color w:val="auto"/>
                  <w:w w:val="99"/>
                </w:rPr>
                <w:t>4</w:t>
              </w:r>
            </w:hyperlink>
          </w:p>
        </w:tc>
      </w:tr>
      <w:tr>
        <w:trPr>
          <w:trHeight w:val="280"/>
        </w:trPr>
        <w:tc>
          <w:tcPr>
            <w:tcW w:w="20" w:type="dxa"/>
            <w:vAlign w:val="bottom"/>
          </w:tcPr>
          <w:p>
            <w:pPr>
              <w:spacing w:after="0"/>
              <w:rPr>
                <w:sz w:val="24"/>
                <w:szCs w:val="24"/>
                <w:color w:val="auto"/>
              </w:rPr>
            </w:pPr>
          </w:p>
        </w:tc>
        <w:tc>
          <w:tcPr>
            <w:tcW w:w="9420" w:type="dxa"/>
            <w:vAlign w:val="bottom"/>
            <w:gridSpan w:val="42"/>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Part I. Financial Information</w:t>
              </w:r>
            </w:hyperlink>
          </w:p>
        </w:tc>
        <w:tc>
          <w:tcPr>
            <w:tcW w:w="1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20" w:type="dxa"/>
            <w:vAlign w:val="bottom"/>
          </w:tcPr>
          <w:p>
            <w:pPr>
              <w:ind w:left="140"/>
              <w:spacing w:after="0"/>
              <w:rPr>
                <w:rFonts w:ascii="Times New Roman" w:cs="Times New Roman" w:eastAsia="Times New Roman" w:hAnsi="Times New Roman"/>
                <w:sz w:val="16"/>
                <w:szCs w:val="16"/>
                <w:color w:val="auto"/>
              </w:rPr>
            </w:pPr>
            <w:hyperlink w:anchor="page5">
              <w:r>
                <w:rPr>
                  <w:rFonts w:ascii="Times New Roman" w:cs="Times New Roman" w:eastAsia="Times New Roman" w:hAnsi="Times New Roman"/>
                  <w:sz w:val="16"/>
                  <w:szCs w:val="16"/>
                  <w:color w:val="auto"/>
                </w:rPr>
                <w:t>Item 1.</w:t>
              </w:r>
            </w:hyperlink>
          </w:p>
        </w:tc>
        <w:tc>
          <w:tcPr>
            <w:tcW w:w="20" w:type="dxa"/>
            <w:vAlign w:val="bottom"/>
          </w:tcPr>
          <w:p>
            <w:pPr>
              <w:spacing w:after="0"/>
              <w:rPr>
                <w:sz w:val="24"/>
                <w:szCs w:val="24"/>
                <w:color w:val="auto"/>
              </w:rPr>
            </w:pPr>
          </w:p>
        </w:tc>
        <w:tc>
          <w:tcPr>
            <w:tcW w:w="210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6"/>
              </w:rPr>
            </w:pPr>
            <w:hyperlink w:anchor="page5">
              <w:r>
                <w:rPr>
                  <w:rFonts w:ascii="Times New Roman" w:cs="Times New Roman" w:eastAsia="Times New Roman" w:hAnsi="Times New Roman"/>
                  <w:sz w:val="16"/>
                  <w:szCs w:val="16"/>
                  <w:color w:val="0000FF"/>
                  <w:w w:val="96"/>
                </w:rPr>
                <w:t>Financial Statements (Unaudited)</w:t>
              </w:r>
            </w:hyperlink>
          </w:p>
        </w:tc>
        <w:tc>
          <w:tcPr>
            <w:tcW w:w="6180" w:type="dxa"/>
            <w:vAlign w:val="bottom"/>
            <w:gridSpan w:val="24"/>
          </w:tcPr>
          <w:p>
            <w:pPr>
              <w:spacing w:after="0"/>
              <w:rPr>
                <w:sz w:val="24"/>
                <w:szCs w:val="24"/>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5">
              <w:r>
                <w:rPr>
                  <w:rFonts w:ascii="Times New Roman" w:cs="Times New Roman" w:eastAsia="Times New Roman" w:hAnsi="Times New Roman"/>
                  <w:sz w:val="16"/>
                  <w:szCs w:val="16"/>
                  <w:color w:val="auto"/>
                  <w:w w:val="99"/>
                </w:rPr>
                <w:t>5</w:t>
              </w:r>
            </w:hyperlink>
          </w:p>
        </w:tc>
      </w:tr>
      <w:tr>
        <w:trPr>
          <w:trHeight w:val="28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80" w:type="dxa"/>
            <w:vAlign w:val="bottom"/>
            <w:gridSpan w:val="40"/>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 xml:space="preserve">Consolidated Balance Sheet </w:t>
              </w:r>
            </w:hyperlink>
            <w:r>
              <w:rPr>
                <w:rFonts w:ascii="Times New Roman" w:cs="Times New Roman" w:eastAsia="Times New Roman" w:hAnsi="Times New Roman"/>
                <w:sz w:val="16"/>
                <w:szCs w:val="16"/>
                <w:color w:val="0000EE"/>
              </w:rPr>
              <w:t>– September 30, 2025 and December 31, 2024</w:t>
            </w: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5">
              <w:r>
                <w:rPr>
                  <w:rFonts w:ascii="Times New Roman" w:cs="Times New Roman" w:eastAsia="Times New Roman" w:hAnsi="Times New Roman"/>
                  <w:sz w:val="16"/>
                  <w:szCs w:val="16"/>
                  <w:color w:val="auto"/>
                  <w:w w:val="99"/>
                </w:rPr>
                <w:t>5</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80" w:type="dxa"/>
            <w:vAlign w:val="bottom"/>
            <w:gridSpan w:val="40"/>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 xml:space="preserve">Consolidated Statement of Income – </w:t>
              </w:r>
            </w:hyperlink>
            <w:r>
              <w:rPr>
                <w:rFonts w:ascii="Times New Roman" w:cs="Times New Roman" w:eastAsia="Times New Roman" w:hAnsi="Times New Roman"/>
                <w:sz w:val="16"/>
                <w:szCs w:val="16"/>
                <w:color w:val="0000EE"/>
              </w:rPr>
              <w:t>Three and nine months ended September 30, 2025 and 2024</w:t>
            </w: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5">
              <w:r>
                <w:rPr>
                  <w:rFonts w:ascii="Times New Roman" w:cs="Times New Roman" w:eastAsia="Times New Roman" w:hAnsi="Times New Roman"/>
                  <w:sz w:val="16"/>
                  <w:szCs w:val="16"/>
                  <w:color w:val="auto"/>
                  <w:w w:val="99"/>
                </w:rPr>
                <w:t>6</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80" w:type="dxa"/>
            <w:vAlign w:val="bottom"/>
            <w:gridSpan w:val="40"/>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 xml:space="preserve">Consolidated Statement of Comprehensive Income – </w:t>
              </w:r>
            </w:hyperlink>
            <w:r>
              <w:rPr>
                <w:rFonts w:ascii="Times New Roman" w:cs="Times New Roman" w:eastAsia="Times New Roman" w:hAnsi="Times New Roman"/>
                <w:sz w:val="16"/>
                <w:szCs w:val="16"/>
                <w:color w:val="0000EE"/>
              </w:rPr>
              <w:t>Three and nine months ended September 30, 2025 and 2024</w:t>
            </w: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6">
              <w:r>
                <w:rPr>
                  <w:rFonts w:ascii="Times New Roman" w:cs="Times New Roman" w:eastAsia="Times New Roman" w:hAnsi="Times New Roman"/>
                  <w:sz w:val="16"/>
                  <w:szCs w:val="16"/>
                  <w:color w:val="auto"/>
                  <w:w w:val="99"/>
                </w:rPr>
                <w:t>7</w:t>
              </w:r>
            </w:hyperlink>
          </w:p>
        </w:tc>
      </w:tr>
      <w:tr>
        <w:trPr>
          <w:trHeight w:val="28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tcBorders>
              <w:top w:val="single" w:sz="8" w:color="0000EE"/>
            </w:tcBorders>
            <w:gridSpan w:val="38"/>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 xml:space="preserve">Consolidated Statement of Cash Flows – </w:t>
              </w:r>
            </w:hyperlink>
            <w:r>
              <w:rPr>
                <w:rFonts w:ascii="Times New Roman" w:cs="Times New Roman" w:eastAsia="Times New Roman" w:hAnsi="Times New Roman"/>
                <w:sz w:val="16"/>
                <w:szCs w:val="16"/>
                <w:color w:val="0000EE"/>
              </w:rPr>
              <w:t>Nine months ended September 30, 2025 and 2024</w:t>
            </w:r>
          </w:p>
        </w:tc>
        <w:tc>
          <w:tcPr>
            <w:tcW w:w="1220" w:type="dxa"/>
            <w:vAlign w:val="bottom"/>
            <w:gridSpan w:val="2"/>
          </w:tcPr>
          <w:p>
            <w:pPr>
              <w:spacing w:after="0"/>
              <w:rPr>
                <w:sz w:val="24"/>
                <w:szCs w:val="24"/>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7">
              <w:r>
                <w:rPr>
                  <w:rFonts w:ascii="Times New Roman" w:cs="Times New Roman" w:eastAsia="Times New Roman" w:hAnsi="Times New Roman"/>
                  <w:sz w:val="16"/>
                  <w:szCs w:val="16"/>
                  <w:color w:val="auto"/>
                  <w:w w:val="99"/>
                </w:rPr>
                <w:t>8</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80" w:type="dxa"/>
            <w:vAlign w:val="bottom"/>
            <w:gridSpan w:val="40"/>
          </w:tcPr>
          <w:p>
            <w:pPr>
              <w:spacing w:after="0"/>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 xml:space="preserve">Consolidated Statement </w:t>
              </w:r>
            </w:hyperlink>
            <w:r>
              <w:rPr>
                <w:rFonts w:ascii="Times New Roman" w:cs="Times New Roman" w:eastAsia="Times New Roman" w:hAnsi="Times New Roman"/>
                <w:sz w:val="16"/>
                <w:szCs w:val="16"/>
                <w:color w:val="0000EE"/>
              </w:rPr>
              <w:t xml:space="preserve">of </w:t>
            </w:r>
            <w:hyperlink w:anchor="page8">
              <w:r>
                <w:rPr>
                  <w:rFonts w:ascii="Times New Roman" w:cs="Times New Roman" w:eastAsia="Times New Roman" w:hAnsi="Times New Roman"/>
                  <w:sz w:val="16"/>
                  <w:szCs w:val="16"/>
                  <w:color w:val="0000EE"/>
                </w:rPr>
                <w:t xml:space="preserve">Changes in Shareholders' Equity – </w:t>
              </w:r>
            </w:hyperlink>
            <w:r>
              <w:rPr>
                <w:rFonts w:ascii="Times New Roman" w:cs="Times New Roman" w:eastAsia="Times New Roman" w:hAnsi="Times New Roman"/>
                <w:sz w:val="16"/>
                <w:szCs w:val="16"/>
                <w:color w:val="0000EE"/>
              </w:rPr>
              <w:t>Three and nine months ended September 30, 2025 and 2024</w:t>
            </w: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8">
              <w:r>
                <w:rPr>
                  <w:rFonts w:ascii="Times New Roman" w:cs="Times New Roman" w:eastAsia="Times New Roman" w:hAnsi="Times New Roman"/>
                  <w:sz w:val="16"/>
                  <w:szCs w:val="16"/>
                  <w:color w:val="auto"/>
                  <w:w w:val="99"/>
                </w:rPr>
                <w:t>9</w:t>
              </w:r>
            </w:hyperlink>
          </w:p>
        </w:tc>
      </w:tr>
      <w:tr>
        <w:trPr>
          <w:trHeight w:val="28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tcBorders>
              <w:top w:val="single" w:sz="8" w:color="0000EE"/>
            </w:tcBorders>
            <w:gridSpan w:val="39"/>
          </w:tcPr>
          <w:p>
            <w:pPr>
              <w:spacing w:after="0"/>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Notes to Financial Statements</w:t>
              </w:r>
            </w:hyperlink>
          </w:p>
        </w:tc>
        <w:tc>
          <w:tcPr>
            <w:tcW w:w="680" w:type="dxa"/>
            <w:vAlign w:val="bottom"/>
          </w:tcPr>
          <w:p>
            <w:pPr>
              <w:spacing w:after="0"/>
              <w:rPr>
                <w:sz w:val="24"/>
                <w:szCs w:val="24"/>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9">
              <w:r>
                <w:rPr>
                  <w:rFonts w:ascii="Times New Roman" w:cs="Times New Roman" w:eastAsia="Times New Roman" w:hAnsi="Times New Roman"/>
                  <w:sz w:val="16"/>
                  <w:szCs w:val="16"/>
                  <w:color w:val="auto"/>
                  <w:w w:val="99"/>
                </w:rPr>
                <w:t>10</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0"/>
              <w:spacing w:after="0"/>
              <w:rPr>
                <w:rFonts w:ascii="Times New Roman" w:cs="Times New Roman" w:eastAsia="Times New Roman" w:hAnsi="Times New Roman"/>
                <w:sz w:val="16"/>
                <w:szCs w:val="16"/>
                <w:color w:val="0000FF"/>
                <w:w w:val="82"/>
              </w:rPr>
            </w:pPr>
            <w:hyperlink w:anchor="page10">
              <w:r>
                <w:rPr>
                  <w:rFonts w:ascii="Times New Roman" w:cs="Times New Roman" w:eastAsia="Times New Roman" w:hAnsi="Times New Roman"/>
                  <w:sz w:val="16"/>
                  <w:szCs w:val="16"/>
                  <w:color w:val="0000FF"/>
                  <w:w w:val="82"/>
                </w:rPr>
                <w:t>1.</w:t>
              </w:r>
            </w:hyperlink>
          </w:p>
        </w:tc>
        <w:tc>
          <w:tcPr>
            <w:tcW w:w="7960" w:type="dxa"/>
            <w:vAlign w:val="bottom"/>
            <w:gridSpan w:val="37"/>
          </w:tcPr>
          <w:p>
            <w:pPr>
              <w:ind w:left="20"/>
              <w:spacing w:after="0"/>
              <w:rPr>
                <w:rFonts w:ascii="Times New Roman" w:cs="Times New Roman" w:eastAsia="Times New Roman" w:hAnsi="Times New Roman"/>
                <w:sz w:val="16"/>
                <w:szCs w:val="16"/>
                <w:color w:val="0000FF"/>
              </w:rPr>
            </w:pPr>
            <w:hyperlink w:anchor="page10">
              <w:r>
                <w:rPr>
                  <w:rFonts w:ascii="Times New Roman" w:cs="Times New Roman" w:eastAsia="Times New Roman" w:hAnsi="Times New Roman"/>
                  <w:sz w:val="16"/>
                  <w:szCs w:val="16"/>
                  <w:color w:val="0000FF"/>
                </w:rPr>
                <w:t>Significant accounting policies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10">
              <w:r>
                <w:rPr>
                  <w:rFonts w:ascii="Times New Roman" w:cs="Times New Roman" w:eastAsia="Times New Roman" w:hAnsi="Times New Roman"/>
                  <w:sz w:val="16"/>
                  <w:szCs w:val="16"/>
                  <w:color w:val="auto"/>
                  <w:w w:val="99"/>
                </w:rPr>
                <w:t>10</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gridSpan w:val="4"/>
          </w:tcPr>
          <w:p>
            <w:pPr>
              <w:ind w:left="220"/>
              <w:spacing w:after="0"/>
              <w:rPr>
                <w:rFonts w:ascii="Times New Roman" w:cs="Times New Roman" w:eastAsia="Times New Roman" w:hAnsi="Times New Roman"/>
                <w:sz w:val="16"/>
                <w:szCs w:val="16"/>
                <w:color w:val="0000FF"/>
                <w:w w:val="82"/>
              </w:rPr>
            </w:pPr>
            <w:hyperlink w:anchor="page10">
              <w:r>
                <w:rPr>
                  <w:rFonts w:ascii="Times New Roman" w:cs="Times New Roman" w:eastAsia="Times New Roman" w:hAnsi="Times New Roman"/>
                  <w:sz w:val="16"/>
                  <w:szCs w:val="16"/>
                  <w:color w:val="0000FF"/>
                  <w:w w:val="82"/>
                </w:rPr>
                <w:t>2.</w:t>
              </w:r>
            </w:hyperlink>
          </w:p>
        </w:tc>
        <w:tc>
          <w:tcPr>
            <w:tcW w:w="7960" w:type="dxa"/>
            <w:vAlign w:val="bottom"/>
            <w:gridSpan w:val="37"/>
          </w:tcPr>
          <w:p>
            <w:pPr>
              <w:ind w:left="20"/>
              <w:spacing w:after="0"/>
              <w:rPr>
                <w:rFonts w:ascii="Times New Roman" w:cs="Times New Roman" w:eastAsia="Times New Roman" w:hAnsi="Times New Roman"/>
                <w:sz w:val="16"/>
                <w:szCs w:val="16"/>
                <w:color w:val="0000FF"/>
              </w:rPr>
            </w:pPr>
            <w:hyperlink w:anchor="page10">
              <w:r>
                <w:rPr>
                  <w:rFonts w:ascii="Times New Roman" w:cs="Times New Roman" w:eastAsia="Times New Roman" w:hAnsi="Times New Roman"/>
                  <w:sz w:val="16"/>
                  <w:szCs w:val="16"/>
                  <w:color w:val="0000FF"/>
                </w:rPr>
                <w:t>Divestitures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10">
              <w:r>
                <w:rPr>
                  <w:rFonts w:ascii="Times New Roman" w:cs="Times New Roman" w:eastAsia="Times New Roman" w:hAnsi="Times New Roman"/>
                  <w:sz w:val="16"/>
                  <w:szCs w:val="16"/>
                  <w:color w:val="auto"/>
                  <w:w w:val="99"/>
                </w:rPr>
                <w:t>10</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gridSpan w:val="4"/>
          </w:tcPr>
          <w:p>
            <w:pPr>
              <w:ind w:left="220"/>
              <w:spacing w:after="0"/>
              <w:rPr>
                <w:rFonts w:ascii="Times New Roman" w:cs="Times New Roman" w:eastAsia="Times New Roman" w:hAnsi="Times New Roman"/>
                <w:sz w:val="16"/>
                <w:szCs w:val="16"/>
                <w:color w:val="0000FF"/>
                <w:w w:val="82"/>
              </w:rPr>
            </w:pPr>
            <w:hyperlink w:anchor="page10">
              <w:r>
                <w:rPr>
                  <w:rFonts w:ascii="Times New Roman" w:cs="Times New Roman" w:eastAsia="Times New Roman" w:hAnsi="Times New Roman"/>
                  <w:sz w:val="16"/>
                  <w:szCs w:val="16"/>
                  <w:color w:val="0000FF"/>
                  <w:w w:val="82"/>
                </w:rPr>
                <w:t>3.</w:t>
              </w:r>
            </w:hyperlink>
          </w:p>
        </w:tc>
        <w:tc>
          <w:tcPr>
            <w:tcW w:w="7960" w:type="dxa"/>
            <w:vAlign w:val="bottom"/>
            <w:gridSpan w:val="37"/>
          </w:tcPr>
          <w:p>
            <w:pPr>
              <w:ind w:left="20"/>
              <w:spacing w:after="0"/>
              <w:rPr>
                <w:rFonts w:ascii="Times New Roman" w:cs="Times New Roman" w:eastAsia="Times New Roman" w:hAnsi="Times New Roman"/>
                <w:sz w:val="16"/>
                <w:szCs w:val="16"/>
                <w:color w:val="0000FF"/>
              </w:rPr>
            </w:pPr>
            <w:hyperlink w:anchor="page10">
              <w:r>
                <w:rPr>
                  <w:rFonts w:ascii="Times New Roman" w:cs="Times New Roman" w:eastAsia="Times New Roman" w:hAnsi="Times New Roman"/>
                  <w:sz w:val="16"/>
                  <w:szCs w:val="16"/>
                  <w:color w:val="0000FF"/>
                </w:rPr>
                <w:t>Investment securities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10">
              <w:r>
                <w:rPr>
                  <w:rFonts w:ascii="Times New Roman" w:cs="Times New Roman" w:eastAsia="Times New Roman" w:hAnsi="Times New Roman"/>
                  <w:sz w:val="16"/>
                  <w:szCs w:val="16"/>
                  <w:color w:val="auto"/>
                  <w:w w:val="99"/>
                </w:rPr>
                <w:t>11</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gridSpan w:val="4"/>
          </w:tcPr>
          <w:p>
            <w:pPr>
              <w:ind w:left="220"/>
              <w:spacing w:after="0"/>
              <w:rPr>
                <w:rFonts w:ascii="Times New Roman" w:cs="Times New Roman" w:eastAsia="Times New Roman" w:hAnsi="Times New Roman"/>
                <w:sz w:val="16"/>
                <w:szCs w:val="16"/>
                <w:color w:val="0000FF"/>
                <w:w w:val="82"/>
              </w:rPr>
            </w:pPr>
            <w:hyperlink w:anchor="page13">
              <w:r>
                <w:rPr>
                  <w:rFonts w:ascii="Times New Roman" w:cs="Times New Roman" w:eastAsia="Times New Roman" w:hAnsi="Times New Roman"/>
                  <w:sz w:val="16"/>
                  <w:szCs w:val="16"/>
                  <w:color w:val="0000FF"/>
                  <w:w w:val="82"/>
                </w:rPr>
                <w:t>4.</w:t>
              </w:r>
            </w:hyperlink>
          </w:p>
        </w:tc>
        <w:tc>
          <w:tcPr>
            <w:tcW w:w="7960" w:type="dxa"/>
            <w:vAlign w:val="bottom"/>
            <w:gridSpan w:val="37"/>
          </w:tcPr>
          <w:p>
            <w:pPr>
              <w:ind w:left="20"/>
              <w:spacing w:after="0"/>
              <w:rPr>
                <w:rFonts w:ascii="Times New Roman" w:cs="Times New Roman" w:eastAsia="Times New Roman" w:hAnsi="Times New Roman"/>
                <w:sz w:val="16"/>
                <w:szCs w:val="16"/>
                <w:color w:val="0000FF"/>
              </w:rPr>
            </w:pPr>
            <w:hyperlink w:anchor="page13">
              <w:r>
                <w:rPr>
                  <w:rFonts w:ascii="Times New Roman" w:cs="Times New Roman" w:eastAsia="Times New Roman" w:hAnsi="Times New Roman"/>
                  <w:sz w:val="16"/>
                  <w:szCs w:val="16"/>
                  <w:color w:val="0000FF"/>
                </w:rPr>
                <w:t>Loans and allowance for loan losses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13">
              <w:r>
                <w:rPr>
                  <w:rFonts w:ascii="Times New Roman" w:cs="Times New Roman" w:eastAsia="Times New Roman" w:hAnsi="Times New Roman"/>
                  <w:sz w:val="16"/>
                  <w:szCs w:val="16"/>
                  <w:color w:val="auto"/>
                  <w:w w:val="99"/>
                </w:rPr>
                <w:t>14</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gridSpan w:val="4"/>
          </w:tcPr>
          <w:p>
            <w:pPr>
              <w:ind w:left="220"/>
              <w:spacing w:after="0"/>
              <w:rPr>
                <w:rFonts w:ascii="Times New Roman" w:cs="Times New Roman" w:eastAsia="Times New Roman" w:hAnsi="Times New Roman"/>
                <w:sz w:val="16"/>
                <w:szCs w:val="16"/>
                <w:color w:val="0000FF"/>
                <w:w w:val="82"/>
              </w:rPr>
            </w:pPr>
            <w:hyperlink w:anchor="page24">
              <w:r>
                <w:rPr>
                  <w:rFonts w:ascii="Times New Roman" w:cs="Times New Roman" w:eastAsia="Times New Roman" w:hAnsi="Times New Roman"/>
                  <w:sz w:val="16"/>
                  <w:szCs w:val="16"/>
                  <w:color w:val="0000FF"/>
                  <w:w w:val="82"/>
                </w:rPr>
                <w:t>5.</w:t>
              </w:r>
            </w:hyperlink>
          </w:p>
        </w:tc>
        <w:tc>
          <w:tcPr>
            <w:tcW w:w="7960" w:type="dxa"/>
            <w:vAlign w:val="bottom"/>
            <w:gridSpan w:val="37"/>
          </w:tcPr>
          <w:p>
            <w:pPr>
              <w:ind w:left="20"/>
              <w:spacing w:after="0"/>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Borrowings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24">
              <w:r>
                <w:rPr>
                  <w:rFonts w:ascii="Times New Roman" w:cs="Times New Roman" w:eastAsia="Times New Roman" w:hAnsi="Times New Roman"/>
                  <w:sz w:val="16"/>
                  <w:szCs w:val="16"/>
                  <w:color w:val="auto"/>
                  <w:w w:val="99"/>
                </w:rPr>
                <w:t>25</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gridSpan w:val="4"/>
          </w:tcPr>
          <w:p>
            <w:pPr>
              <w:ind w:left="220"/>
              <w:spacing w:after="0"/>
              <w:rPr>
                <w:rFonts w:ascii="Times New Roman" w:cs="Times New Roman" w:eastAsia="Times New Roman" w:hAnsi="Times New Roman"/>
                <w:sz w:val="16"/>
                <w:szCs w:val="16"/>
                <w:color w:val="0000FF"/>
                <w:w w:val="82"/>
              </w:rPr>
            </w:pPr>
            <w:hyperlink w:anchor="page25">
              <w:r>
                <w:rPr>
                  <w:rFonts w:ascii="Times New Roman" w:cs="Times New Roman" w:eastAsia="Times New Roman" w:hAnsi="Times New Roman"/>
                  <w:sz w:val="16"/>
                  <w:szCs w:val="16"/>
                  <w:color w:val="0000FF"/>
                  <w:w w:val="82"/>
                </w:rPr>
                <w:t>6.</w:t>
              </w:r>
            </w:hyperlink>
          </w:p>
        </w:tc>
        <w:tc>
          <w:tcPr>
            <w:tcW w:w="7960" w:type="dxa"/>
            <w:vAlign w:val="bottom"/>
            <w:gridSpan w:val="37"/>
          </w:tcPr>
          <w:p>
            <w:pPr>
              <w:ind w:left="20"/>
              <w:spacing w:after="0"/>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Shareholders' equity</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25">
              <w:r>
                <w:rPr>
                  <w:rFonts w:ascii="Times New Roman" w:cs="Times New Roman" w:eastAsia="Times New Roman" w:hAnsi="Times New Roman"/>
                  <w:sz w:val="16"/>
                  <w:szCs w:val="16"/>
                  <w:color w:val="auto"/>
                  <w:w w:val="99"/>
                </w:rPr>
                <w:t>26</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gridSpan w:val="4"/>
          </w:tcPr>
          <w:p>
            <w:pPr>
              <w:ind w:left="220"/>
              <w:spacing w:after="0"/>
              <w:rPr>
                <w:rFonts w:ascii="Times New Roman" w:cs="Times New Roman" w:eastAsia="Times New Roman" w:hAnsi="Times New Roman"/>
                <w:sz w:val="16"/>
                <w:szCs w:val="16"/>
                <w:color w:val="0000FF"/>
                <w:w w:val="82"/>
              </w:rPr>
            </w:pPr>
            <w:hyperlink w:anchor="page26">
              <w:r>
                <w:rPr>
                  <w:rFonts w:ascii="Times New Roman" w:cs="Times New Roman" w:eastAsia="Times New Roman" w:hAnsi="Times New Roman"/>
                  <w:sz w:val="16"/>
                  <w:szCs w:val="16"/>
                  <w:color w:val="0000FF"/>
                  <w:w w:val="82"/>
                </w:rPr>
                <w:t>7.</w:t>
              </w:r>
            </w:hyperlink>
          </w:p>
        </w:tc>
        <w:tc>
          <w:tcPr>
            <w:tcW w:w="7960" w:type="dxa"/>
            <w:vAlign w:val="bottom"/>
            <w:gridSpan w:val="37"/>
          </w:tcPr>
          <w:p>
            <w:pPr>
              <w:ind w:left="20"/>
              <w:spacing w:after="0"/>
              <w:rPr>
                <w:rFonts w:ascii="Times New Roman" w:cs="Times New Roman" w:eastAsia="Times New Roman" w:hAnsi="Times New Roman"/>
                <w:sz w:val="16"/>
                <w:szCs w:val="16"/>
                <w:color w:val="0000FF"/>
              </w:rPr>
            </w:pPr>
            <w:hyperlink w:anchor="page26">
              <w:r>
                <w:rPr>
                  <w:rFonts w:ascii="Times New Roman" w:cs="Times New Roman" w:eastAsia="Times New Roman" w:hAnsi="Times New Roman"/>
                  <w:sz w:val="16"/>
                  <w:szCs w:val="16"/>
                  <w:color w:val="0000FF"/>
                </w:rPr>
                <w:t>Revenue from contracts with customers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26">
              <w:r>
                <w:rPr>
                  <w:rFonts w:ascii="Times New Roman" w:cs="Times New Roman" w:eastAsia="Times New Roman" w:hAnsi="Times New Roman"/>
                  <w:sz w:val="16"/>
                  <w:szCs w:val="16"/>
                  <w:color w:val="auto"/>
                  <w:w w:val="99"/>
                </w:rPr>
                <w:t>27</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gridSpan w:val="4"/>
          </w:tcPr>
          <w:p>
            <w:pPr>
              <w:ind w:left="220"/>
              <w:spacing w:after="0"/>
              <w:rPr>
                <w:rFonts w:ascii="Times New Roman" w:cs="Times New Roman" w:eastAsia="Times New Roman" w:hAnsi="Times New Roman"/>
                <w:sz w:val="16"/>
                <w:szCs w:val="16"/>
                <w:color w:val="0000FF"/>
                <w:w w:val="82"/>
              </w:rPr>
            </w:pPr>
            <w:hyperlink w:anchor="page28">
              <w:r>
                <w:rPr>
                  <w:rFonts w:ascii="Times New Roman" w:cs="Times New Roman" w:eastAsia="Times New Roman" w:hAnsi="Times New Roman"/>
                  <w:sz w:val="16"/>
                  <w:szCs w:val="16"/>
                  <w:color w:val="0000FF"/>
                  <w:w w:val="82"/>
                </w:rPr>
                <w:t>8.</w:t>
              </w:r>
            </w:hyperlink>
          </w:p>
        </w:tc>
        <w:tc>
          <w:tcPr>
            <w:tcW w:w="7960" w:type="dxa"/>
            <w:vAlign w:val="bottom"/>
            <w:gridSpan w:val="37"/>
          </w:tcPr>
          <w:p>
            <w:pPr>
              <w:ind w:left="20"/>
              <w:spacing w:after="0"/>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Pension plans and other postretirement benefits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28">
              <w:r>
                <w:rPr>
                  <w:rFonts w:ascii="Times New Roman" w:cs="Times New Roman" w:eastAsia="Times New Roman" w:hAnsi="Times New Roman"/>
                  <w:sz w:val="16"/>
                  <w:szCs w:val="16"/>
                  <w:color w:val="auto"/>
                  <w:w w:val="99"/>
                </w:rPr>
                <w:t>28</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gridSpan w:val="4"/>
          </w:tcPr>
          <w:p>
            <w:pPr>
              <w:ind w:left="220"/>
              <w:spacing w:after="0"/>
              <w:rPr>
                <w:rFonts w:ascii="Times New Roman" w:cs="Times New Roman" w:eastAsia="Times New Roman" w:hAnsi="Times New Roman"/>
                <w:sz w:val="16"/>
                <w:szCs w:val="16"/>
                <w:color w:val="0000FF"/>
                <w:w w:val="82"/>
              </w:rPr>
            </w:pPr>
            <w:hyperlink w:anchor="page28">
              <w:r>
                <w:rPr>
                  <w:rFonts w:ascii="Times New Roman" w:cs="Times New Roman" w:eastAsia="Times New Roman" w:hAnsi="Times New Roman"/>
                  <w:sz w:val="16"/>
                  <w:szCs w:val="16"/>
                  <w:color w:val="0000FF"/>
                  <w:w w:val="82"/>
                </w:rPr>
                <w:t>9.</w:t>
              </w:r>
            </w:hyperlink>
          </w:p>
        </w:tc>
        <w:tc>
          <w:tcPr>
            <w:tcW w:w="7960" w:type="dxa"/>
            <w:vAlign w:val="bottom"/>
            <w:gridSpan w:val="37"/>
          </w:tcPr>
          <w:p>
            <w:pPr>
              <w:ind w:left="20"/>
              <w:spacing w:after="0"/>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Earnings per common share</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28">
              <w:r>
                <w:rPr>
                  <w:rFonts w:ascii="Times New Roman" w:cs="Times New Roman" w:eastAsia="Times New Roman" w:hAnsi="Times New Roman"/>
                  <w:sz w:val="16"/>
                  <w:szCs w:val="16"/>
                  <w:color w:val="auto"/>
                  <w:w w:val="99"/>
                </w:rPr>
                <w:t>29</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Borders>
              <w:top w:val="single" w:sz="8" w:color="0000FF"/>
            </w:tcBorders>
            <w:gridSpan w:val="13"/>
          </w:tcPr>
          <w:p>
            <w:pPr>
              <w:spacing w:after="0"/>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0000FF"/>
                </w:rPr>
                <w:t>10. Comprehensive income</w:t>
              </w:r>
            </w:hyperlink>
          </w:p>
        </w:tc>
        <w:tc>
          <w:tcPr>
            <w:tcW w:w="6200" w:type="dxa"/>
            <w:vAlign w:val="bottom"/>
            <w:gridSpan w:val="25"/>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29">
              <w:r>
                <w:rPr>
                  <w:rFonts w:ascii="Times New Roman" w:cs="Times New Roman" w:eastAsia="Times New Roman" w:hAnsi="Times New Roman"/>
                  <w:sz w:val="16"/>
                  <w:szCs w:val="16"/>
                  <w:color w:val="auto"/>
                  <w:w w:val="99"/>
                </w:rPr>
                <w:t>30</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6"/>
              </w:rPr>
            </w:pPr>
            <w:hyperlink w:anchor="page31">
              <w:r>
                <w:rPr>
                  <w:rFonts w:ascii="Times New Roman" w:cs="Times New Roman" w:eastAsia="Times New Roman" w:hAnsi="Times New Roman"/>
                  <w:sz w:val="16"/>
                  <w:szCs w:val="16"/>
                  <w:color w:val="0000FF"/>
                  <w:w w:val="96"/>
                </w:rPr>
                <w:t>11. Derivative financial instruments</w:t>
              </w:r>
            </w:hyperlink>
          </w:p>
        </w:tc>
        <w:tc>
          <w:tcPr>
            <w:tcW w:w="5840" w:type="dxa"/>
            <w:vAlign w:val="bottom"/>
            <w:gridSpan w:val="21"/>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31">
              <w:r>
                <w:rPr>
                  <w:rFonts w:ascii="Times New Roman" w:cs="Times New Roman" w:eastAsia="Times New Roman" w:hAnsi="Times New Roman"/>
                  <w:sz w:val="16"/>
                  <w:szCs w:val="16"/>
                  <w:color w:val="auto"/>
                  <w:w w:val="99"/>
                </w:rPr>
                <w:t>32</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38"/>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12. Variable interest entities and asset securitizations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35">
              <w:r>
                <w:rPr>
                  <w:rFonts w:ascii="Times New Roman" w:cs="Times New Roman" w:eastAsia="Times New Roman" w:hAnsi="Times New Roman"/>
                  <w:sz w:val="16"/>
                  <w:szCs w:val="16"/>
                  <w:color w:val="auto"/>
                  <w:w w:val="99"/>
                </w:rPr>
                <w:t>35</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Borders>
              <w:top w:val="single" w:sz="8" w:color="0000FF"/>
            </w:tcBorders>
            <w:gridSpan w:val="26"/>
          </w:tcPr>
          <w:p>
            <w:pPr>
              <w:spacing w:after="0"/>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13. Fair value measurements</w:t>
              </w:r>
            </w:hyperlink>
          </w:p>
        </w:tc>
        <w:tc>
          <w:tcPr>
            <w:tcW w:w="4800" w:type="dxa"/>
            <w:vAlign w:val="bottom"/>
            <w:gridSpan w:val="12"/>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36">
              <w:r>
                <w:rPr>
                  <w:rFonts w:ascii="Times New Roman" w:cs="Times New Roman" w:eastAsia="Times New Roman" w:hAnsi="Times New Roman"/>
                  <w:sz w:val="16"/>
                  <w:szCs w:val="16"/>
                  <w:color w:val="auto"/>
                  <w:w w:val="99"/>
                </w:rPr>
                <w:t>37</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38"/>
          </w:tcPr>
          <w:p>
            <w:pPr>
              <w:spacing w:after="0"/>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14. Commitments and contingencies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40">
              <w:r>
                <w:rPr>
                  <w:rFonts w:ascii="Times New Roman" w:cs="Times New Roman" w:eastAsia="Times New Roman" w:hAnsi="Times New Roman"/>
                  <w:sz w:val="16"/>
                  <w:szCs w:val="16"/>
                  <w:color w:val="auto"/>
                  <w:w w:val="99"/>
                </w:rPr>
                <w:t>40</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Borders>
              <w:top w:val="single" w:sz="8" w:color="0000FF"/>
            </w:tcBorders>
            <w:gridSpan w:val="18"/>
          </w:tcPr>
          <w:p>
            <w:pPr>
              <w:spacing w:after="0"/>
              <w:rPr>
                <w:rFonts w:ascii="Times New Roman" w:cs="Times New Roman" w:eastAsia="Times New Roman" w:hAnsi="Times New Roman"/>
                <w:sz w:val="16"/>
                <w:szCs w:val="16"/>
                <w:color w:val="0000FF"/>
              </w:rPr>
            </w:pPr>
            <w:hyperlink w:anchor="page42">
              <w:r>
                <w:rPr>
                  <w:rFonts w:ascii="Times New Roman" w:cs="Times New Roman" w:eastAsia="Times New Roman" w:hAnsi="Times New Roman"/>
                  <w:sz w:val="16"/>
                  <w:szCs w:val="16"/>
                  <w:color w:val="0000FF"/>
                </w:rPr>
                <w:t>15. Segment information</w:t>
              </w:r>
            </w:hyperlink>
          </w:p>
        </w:tc>
        <w:tc>
          <w:tcPr>
            <w:tcW w:w="5820" w:type="dxa"/>
            <w:vAlign w:val="bottom"/>
            <w:gridSpan w:val="20"/>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42">
              <w:r>
                <w:rPr>
                  <w:rFonts w:ascii="Times New Roman" w:cs="Times New Roman" w:eastAsia="Times New Roman" w:hAnsi="Times New Roman"/>
                  <w:sz w:val="16"/>
                  <w:szCs w:val="16"/>
                  <w:color w:val="auto"/>
                  <w:w w:val="99"/>
                </w:rPr>
                <w:t>42</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38"/>
          </w:tcPr>
          <w:p>
            <w:pPr>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16. Relationship with BLG and Bayview Financial</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43">
              <w:r>
                <w:rPr>
                  <w:rFonts w:ascii="Times New Roman" w:cs="Times New Roman" w:eastAsia="Times New Roman" w:hAnsi="Times New Roman"/>
                  <w:sz w:val="16"/>
                  <w:szCs w:val="16"/>
                  <w:color w:val="auto"/>
                  <w:w w:val="99"/>
                </w:rPr>
                <w:t>43</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20" w:type="dxa"/>
            <w:vAlign w:val="bottom"/>
          </w:tcPr>
          <w:p>
            <w:pPr>
              <w:ind w:left="140"/>
              <w:spacing w:after="0"/>
              <w:rPr>
                <w:rFonts w:ascii="Times New Roman" w:cs="Times New Roman" w:eastAsia="Times New Roman" w:hAnsi="Times New Roman"/>
                <w:sz w:val="16"/>
                <w:szCs w:val="16"/>
                <w:color w:val="auto"/>
              </w:rPr>
            </w:pPr>
            <w:hyperlink w:anchor="page43">
              <w:r>
                <w:rPr>
                  <w:rFonts w:ascii="Times New Roman" w:cs="Times New Roman" w:eastAsia="Times New Roman" w:hAnsi="Times New Roman"/>
                  <w:sz w:val="16"/>
                  <w:szCs w:val="16"/>
                  <w:color w:val="auto"/>
                </w:rPr>
                <w:t>Item 2.</w:t>
              </w:r>
            </w:hyperlink>
          </w:p>
        </w:tc>
        <w:tc>
          <w:tcPr>
            <w:tcW w:w="20" w:type="dxa"/>
            <w:vAlign w:val="bottom"/>
          </w:tcPr>
          <w:p>
            <w:pPr>
              <w:spacing w:after="0"/>
              <w:rPr>
                <w:sz w:val="24"/>
                <w:szCs w:val="24"/>
                <w:color w:val="auto"/>
              </w:rPr>
            </w:pPr>
          </w:p>
        </w:tc>
        <w:tc>
          <w:tcPr>
            <w:tcW w:w="8280" w:type="dxa"/>
            <w:vAlign w:val="bottom"/>
            <w:gridSpan w:val="40"/>
          </w:tcPr>
          <w:p>
            <w:pPr>
              <w:spacing w:after="0"/>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Management's Discussion and Analysis of Financial Condition and Results of Operation</w:t>
              </w:r>
            </w:hyperlink>
            <w:r>
              <w:rPr>
                <w:rFonts w:ascii="Times New Roman" w:cs="Times New Roman" w:eastAsia="Times New Roman" w:hAnsi="Times New Roman"/>
                <w:sz w:val="16"/>
                <w:szCs w:val="16"/>
                <w:color w:val="0000FF"/>
              </w:rPr>
              <w:t>s</w:t>
            </w: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43">
              <w:r>
                <w:rPr>
                  <w:rFonts w:ascii="Times New Roman" w:cs="Times New Roman" w:eastAsia="Times New Roman" w:hAnsi="Times New Roman"/>
                  <w:sz w:val="16"/>
                  <w:szCs w:val="16"/>
                  <w:color w:val="auto"/>
                  <w:w w:val="99"/>
                </w:rPr>
                <w:t>44</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340" w:type="dxa"/>
            <w:vAlign w:val="bottom"/>
            <w:tcBorders>
              <w:top w:val="single" w:sz="8" w:color="0000FF"/>
            </w:tcBorders>
            <w:gridSpan w:val="32"/>
          </w:tcPr>
          <w:p>
            <w:pPr>
              <w:spacing w:after="0"/>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Financial Overview</w:t>
              </w:r>
            </w:hyperlink>
          </w:p>
        </w:tc>
        <w:tc>
          <w:tcPr>
            <w:tcW w:w="2740" w:type="dxa"/>
            <w:vAlign w:val="bottom"/>
            <w:gridSpan w:val="6"/>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44">
              <w:r>
                <w:rPr>
                  <w:rFonts w:ascii="Times New Roman" w:cs="Times New Roman" w:eastAsia="Times New Roman" w:hAnsi="Times New Roman"/>
                  <w:sz w:val="16"/>
                  <w:szCs w:val="16"/>
                  <w:color w:val="auto"/>
                  <w:w w:val="99"/>
                </w:rPr>
                <w:t>44</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38"/>
          </w:tcPr>
          <w:p>
            <w:pPr>
              <w:spacing w:after="0"/>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Supplemental Reporting of Non-GAAP Results of Operations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45">
              <w:r>
                <w:rPr>
                  <w:rFonts w:ascii="Times New Roman" w:cs="Times New Roman" w:eastAsia="Times New Roman" w:hAnsi="Times New Roman"/>
                  <w:sz w:val="16"/>
                  <w:szCs w:val="16"/>
                  <w:color w:val="auto"/>
                  <w:w w:val="99"/>
                </w:rPr>
                <w:t>45</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tcBorders>
              <w:top w:val="single" w:sz="8" w:color="0000FF"/>
            </w:tcBorders>
            <w:gridSpan w:val="28"/>
          </w:tcPr>
          <w:p>
            <w:pPr>
              <w:spacing w:after="0"/>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Taxable-equivalent Net Interest Income</w:t>
              </w:r>
            </w:hyperlink>
          </w:p>
        </w:tc>
        <w:tc>
          <w:tcPr>
            <w:tcW w:w="4240" w:type="dxa"/>
            <w:vAlign w:val="bottom"/>
            <w:gridSpan w:val="10"/>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45">
              <w:r>
                <w:rPr>
                  <w:rFonts w:ascii="Times New Roman" w:cs="Times New Roman" w:eastAsia="Times New Roman" w:hAnsi="Times New Roman"/>
                  <w:sz w:val="16"/>
                  <w:szCs w:val="16"/>
                  <w:color w:val="auto"/>
                  <w:w w:val="99"/>
                </w:rPr>
                <w:t>46</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Borders>
              <w:top w:val="single" w:sz="8" w:color="0000FF"/>
            </w:tcBorders>
            <w:gridSpan w:val="21"/>
          </w:tcPr>
          <w:p>
            <w:pPr>
              <w:spacing w:after="0"/>
              <w:rPr>
                <w:rFonts w:ascii="Times New Roman" w:cs="Times New Roman" w:eastAsia="Times New Roman" w:hAnsi="Times New Roman"/>
                <w:sz w:val="16"/>
                <w:szCs w:val="16"/>
                <w:color w:val="0000FF"/>
              </w:rPr>
            </w:pPr>
            <w:hyperlink w:anchor="page54">
              <w:r>
                <w:rPr>
                  <w:rFonts w:ascii="Times New Roman" w:cs="Times New Roman" w:eastAsia="Times New Roman" w:hAnsi="Times New Roman"/>
                  <w:sz w:val="16"/>
                  <w:szCs w:val="16"/>
                  <w:color w:val="0000FF"/>
                </w:rPr>
                <w:t>Provision for Credit Losses</w:t>
              </w:r>
            </w:hyperlink>
          </w:p>
        </w:tc>
        <w:tc>
          <w:tcPr>
            <w:tcW w:w="5620" w:type="dxa"/>
            <w:vAlign w:val="bottom"/>
            <w:gridSpan w:val="17"/>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54">
              <w:r>
                <w:rPr>
                  <w:rFonts w:ascii="Times New Roman" w:cs="Times New Roman" w:eastAsia="Times New Roman" w:hAnsi="Times New Roman"/>
                  <w:sz w:val="16"/>
                  <w:szCs w:val="16"/>
                  <w:color w:val="auto"/>
                  <w:w w:val="99"/>
                </w:rPr>
                <w:t>55</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w w:val="92"/>
              </w:rPr>
            </w:pPr>
            <w:hyperlink w:anchor="page63">
              <w:r>
                <w:rPr>
                  <w:rFonts w:ascii="Times New Roman" w:cs="Times New Roman" w:eastAsia="Times New Roman" w:hAnsi="Times New Roman"/>
                  <w:sz w:val="16"/>
                  <w:szCs w:val="16"/>
                  <w:color w:val="0000FF"/>
                  <w:w w:val="92"/>
                </w:rPr>
                <w:t>Other Income</w:t>
              </w:r>
            </w:hyperlink>
          </w:p>
        </w:tc>
        <w:tc>
          <w:tcPr>
            <w:tcW w:w="840" w:type="dxa"/>
            <w:vAlign w:val="bottom"/>
            <w:tcBorders>
              <w:top w:val="single" w:sz="8" w:color="0000FF"/>
            </w:tcBorders>
            <w:gridSpan w:val="7"/>
          </w:tcPr>
          <w:p>
            <w:pPr>
              <w:spacing w:after="0"/>
              <w:rPr>
                <w:sz w:val="18"/>
                <w:szCs w:val="18"/>
                <w:color w:val="auto"/>
              </w:rPr>
            </w:pPr>
          </w:p>
        </w:tc>
        <w:tc>
          <w:tcPr>
            <w:tcW w:w="6380" w:type="dxa"/>
            <w:vAlign w:val="bottom"/>
            <w:gridSpan w:val="28"/>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63">
              <w:r>
                <w:rPr>
                  <w:rFonts w:ascii="Times New Roman" w:cs="Times New Roman" w:eastAsia="Times New Roman" w:hAnsi="Times New Roman"/>
                  <w:sz w:val="16"/>
                  <w:szCs w:val="16"/>
                  <w:color w:val="auto"/>
                  <w:w w:val="99"/>
                </w:rPr>
                <w:t>63</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2"/>
              </w:rPr>
            </w:pPr>
            <w:hyperlink w:anchor="page66">
              <w:r>
                <w:rPr>
                  <w:rFonts w:ascii="Times New Roman" w:cs="Times New Roman" w:eastAsia="Times New Roman" w:hAnsi="Times New Roman"/>
                  <w:sz w:val="16"/>
                  <w:szCs w:val="16"/>
                  <w:color w:val="0000FF"/>
                  <w:w w:val="92"/>
                </w:rPr>
                <w:t>Other Expense</w:t>
              </w:r>
            </w:hyperlink>
          </w:p>
        </w:tc>
        <w:tc>
          <w:tcPr>
            <w:tcW w:w="7160" w:type="dxa"/>
            <w:vAlign w:val="bottom"/>
            <w:gridSpan w:val="34"/>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66">
              <w:r>
                <w:rPr>
                  <w:rFonts w:ascii="Times New Roman" w:cs="Times New Roman" w:eastAsia="Times New Roman" w:hAnsi="Times New Roman"/>
                  <w:sz w:val="16"/>
                  <w:szCs w:val="16"/>
                  <w:color w:val="auto"/>
                  <w:w w:val="99"/>
                </w:rPr>
                <w:t>67</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38"/>
          </w:tcPr>
          <w:p>
            <w:pPr>
              <w:spacing w:after="0"/>
              <w:rPr>
                <w:rFonts w:ascii="Times New Roman" w:cs="Times New Roman" w:eastAsia="Times New Roman" w:hAnsi="Times New Roman"/>
                <w:sz w:val="16"/>
                <w:szCs w:val="16"/>
                <w:color w:val="0000FF"/>
              </w:rPr>
            </w:pPr>
            <w:hyperlink w:anchor="page67">
              <w:r>
                <w:rPr>
                  <w:rFonts w:ascii="Times New Roman" w:cs="Times New Roman" w:eastAsia="Times New Roman" w:hAnsi="Times New Roman"/>
                  <w:sz w:val="16"/>
                  <w:szCs w:val="16"/>
                  <w:color w:val="0000FF"/>
                </w:rPr>
                <w:t>Income Taxes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67">
              <w:r>
                <w:rPr>
                  <w:rFonts w:ascii="Times New Roman" w:cs="Times New Roman" w:eastAsia="Times New Roman" w:hAnsi="Times New Roman"/>
                  <w:sz w:val="16"/>
                  <w:szCs w:val="16"/>
                  <w:color w:val="auto"/>
                  <w:w w:val="99"/>
                </w:rPr>
                <w:t>67</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480" w:type="dxa"/>
            <w:vAlign w:val="bottom"/>
            <w:gridSpan w:val="1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4"/>
              </w:rPr>
            </w:pPr>
            <w:hyperlink w:anchor="page68">
              <w:r>
                <w:rPr>
                  <w:rFonts w:ascii="Times New Roman" w:cs="Times New Roman" w:eastAsia="Times New Roman" w:hAnsi="Times New Roman"/>
                  <w:sz w:val="16"/>
                  <w:szCs w:val="16"/>
                  <w:color w:val="0000FF"/>
                  <w:w w:val="94"/>
                </w:rPr>
                <w:t>Liquidity Risk</w:t>
              </w:r>
            </w:hyperlink>
          </w:p>
        </w:tc>
        <w:tc>
          <w:tcPr>
            <w:tcW w:w="7160" w:type="dxa"/>
            <w:vAlign w:val="bottom"/>
            <w:gridSpan w:val="34"/>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68">
              <w:r>
                <w:rPr>
                  <w:rFonts w:ascii="Times New Roman" w:cs="Times New Roman" w:eastAsia="Times New Roman" w:hAnsi="Times New Roman"/>
                  <w:sz w:val="16"/>
                  <w:szCs w:val="16"/>
                  <w:color w:val="auto"/>
                  <w:w w:val="99"/>
                </w:rPr>
                <w:t>68</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6"/>
              </w:rPr>
            </w:pPr>
            <w:hyperlink w:anchor="page70">
              <w:r>
                <w:rPr>
                  <w:rFonts w:ascii="Times New Roman" w:cs="Times New Roman" w:eastAsia="Times New Roman" w:hAnsi="Times New Roman"/>
                  <w:sz w:val="16"/>
                  <w:szCs w:val="16"/>
                  <w:color w:val="0000FF"/>
                  <w:w w:val="96"/>
                </w:rPr>
                <w:t>Market Risk and Interest Rate Sensitivity</w:t>
              </w:r>
            </w:hyperlink>
          </w:p>
        </w:tc>
        <w:tc>
          <w:tcPr>
            <w:tcW w:w="5480" w:type="dxa"/>
            <w:vAlign w:val="bottom"/>
            <w:gridSpan w:val="16"/>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70">
              <w:r>
                <w:rPr>
                  <w:rFonts w:ascii="Times New Roman" w:cs="Times New Roman" w:eastAsia="Times New Roman" w:hAnsi="Times New Roman"/>
                  <w:sz w:val="16"/>
                  <w:szCs w:val="16"/>
                  <w:color w:val="auto"/>
                  <w:w w:val="99"/>
                </w:rPr>
                <w:t>70</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38"/>
          </w:tcPr>
          <w:p>
            <w:pPr>
              <w:spacing w:after="0"/>
              <w:rPr>
                <w:rFonts w:ascii="Times New Roman" w:cs="Times New Roman" w:eastAsia="Times New Roman" w:hAnsi="Times New Roman"/>
                <w:sz w:val="16"/>
                <w:szCs w:val="16"/>
                <w:color w:val="0000FF"/>
              </w:rPr>
            </w:pPr>
            <w:hyperlink w:anchor="page72">
              <w:r>
                <w:rPr>
                  <w:rFonts w:ascii="Times New Roman" w:cs="Times New Roman" w:eastAsia="Times New Roman" w:hAnsi="Times New Roman"/>
                  <w:sz w:val="16"/>
                  <w:szCs w:val="16"/>
                  <w:color w:val="0000FF"/>
                </w:rPr>
                <w:t>Capital</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72">
              <w:r>
                <w:rPr>
                  <w:rFonts w:ascii="Times New Roman" w:cs="Times New Roman" w:eastAsia="Times New Roman" w:hAnsi="Times New Roman"/>
                  <w:sz w:val="16"/>
                  <w:szCs w:val="16"/>
                  <w:color w:val="auto"/>
                  <w:w w:val="99"/>
                </w:rPr>
                <w:t>72</w:t>
              </w:r>
            </w:hyperlink>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960" w:type="dxa"/>
            <w:vAlign w:val="bottom"/>
            <w:gridSpan w:val="2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5"/>
              </w:rPr>
            </w:pPr>
            <w:hyperlink w:anchor="page74">
              <w:r>
                <w:rPr>
                  <w:rFonts w:ascii="Times New Roman" w:cs="Times New Roman" w:eastAsia="Times New Roman" w:hAnsi="Times New Roman"/>
                  <w:sz w:val="16"/>
                  <w:szCs w:val="16"/>
                  <w:color w:val="0000FF"/>
                  <w:w w:val="95"/>
                </w:rPr>
                <w:t>Segment Information</w:t>
              </w:r>
            </w:hyperlink>
          </w:p>
        </w:tc>
        <w:tc>
          <w:tcPr>
            <w:tcW w:w="6760" w:type="dxa"/>
            <w:vAlign w:val="bottom"/>
            <w:gridSpan w:val="32"/>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74">
              <w:r>
                <w:rPr>
                  <w:rFonts w:ascii="Times New Roman" w:cs="Times New Roman" w:eastAsia="Times New Roman" w:hAnsi="Times New Roman"/>
                  <w:sz w:val="16"/>
                  <w:szCs w:val="16"/>
                  <w:color w:val="auto"/>
                  <w:w w:val="99"/>
                </w:rPr>
                <w:t>74</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80" w:type="dxa"/>
            <w:vAlign w:val="bottom"/>
            <w:gridSpan w:val="38"/>
          </w:tcPr>
          <w:p>
            <w:pPr>
              <w:spacing w:after="0"/>
              <w:rPr>
                <w:rFonts w:ascii="Times New Roman" w:cs="Times New Roman" w:eastAsia="Times New Roman" w:hAnsi="Times New Roman"/>
                <w:sz w:val="16"/>
                <w:szCs w:val="16"/>
                <w:color w:val="0000FF"/>
              </w:rPr>
            </w:pPr>
            <w:hyperlink w:anchor="page80">
              <w:r>
                <w:rPr>
                  <w:rFonts w:ascii="Times New Roman" w:cs="Times New Roman" w:eastAsia="Times New Roman" w:hAnsi="Times New Roman"/>
                  <w:sz w:val="16"/>
                  <w:szCs w:val="16"/>
                  <w:color w:val="0000FF"/>
                </w:rPr>
                <w:t>Recent Accounting Developments</w:t>
              </w:r>
            </w:hyperlink>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80">
              <w:r>
                <w:rPr>
                  <w:rFonts w:ascii="Times New Roman" w:cs="Times New Roman" w:eastAsia="Times New Roman" w:hAnsi="Times New Roman"/>
                  <w:sz w:val="16"/>
                  <w:szCs w:val="16"/>
                  <w:color w:val="auto"/>
                  <w:w w:val="99"/>
                </w:rPr>
                <w:t>80</w:t>
              </w:r>
            </w:hyperlink>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Borders>
              <w:top w:val="single" w:sz="8" w:color="0000FF"/>
            </w:tcBorders>
            <w:gridSpan w:val="16"/>
          </w:tcPr>
          <w:p>
            <w:pPr>
              <w:spacing w:after="0"/>
              <w:rPr>
                <w:rFonts w:ascii="Times New Roman" w:cs="Times New Roman" w:eastAsia="Times New Roman" w:hAnsi="Times New Roman"/>
                <w:sz w:val="16"/>
                <w:szCs w:val="16"/>
                <w:color w:val="0000FF"/>
              </w:rPr>
            </w:pPr>
            <w:hyperlink w:anchor="page80">
              <w:r>
                <w:rPr>
                  <w:rFonts w:ascii="Times New Roman" w:cs="Times New Roman" w:eastAsia="Times New Roman" w:hAnsi="Times New Roman"/>
                  <w:sz w:val="16"/>
                  <w:szCs w:val="16"/>
                  <w:color w:val="0000FF"/>
                </w:rPr>
                <w:t>Forward-Looking Statements</w:t>
              </w:r>
            </w:hyperlink>
          </w:p>
        </w:tc>
        <w:tc>
          <w:tcPr>
            <w:tcW w:w="5960" w:type="dxa"/>
            <w:vAlign w:val="bottom"/>
            <w:gridSpan w:val="22"/>
          </w:tcPr>
          <w:p>
            <w:pPr>
              <w:spacing w:after="0"/>
              <w:rPr>
                <w:sz w:val="18"/>
                <w:szCs w:val="18"/>
                <w:color w:val="auto"/>
              </w:rPr>
            </w:pPr>
          </w:p>
        </w:tc>
        <w:tc>
          <w:tcPr>
            <w:tcW w:w="1120" w:type="dxa"/>
            <w:vAlign w:val="bottom"/>
          </w:tcPr>
          <w:p>
            <w:pPr>
              <w:jc w:val="center"/>
              <w:ind w:left="362"/>
              <w:spacing w:after="0"/>
              <w:rPr>
                <w:rFonts w:ascii="Times New Roman" w:cs="Times New Roman" w:eastAsia="Times New Roman" w:hAnsi="Times New Roman"/>
                <w:sz w:val="16"/>
                <w:szCs w:val="16"/>
                <w:color w:val="auto"/>
                <w:w w:val="99"/>
              </w:rPr>
            </w:pPr>
            <w:hyperlink w:anchor="page80">
              <w:r>
                <w:rPr>
                  <w:rFonts w:ascii="Times New Roman" w:cs="Times New Roman" w:eastAsia="Times New Roman" w:hAnsi="Times New Roman"/>
                  <w:sz w:val="16"/>
                  <w:szCs w:val="16"/>
                  <w:color w:val="auto"/>
                  <w:w w:val="99"/>
                </w:rPr>
                <w:t>80</w:t>
              </w:r>
            </w:hyperlink>
          </w:p>
        </w:tc>
      </w:tr>
      <w:tr>
        <w:trPr>
          <w:trHeight w:val="59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700" w:type="dxa"/>
            <w:vAlign w:val="bottom"/>
            <w:tcBorders>
              <w:top w:val="single" w:sz="8" w:color="0000FF"/>
            </w:tcBorders>
            <w:gridSpan w:val="11"/>
          </w:tcPr>
          <w:p>
            <w:pPr>
              <w:spacing w:after="0"/>
              <w:rPr>
                <w:sz w:val="24"/>
                <w:szCs w:val="24"/>
                <w:color w:val="auto"/>
              </w:rPr>
            </w:pPr>
          </w:p>
        </w:tc>
        <w:tc>
          <w:tcPr>
            <w:tcW w:w="2520" w:type="dxa"/>
            <w:vAlign w:val="bottom"/>
            <w:gridSpan w:val="17"/>
          </w:tcPr>
          <w:p>
            <w:pPr>
              <w:jc w:val="center"/>
              <w:ind w:left="1622"/>
              <w:spacing w:after="0"/>
              <w:rPr>
                <w:sz w:val="20"/>
                <w:szCs w:val="20"/>
                <w:color w:val="auto"/>
              </w:rPr>
            </w:pPr>
            <w:r>
              <w:rPr>
                <w:rFonts w:ascii="Times New Roman" w:cs="Times New Roman" w:eastAsia="Times New Roman" w:hAnsi="Times New Roman"/>
                <w:sz w:val="16"/>
                <w:szCs w:val="16"/>
                <w:color w:val="auto"/>
                <w:w w:val="97"/>
              </w:rPr>
              <w:t>- 2 -</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4"/>
        </w:trPr>
        <w:tc>
          <w:tcPr>
            <w:tcW w:w="20" w:type="dxa"/>
            <w:vAlign w:val="bottom"/>
            <w:tcBorders>
              <w:bottom w:val="single" w:sz="8" w:color="EEEEEE"/>
            </w:tcBorders>
          </w:tcPr>
          <w:p>
            <w:pPr>
              <w:spacing w:after="0"/>
              <w:rPr>
                <w:sz w:val="16"/>
                <w:szCs w:val="16"/>
                <w:color w:val="auto"/>
              </w:rPr>
            </w:pPr>
          </w:p>
        </w:tc>
        <w:tc>
          <w:tcPr>
            <w:tcW w:w="112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18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320" w:type="dxa"/>
            <w:vAlign w:val="bottom"/>
            <w:tcBorders>
              <w:bottom w:val="single" w:sz="8" w:color="EEEEEE"/>
            </w:tcBorders>
          </w:tcPr>
          <w:p>
            <w:pPr>
              <w:spacing w:after="0"/>
              <w:rPr>
                <w:sz w:val="16"/>
                <w:szCs w:val="16"/>
                <w:color w:val="auto"/>
              </w:rPr>
            </w:pPr>
          </w:p>
        </w:tc>
        <w:tc>
          <w:tcPr>
            <w:tcW w:w="42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30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16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140" w:type="dxa"/>
            <w:vAlign w:val="bottom"/>
            <w:tcBorders>
              <w:bottom w:val="single" w:sz="8" w:color="EEEEEE"/>
            </w:tcBorders>
          </w:tcPr>
          <w:p>
            <w:pPr>
              <w:spacing w:after="0"/>
              <w:rPr>
                <w:sz w:val="16"/>
                <w:szCs w:val="16"/>
                <w:color w:val="auto"/>
              </w:rPr>
            </w:pPr>
          </w:p>
        </w:tc>
        <w:tc>
          <w:tcPr>
            <w:tcW w:w="48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260" w:type="dxa"/>
            <w:vAlign w:val="bottom"/>
            <w:tcBorders>
              <w:bottom w:val="single" w:sz="8" w:color="EEEEEE"/>
            </w:tcBorders>
          </w:tcPr>
          <w:p>
            <w:pPr>
              <w:spacing w:after="0"/>
              <w:rPr>
                <w:sz w:val="16"/>
                <w:szCs w:val="16"/>
                <w:color w:val="auto"/>
              </w:rPr>
            </w:pPr>
          </w:p>
        </w:tc>
        <w:tc>
          <w:tcPr>
            <w:tcW w:w="300" w:type="dxa"/>
            <w:vAlign w:val="bottom"/>
            <w:tcBorders>
              <w:bottom w:val="single" w:sz="8" w:color="EEEEEE"/>
            </w:tcBorders>
          </w:tcPr>
          <w:p>
            <w:pPr>
              <w:spacing w:after="0"/>
              <w:rPr>
                <w:sz w:val="16"/>
                <w:szCs w:val="16"/>
                <w:color w:val="auto"/>
              </w:rPr>
            </w:pPr>
          </w:p>
        </w:tc>
        <w:tc>
          <w:tcPr>
            <w:tcW w:w="500" w:type="dxa"/>
            <w:vAlign w:val="bottom"/>
            <w:tcBorders>
              <w:bottom w:val="single" w:sz="8" w:color="EEEEEE"/>
            </w:tcBorders>
          </w:tcPr>
          <w:p>
            <w:pPr>
              <w:spacing w:after="0"/>
              <w:rPr>
                <w:sz w:val="16"/>
                <w:szCs w:val="16"/>
                <w:color w:val="auto"/>
              </w:rPr>
            </w:pPr>
          </w:p>
        </w:tc>
        <w:tc>
          <w:tcPr>
            <w:tcW w:w="14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660" w:type="dxa"/>
            <w:vAlign w:val="bottom"/>
            <w:tcBorders>
              <w:bottom w:val="single" w:sz="8" w:color="EEEEEE"/>
            </w:tcBorders>
          </w:tcPr>
          <w:p>
            <w:pPr>
              <w:spacing w:after="0"/>
              <w:rPr>
                <w:sz w:val="16"/>
                <w:szCs w:val="16"/>
                <w:color w:val="auto"/>
              </w:rPr>
            </w:pPr>
          </w:p>
        </w:tc>
        <w:tc>
          <w:tcPr>
            <w:tcW w:w="14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300" w:type="dxa"/>
            <w:vAlign w:val="bottom"/>
            <w:tcBorders>
              <w:bottom w:val="single" w:sz="8" w:color="EEEEEE"/>
            </w:tcBorders>
          </w:tcPr>
          <w:p>
            <w:pPr>
              <w:spacing w:after="0"/>
              <w:rPr>
                <w:sz w:val="16"/>
                <w:szCs w:val="16"/>
                <w:color w:val="auto"/>
              </w:rPr>
            </w:pPr>
          </w:p>
        </w:tc>
        <w:tc>
          <w:tcPr>
            <w:tcW w:w="1020" w:type="dxa"/>
            <w:vAlign w:val="bottom"/>
            <w:tcBorders>
              <w:bottom w:val="single" w:sz="8" w:color="EEEEEE"/>
            </w:tcBorders>
          </w:tcPr>
          <w:p>
            <w:pPr>
              <w:spacing w:after="0"/>
              <w:rPr>
                <w:sz w:val="16"/>
                <w:szCs w:val="16"/>
                <w:color w:val="auto"/>
              </w:rPr>
            </w:pPr>
          </w:p>
        </w:tc>
        <w:tc>
          <w:tcPr>
            <w:tcW w:w="540" w:type="dxa"/>
            <w:vAlign w:val="bottom"/>
            <w:tcBorders>
              <w:bottom w:val="single" w:sz="8" w:color="EEEEEE"/>
            </w:tcBorders>
          </w:tcPr>
          <w:p>
            <w:pPr>
              <w:spacing w:after="0"/>
              <w:rPr>
                <w:sz w:val="16"/>
                <w:szCs w:val="16"/>
                <w:color w:val="auto"/>
              </w:rPr>
            </w:pPr>
          </w:p>
        </w:tc>
        <w:tc>
          <w:tcPr>
            <w:tcW w:w="680" w:type="dxa"/>
            <w:vAlign w:val="bottom"/>
            <w:tcBorders>
              <w:bottom w:val="single" w:sz="8" w:color="EEEEEE"/>
            </w:tcBorders>
          </w:tcPr>
          <w:p>
            <w:pPr>
              <w:spacing w:after="0"/>
              <w:rPr>
                <w:sz w:val="16"/>
                <w:szCs w:val="16"/>
                <w:color w:val="auto"/>
              </w:rPr>
            </w:pPr>
          </w:p>
        </w:tc>
        <w:tc>
          <w:tcPr>
            <w:tcW w:w="112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18" w:right="6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5080" w:type="dxa"/>
            <w:vAlign w:val="bottom"/>
            <w:gridSpan w:val="17"/>
          </w:tcPr>
          <w:p>
            <w:pPr>
              <w:ind w:left="20"/>
              <w:spacing w:after="0"/>
              <w:rPr>
                <w:sz w:val="20"/>
                <w:szCs w:val="20"/>
                <w:color w:val="auto"/>
              </w:rPr>
            </w:pPr>
            <w:r>
              <w:rPr>
                <w:rFonts w:ascii="Times New Roman" w:cs="Times New Roman" w:eastAsia="Times New Roman" w:hAnsi="Times New Roman"/>
                <w:sz w:val="16"/>
                <w:szCs w:val="16"/>
                <w:color w:val="auto"/>
              </w:rPr>
              <w:t>Table of Contents, continued</w:t>
            </w:r>
          </w:p>
        </w:tc>
        <w:tc>
          <w:tcPr>
            <w:tcW w:w="5480" w:type="dxa"/>
            <w:vAlign w:val="bottom"/>
          </w:tcPr>
          <w:p>
            <w:pPr>
              <w:jc w:val="center"/>
              <w:ind w:left="4742"/>
              <w:spacing w:after="0"/>
              <w:rPr>
                <w:sz w:val="20"/>
                <w:szCs w:val="20"/>
                <w:color w:val="auto"/>
              </w:rPr>
            </w:pPr>
            <w:r>
              <w:rPr>
                <w:rFonts w:ascii="Times New Roman" w:cs="Times New Roman" w:eastAsia="Times New Roman" w:hAnsi="Times New Roman"/>
                <w:sz w:val="16"/>
                <w:szCs w:val="16"/>
                <w:color w:val="auto"/>
                <w:w w:val="96"/>
              </w:rPr>
              <w:t>Page</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4"/>
              </w:rPr>
            </w:pPr>
            <w:hyperlink w:anchor="page81">
              <w:r>
                <w:rPr>
                  <w:rFonts w:ascii="Times New Roman" w:cs="Times New Roman" w:eastAsia="Times New Roman" w:hAnsi="Times New Roman"/>
                  <w:sz w:val="16"/>
                  <w:szCs w:val="16"/>
                  <w:color w:val="0000FF"/>
                  <w:w w:val="94"/>
                </w:rPr>
                <w:t>Quarterly Trends</w:t>
              </w:r>
            </w:hyperlink>
          </w:p>
        </w:tc>
        <w:tc>
          <w:tcPr>
            <w:tcW w:w="2660" w:type="dxa"/>
            <w:vAlign w:val="bottom"/>
            <w:gridSpan w:val="6"/>
          </w:tcPr>
          <w:p>
            <w:pPr>
              <w:spacing w:after="0"/>
              <w:rPr>
                <w:sz w:val="18"/>
                <w:szCs w:val="18"/>
                <w:color w:val="auto"/>
              </w:rPr>
            </w:pPr>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1">
              <w:r>
                <w:rPr>
                  <w:rFonts w:ascii="Times New Roman" w:cs="Times New Roman" w:eastAsia="Times New Roman" w:hAnsi="Times New Roman"/>
                  <w:sz w:val="16"/>
                  <w:szCs w:val="16"/>
                  <w:color w:val="auto"/>
                  <w:w w:val="99"/>
                </w:rPr>
                <w:t>82</w:t>
              </w:r>
            </w:hyperlink>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w w:val="95"/>
              </w:rPr>
            </w:pPr>
            <w:hyperlink w:anchor="page82">
              <w:r>
                <w:rPr>
                  <w:rFonts w:ascii="Times New Roman" w:cs="Times New Roman" w:eastAsia="Times New Roman" w:hAnsi="Times New Roman"/>
                  <w:sz w:val="16"/>
                  <w:szCs w:val="16"/>
                  <w:color w:val="0000FF"/>
                  <w:w w:val="95"/>
                </w:rPr>
                <w:t>Reconciliation of Quarterly GAAP to Non-GAAP Measures</w:t>
              </w:r>
            </w:hyperlink>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2">
              <w:r>
                <w:rPr>
                  <w:rFonts w:ascii="Times New Roman" w:cs="Times New Roman" w:eastAsia="Times New Roman" w:hAnsi="Times New Roman"/>
                  <w:sz w:val="16"/>
                  <w:szCs w:val="16"/>
                  <w:color w:val="auto"/>
                  <w:w w:val="99"/>
                </w:rPr>
                <w:t>83</w:t>
              </w:r>
            </w:hyperlink>
          </w:p>
        </w:tc>
      </w:tr>
      <w:tr>
        <w:trPr>
          <w:trHeight w:val="280"/>
        </w:trPr>
        <w:tc>
          <w:tcPr>
            <w:tcW w:w="20" w:type="dxa"/>
            <w:vAlign w:val="bottom"/>
          </w:tcPr>
          <w:p>
            <w:pPr>
              <w:spacing w:after="0"/>
              <w:rPr>
                <w:sz w:val="24"/>
                <w:szCs w:val="24"/>
                <w:color w:val="auto"/>
              </w:rPr>
            </w:pPr>
          </w:p>
        </w:tc>
        <w:tc>
          <w:tcPr>
            <w:tcW w:w="1140" w:type="dxa"/>
            <w:vAlign w:val="bottom"/>
            <w:gridSpan w:val="2"/>
          </w:tcPr>
          <w:p>
            <w:pPr>
              <w:ind w:left="140"/>
              <w:spacing w:after="0"/>
              <w:rPr>
                <w:rFonts w:ascii="Times New Roman" w:cs="Times New Roman" w:eastAsia="Times New Roman" w:hAnsi="Times New Roman"/>
                <w:sz w:val="16"/>
                <w:szCs w:val="16"/>
                <w:color w:val="auto"/>
              </w:rPr>
            </w:pPr>
            <w:hyperlink w:anchor="page83">
              <w:r>
                <w:rPr>
                  <w:rFonts w:ascii="Times New Roman" w:cs="Times New Roman" w:eastAsia="Times New Roman" w:hAnsi="Times New Roman"/>
                  <w:sz w:val="16"/>
                  <w:szCs w:val="16"/>
                  <w:color w:val="auto"/>
                </w:rPr>
                <w:t>Item 3.</w:t>
              </w:r>
            </w:hyperlink>
          </w:p>
        </w:tc>
        <w:tc>
          <w:tcPr>
            <w:tcW w:w="3920" w:type="dxa"/>
            <w:vAlign w:val="bottom"/>
            <w:gridSpan w:val="14"/>
          </w:tcPr>
          <w:p>
            <w:pPr>
              <w:spacing w:after="0"/>
              <w:rPr>
                <w:rFonts w:ascii="Times New Roman" w:cs="Times New Roman" w:eastAsia="Times New Roman" w:hAnsi="Times New Roman"/>
                <w:sz w:val="16"/>
                <w:szCs w:val="16"/>
                <w:color w:val="0000EE"/>
              </w:rPr>
            </w:pPr>
            <w:hyperlink w:anchor="page83">
              <w:r>
                <w:rPr>
                  <w:rFonts w:ascii="Times New Roman" w:cs="Times New Roman" w:eastAsia="Times New Roman" w:hAnsi="Times New Roman"/>
                  <w:sz w:val="16"/>
                  <w:szCs w:val="16"/>
                  <w:color w:val="0000EE"/>
                </w:rPr>
                <w:t>Quantitative and Qualitative Disclosures About Market Risk</w:t>
              </w:r>
            </w:hyperlink>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3">
              <w:r>
                <w:rPr>
                  <w:rFonts w:ascii="Times New Roman" w:cs="Times New Roman" w:eastAsia="Times New Roman" w:hAnsi="Times New Roman"/>
                  <w:sz w:val="16"/>
                  <w:szCs w:val="16"/>
                  <w:color w:val="auto"/>
                  <w:w w:val="99"/>
                </w:rPr>
                <w:t>84</w:t>
              </w:r>
            </w:hyperlink>
          </w:p>
        </w:tc>
      </w:tr>
      <w:tr>
        <w:trPr>
          <w:trHeight w:val="280"/>
        </w:trPr>
        <w:tc>
          <w:tcPr>
            <w:tcW w:w="20" w:type="dxa"/>
            <w:vAlign w:val="bottom"/>
          </w:tcPr>
          <w:p>
            <w:pPr>
              <w:spacing w:after="0"/>
              <w:rPr>
                <w:sz w:val="24"/>
                <w:szCs w:val="24"/>
                <w:color w:val="auto"/>
              </w:rPr>
            </w:pPr>
          </w:p>
        </w:tc>
        <w:tc>
          <w:tcPr>
            <w:tcW w:w="1140" w:type="dxa"/>
            <w:vAlign w:val="bottom"/>
            <w:gridSpan w:val="2"/>
          </w:tcPr>
          <w:p>
            <w:pPr>
              <w:ind w:left="140"/>
              <w:spacing w:after="0"/>
              <w:rPr>
                <w:rFonts w:ascii="Times New Roman" w:cs="Times New Roman" w:eastAsia="Times New Roman" w:hAnsi="Times New Roman"/>
                <w:sz w:val="16"/>
                <w:szCs w:val="16"/>
                <w:color w:val="auto"/>
              </w:rPr>
            </w:pPr>
            <w:hyperlink w:anchor="page84">
              <w:r>
                <w:rPr>
                  <w:rFonts w:ascii="Times New Roman" w:cs="Times New Roman" w:eastAsia="Times New Roman" w:hAnsi="Times New Roman"/>
                  <w:sz w:val="16"/>
                  <w:szCs w:val="16"/>
                  <w:color w:val="auto"/>
                </w:rPr>
                <w:t>Item 4.</w:t>
              </w:r>
            </w:hyperlink>
          </w:p>
        </w:tc>
        <w:tc>
          <w:tcPr>
            <w:tcW w:w="154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6"/>
                <w:szCs w:val="16"/>
                <w:color w:val="0000EE"/>
                <w:w w:val="96"/>
              </w:rPr>
            </w:pPr>
            <w:hyperlink w:anchor="page84">
              <w:r>
                <w:rPr>
                  <w:rFonts w:ascii="Times New Roman" w:cs="Times New Roman" w:eastAsia="Times New Roman" w:hAnsi="Times New Roman"/>
                  <w:sz w:val="16"/>
                  <w:szCs w:val="16"/>
                  <w:color w:val="0000EE"/>
                  <w:w w:val="96"/>
                </w:rPr>
                <w:t>Controls and Procedures</w:t>
              </w:r>
            </w:hyperlink>
          </w:p>
        </w:tc>
        <w:tc>
          <w:tcPr>
            <w:tcW w:w="2220" w:type="dxa"/>
            <w:vAlign w:val="bottom"/>
            <w:tcBorders>
              <w:top w:val="single" w:sz="8" w:color="0000EE"/>
            </w:tcBorders>
            <w:gridSpan w:val="3"/>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4">
              <w:r>
                <w:rPr>
                  <w:rFonts w:ascii="Times New Roman" w:cs="Times New Roman" w:eastAsia="Times New Roman" w:hAnsi="Times New Roman"/>
                  <w:sz w:val="16"/>
                  <w:szCs w:val="16"/>
                  <w:color w:val="auto"/>
                  <w:w w:val="99"/>
                </w:rPr>
                <w:t>84</w:t>
              </w:r>
            </w:hyperlink>
          </w:p>
        </w:tc>
      </w:tr>
      <w:tr>
        <w:trPr>
          <w:trHeight w:val="280"/>
        </w:trPr>
        <w:tc>
          <w:tcPr>
            <w:tcW w:w="5080" w:type="dxa"/>
            <w:vAlign w:val="bottom"/>
            <w:gridSpan w:val="17"/>
          </w:tcPr>
          <w:p>
            <w:pPr>
              <w:ind w:left="20"/>
              <w:spacing w:after="0"/>
              <w:rPr>
                <w:rFonts w:ascii="Times New Roman" w:cs="Times New Roman" w:eastAsia="Times New Roman" w:hAnsi="Times New Roman"/>
                <w:sz w:val="16"/>
                <w:szCs w:val="16"/>
                <w:color w:val="0000EE"/>
              </w:rPr>
            </w:pPr>
            <w:hyperlink w:anchor="page84">
              <w:r>
                <w:rPr>
                  <w:rFonts w:ascii="Times New Roman" w:cs="Times New Roman" w:eastAsia="Times New Roman" w:hAnsi="Times New Roman"/>
                  <w:sz w:val="16"/>
                  <w:szCs w:val="16"/>
                  <w:color w:val="0000EE"/>
                </w:rPr>
                <w:t>Part II. Other Information</w:t>
              </w:r>
            </w:hyperlink>
          </w:p>
        </w:tc>
        <w:tc>
          <w:tcPr>
            <w:tcW w:w="54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40" w:type="dxa"/>
            <w:vAlign w:val="bottom"/>
            <w:gridSpan w:val="2"/>
          </w:tcPr>
          <w:p>
            <w:pPr>
              <w:ind w:left="140"/>
              <w:spacing w:after="0"/>
              <w:rPr>
                <w:rFonts w:ascii="Times New Roman" w:cs="Times New Roman" w:eastAsia="Times New Roman" w:hAnsi="Times New Roman"/>
                <w:sz w:val="16"/>
                <w:szCs w:val="16"/>
                <w:color w:val="auto"/>
              </w:rPr>
            </w:pPr>
            <w:hyperlink w:anchor="page85">
              <w:r>
                <w:rPr>
                  <w:rFonts w:ascii="Times New Roman" w:cs="Times New Roman" w:eastAsia="Times New Roman" w:hAnsi="Times New Roman"/>
                  <w:sz w:val="16"/>
                  <w:szCs w:val="16"/>
                  <w:color w:val="auto"/>
                </w:rPr>
                <w:t>Item 1.</w:t>
              </w:r>
            </w:hyperlink>
          </w:p>
        </w:tc>
        <w:tc>
          <w:tcPr>
            <w:tcW w:w="116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w w:val="96"/>
              </w:rPr>
            </w:pPr>
            <w:hyperlink w:anchor="page85">
              <w:r>
                <w:rPr>
                  <w:rFonts w:ascii="Times New Roman" w:cs="Times New Roman" w:eastAsia="Times New Roman" w:hAnsi="Times New Roman"/>
                  <w:sz w:val="16"/>
                  <w:szCs w:val="16"/>
                  <w:color w:val="0000EE"/>
                  <w:w w:val="96"/>
                </w:rPr>
                <w:t>Legal Proceedings</w:t>
              </w:r>
            </w:hyperlink>
          </w:p>
        </w:tc>
        <w:tc>
          <w:tcPr>
            <w:tcW w:w="2760" w:type="dxa"/>
            <w:vAlign w:val="bottom"/>
            <w:gridSpan w:val="7"/>
          </w:tcPr>
          <w:p>
            <w:pPr>
              <w:spacing w:after="0"/>
              <w:rPr>
                <w:sz w:val="24"/>
                <w:szCs w:val="24"/>
                <w:color w:val="auto"/>
              </w:rPr>
            </w:pPr>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5">
              <w:r>
                <w:rPr>
                  <w:rFonts w:ascii="Times New Roman" w:cs="Times New Roman" w:eastAsia="Times New Roman" w:hAnsi="Times New Roman"/>
                  <w:sz w:val="16"/>
                  <w:szCs w:val="16"/>
                  <w:color w:val="auto"/>
                  <w:w w:val="99"/>
                </w:rPr>
                <w:t>85</w:t>
              </w:r>
            </w:hyperlink>
          </w:p>
        </w:tc>
      </w:tr>
      <w:tr>
        <w:trPr>
          <w:trHeight w:val="280"/>
        </w:trPr>
        <w:tc>
          <w:tcPr>
            <w:tcW w:w="20" w:type="dxa"/>
            <w:vAlign w:val="bottom"/>
          </w:tcPr>
          <w:p>
            <w:pPr>
              <w:spacing w:after="0"/>
              <w:rPr>
                <w:sz w:val="24"/>
                <w:szCs w:val="24"/>
                <w:color w:val="auto"/>
              </w:rPr>
            </w:pPr>
          </w:p>
        </w:tc>
        <w:tc>
          <w:tcPr>
            <w:tcW w:w="1140" w:type="dxa"/>
            <w:vAlign w:val="bottom"/>
            <w:gridSpan w:val="2"/>
          </w:tcPr>
          <w:p>
            <w:pPr>
              <w:ind w:left="140"/>
              <w:spacing w:after="0"/>
              <w:rPr>
                <w:rFonts w:ascii="Times New Roman" w:cs="Times New Roman" w:eastAsia="Times New Roman" w:hAnsi="Times New Roman"/>
                <w:sz w:val="16"/>
                <w:szCs w:val="16"/>
                <w:color w:val="auto"/>
              </w:rPr>
            </w:pPr>
            <w:hyperlink w:anchor="page85">
              <w:r>
                <w:rPr>
                  <w:rFonts w:ascii="Times New Roman" w:cs="Times New Roman" w:eastAsia="Times New Roman" w:hAnsi="Times New Roman"/>
                  <w:sz w:val="16"/>
                  <w:szCs w:val="16"/>
                  <w:color w:val="auto"/>
                </w:rPr>
                <w:t>Item 1A.</w:t>
              </w:r>
            </w:hyperlink>
          </w:p>
        </w:tc>
        <w:tc>
          <w:tcPr>
            <w:tcW w:w="3920" w:type="dxa"/>
            <w:vAlign w:val="bottom"/>
            <w:gridSpan w:val="14"/>
          </w:tcPr>
          <w:p>
            <w:pPr>
              <w:spacing w:after="0"/>
              <w:rPr>
                <w:rFonts w:ascii="Times New Roman" w:cs="Times New Roman" w:eastAsia="Times New Roman" w:hAnsi="Times New Roman"/>
                <w:sz w:val="16"/>
                <w:szCs w:val="16"/>
                <w:color w:val="0000EE"/>
              </w:rPr>
            </w:pPr>
            <w:hyperlink w:anchor="page85">
              <w:r>
                <w:rPr>
                  <w:rFonts w:ascii="Times New Roman" w:cs="Times New Roman" w:eastAsia="Times New Roman" w:hAnsi="Times New Roman"/>
                  <w:sz w:val="16"/>
                  <w:szCs w:val="16"/>
                  <w:color w:val="0000EE"/>
                </w:rPr>
                <w:t>Risk Factors</w:t>
              </w:r>
            </w:hyperlink>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5">
              <w:r>
                <w:rPr>
                  <w:rFonts w:ascii="Times New Roman" w:cs="Times New Roman" w:eastAsia="Times New Roman" w:hAnsi="Times New Roman"/>
                  <w:sz w:val="16"/>
                  <w:szCs w:val="16"/>
                  <w:color w:val="auto"/>
                  <w:w w:val="99"/>
                </w:rPr>
                <w:t>85</w:t>
              </w:r>
            </w:hyperlink>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1140" w:type="dxa"/>
            <w:vAlign w:val="bottom"/>
            <w:gridSpan w:val="2"/>
          </w:tcPr>
          <w:p>
            <w:pPr>
              <w:ind w:left="140"/>
              <w:spacing w:after="0"/>
              <w:rPr>
                <w:rFonts w:ascii="Times New Roman" w:cs="Times New Roman" w:eastAsia="Times New Roman" w:hAnsi="Times New Roman"/>
                <w:sz w:val="16"/>
                <w:szCs w:val="16"/>
                <w:color w:val="auto"/>
              </w:rPr>
            </w:pPr>
            <w:hyperlink w:anchor="page85">
              <w:r>
                <w:rPr>
                  <w:rFonts w:ascii="Times New Roman" w:cs="Times New Roman" w:eastAsia="Times New Roman" w:hAnsi="Times New Roman"/>
                  <w:sz w:val="16"/>
                  <w:szCs w:val="16"/>
                  <w:color w:val="auto"/>
                </w:rPr>
                <w:t>Item 2.</w:t>
              </w:r>
            </w:hyperlink>
          </w:p>
        </w:tc>
        <w:tc>
          <w:tcPr>
            <w:tcW w:w="3920" w:type="dxa"/>
            <w:vAlign w:val="bottom"/>
            <w:gridSpan w:val="14"/>
          </w:tcPr>
          <w:p>
            <w:pPr>
              <w:spacing w:after="0"/>
              <w:rPr>
                <w:rFonts w:ascii="Times New Roman" w:cs="Times New Roman" w:eastAsia="Times New Roman" w:hAnsi="Times New Roman"/>
                <w:sz w:val="16"/>
                <w:szCs w:val="16"/>
                <w:color w:val="0000EE"/>
              </w:rPr>
            </w:pPr>
            <w:hyperlink w:anchor="page85">
              <w:r>
                <w:rPr>
                  <w:rFonts w:ascii="Times New Roman" w:cs="Times New Roman" w:eastAsia="Times New Roman" w:hAnsi="Times New Roman"/>
                  <w:sz w:val="16"/>
                  <w:szCs w:val="16"/>
                  <w:color w:val="0000EE"/>
                </w:rPr>
                <w:t>Unregistered Sales of Equity Securities and Use of Proceeds</w:t>
              </w:r>
            </w:hyperlink>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5">
              <w:r>
                <w:rPr>
                  <w:rFonts w:ascii="Times New Roman" w:cs="Times New Roman" w:eastAsia="Times New Roman" w:hAnsi="Times New Roman"/>
                  <w:sz w:val="16"/>
                  <w:szCs w:val="16"/>
                  <w:color w:val="auto"/>
                  <w:w w:val="99"/>
                </w:rPr>
                <w:t>85</w:t>
              </w:r>
            </w:hyperlink>
          </w:p>
        </w:tc>
      </w:tr>
      <w:tr>
        <w:trPr>
          <w:trHeight w:val="280"/>
        </w:trPr>
        <w:tc>
          <w:tcPr>
            <w:tcW w:w="20" w:type="dxa"/>
            <w:vAlign w:val="bottom"/>
          </w:tcPr>
          <w:p>
            <w:pPr>
              <w:spacing w:after="0"/>
              <w:rPr>
                <w:sz w:val="24"/>
                <w:szCs w:val="24"/>
                <w:color w:val="auto"/>
              </w:rPr>
            </w:pPr>
          </w:p>
        </w:tc>
        <w:tc>
          <w:tcPr>
            <w:tcW w:w="1140" w:type="dxa"/>
            <w:vAlign w:val="bottom"/>
            <w:gridSpan w:val="2"/>
          </w:tcPr>
          <w:p>
            <w:pPr>
              <w:ind w:left="140"/>
              <w:spacing w:after="0"/>
              <w:rPr>
                <w:rFonts w:ascii="Times New Roman" w:cs="Times New Roman" w:eastAsia="Times New Roman" w:hAnsi="Times New Roman"/>
                <w:sz w:val="16"/>
                <w:szCs w:val="16"/>
                <w:color w:val="auto"/>
              </w:rPr>
            </w:pPr>
            <w:hyperlink w:anchor="page85">
              <w:r>
                <w:rPr>
                  <w:rFonts w:ascii="Times New Roman" w:cs="Times New Roman" w:eastAsia="Times New Roman" w:hAnsi="Times New Roman"/>
                  <w:sz w:val="16"/>
                  <w:szCs w:val="16"/>
                  <w:color w:val="auto"/>
                </w:rPr>
                <w:t>Item 3.</w:t>
              </w:r>
            </w:hyperlink>
          </w:p>
        </w:tc>
        <w:tc>
          <w:tcPr>
            <w:tcW w:w="3740" w:type="dxa"/>
            <w:vAlign w:val="bottom"/>
            <w:tcBorders>
              <w:top w:val="single" w:sz="8" w:color="0000EE"/>
            </w:tcBorders>
            <w:gridSpan w:val="12"/>
          </w:tcPr>
          <w:p>
            <w:pPr>
              <w:spacing w:after="0"/>
              <w:rPr>
                <w:rFonts w:ascii="Times New Roman" w:cs="Times New Roman" w:eastAsia="Times New Roman" w:hAnsi="Times New Roman"/>
                <w:sz w:val="16"/>
                <w:szCs w:val="16"/>
                <w:color w:val="0000EE"/>
              </w:rPr>
            </w:pPr>
            <w:hyperlink w:anchor="page85">
              <w:r>
                <w:rPr>
                  <w:rFonts w:ascii="Times New Roman" w:cs="Times New Roman" w:eastAsia="Times New Roman" w:hAnsi="Times New Roman"/>
                  <w:sz w:val="16"/>
                  <w:szCs w:val="16"/>
                  <w:color w:val="0000EE"/>
                </w:rPr>
                <w:t>Defaults Upon Senior Securities</w:t>
              </w:r>
            </w:hyperlink>
          </w:p>
        </w:tc>
        <w:tc>
          <w:tcPr>
            <w:tcW w:w="180" w:type="dxa"/>
            <w:vAlign w:val="bottom"/>
            <w:gridSpan w:val="2"/>
          </w:tcPr>
          <w:p>
            <w:pPr>
              <w:spacing w:after="0"/>
              <w:rPr>
                <w:sz w:val="24"/>
                <w:szCs w:val="24"/>
                <w:color w:val="auto"/>
              </w:rPr>
            </w:pPr>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5">
              <w:r>
                <w:rPr>
                  <w:rFonts w:ascii="Times New Roman" w:cs="Times New Roman" w:eastAsia="Times New Roman" w:hAnsi="Times New Roman"/>
                  <w:sz w:val="16"/>
                  <w:szCs w:val="16"/>
                  <w:color w:val="auto"/>
                  <w:w w:val="99"/>
                </w:rPr>
                <w:t>85</w:t>
              </w:r>
            </w:hyperlink>
          </w:p>
        </w:tc>
      </w:tr>
      <w:tr>
        <w:trPr>
          <w:trHeight w:val="280"/>
        </w:trPr>
        <w:tc>
          <w:tcPr>
            <w:tcW w:w="20" w:type="dxa"/>
            <w:vAlign w:val="bottom"/>
          </w:tcPr>
          <w:p>
            <w:pPr>
              <w:spacing w:after="0"/>
              <w:rPr>
                <w:sz w:val="24"/>
                <w:szCs w:val="24"/>
                <w:color w:val="auto"/>
              </w:rPr>
            </w:pPr>
          </w:p>
        </w:tc>
        <w:tc>
          <w:tcPr>
            <w:tcW w:w="1140" w:type="dxa"/>
            <w:vAlign w:val="bottom"/>
            <w:gridSpan w:val="2"/>
          </w:tcPr>
          <w:p>
            <w:pPr>
              <w:ind w:left="140"/>
              <w:spacing w:after="0"/>
              <w:rPr>
                <w:rFonts w:ascii="Times New Roman" w:cs="Times New Roman" w:eastAsia="Times New Roman" w:hAnsi="Times New Roman"/>
                <w:sz w:val="16"/>
                <w:szCs w:val="16"/>
                <w:color w:val="auto"/>
              </w:rPr>
            </w:pPr>
            <w:hyperlink w:anchor="page85">
              <w:r>
                <w:rPr>
                  <w:rFonts w:ascii="Times New Roman" w:cs="Times New Roman" w:eastAsia="Times New Roman" w:hAnsi="Times New Roman"/>
                  <w:sz w:val="16"/>
                  <w:szCs w:val="16"/>
                  <w:color w:val="auto"/>
                </w:rPr>
                <w:t>Item 4.</w:t>
              </w:r>
            </w:hyperlink>
          </w:p>
        </w:tc>
        <w:tc>
          <w:tcPr>
            <w:tcW w:w="2000" w:type="dxa"/>
            <w:vAlign w:val="bottom"/>
            <w:tcBorders>
              <w:top w:val="single" w:sz="8" w:color="0000EE"/>
            </w:tcBorders>
            <w:gridSpan w:val="11"/>
          </w:tcPr>
          <w:p>
            <w:pPr>
              <w:spacing w:after="0"/>
              <w:rPr>
                <w:rFonts w:ascii="Times New Roman" w:cs="Times New Roman" w:eastAsia="Times New Roman" w:hAnsi="Times New Roman"/>
                <w:sz w:val="16"/>
                <w:szCs w:val="16"/>
                <w:color w:val="0000EE"/>
              </w:rPr>
            </w:pPr>
            <w:hyperlink w:anchor="page85">
              <w:r>
                <w:rPr>
                  <w:rFonts w:ascii="Times New Roman" w:cs="Times New Roman" w:eastAsia="Times New Roman" w:hAnsi="Times New Roman"/>
                  <w:sz w:val="16"/>
                  <w:szCs w:val="16"/>
                  <w:color w:val="0000EE"/>
                </w:rPr>
                <w:t>Mine Safety Disclosures</w:t>
              </w:r>
            </w:hyperlink>
          </w:p>
        </w:tc>
        <w:tc>
          <w:tcPr>
            <w:tcW w:w="1920" w:type="dxa"/>
            <w:vAlign w:val="bottom"/>
            <w:gridSpan w:val="3"/>
          </w:tcPr>
          <w:p>
            <w:pPr>
              <w:spacing w:after="0"/>
              <w:rPr>
                <w:sz w:val="24"/>
                <w:szCs w:val="24"/>
                <w:color w:val="auto"/>
              </w:rPr>
            </w:pPr>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5">
              <w:r>
                <w:rPr>
                  <w:rFonts w:ascii="Times New Roman" w:cs="Times New Roman" w:eastAsia="Times New Roman" w:hAnsi="Times New Roman"/>
                  <w:sz w:val="16"/>
                  <w:szCs w:val="16"/>
                  <w:color w:val="auto"/>
                  <w:w w:val="99"/>
                </w:rPr>
                <w:t>85</w:t>
              </w:r>
            </w:hyperlink>
          </w:p>
        </w:tc>
      </w:tr>
      <w:tr>
        <w:trPr>
          <w:trHeight w:val="280"/>
        </w:trPr>
        <w:tc>
          <w:tcPr>
            <w:tcW w:w="20" w:type="dxa"/>
            <w:vAlign w:val="bottom"/>
          </w:tcPr>
          <w:p>
            <w:pPr>
              <w:spacing w:after="0"/>
              <w:rPr>
                <w:sz w:val="24"/>
                <w:szCs w:val="24"/>
                <w:color w:val="auto"/>
              </w:rPr>
            </w:pPr>
          </w:p>
        </w:tc>
        <w:tc>
          <w:tcPr>
            <w:tcW w:w="1140" w:type="dxa"/>
            <w:vAlign w:val="bottom"/>
            <w:gridSpan w:val="2"/>
          </w:tcPr>
          <w:p>
            <w:pPr>
              <w:ind w:left="140"/>
              <w:spacing w:after="0"/>
              <w:rPr>
                <w:rFonts w:ascii="Times New Roman" w:cs="Times New Roman" w:eastAsia="Times New Roman" w:hAnsi="Times New Roman"/>
                <w:sz w:val="16"/>
                <w:szCs w:val="16"/>
                <w:color w:val="auto"/>
              </w:rPr>
            </w:pPr>
            <w:hyperlink w:anchor="page85">
              <w:r>
                <w:rPr>
                  <w:rFonts w:ascii="Times New Roman" w:cs="Times New Roman" w:eastAsia="Times New Roman" w:hAnsi="Times New Roman"/>
                  <w:sz w:val="16"/>
                  <w:szCs w:val="16"/>
                  <w:color w:val="auto"/>
                </w:rPr>
                <w:t>Item 5.</w:t>
              </w:r>
            </w:hyperlink>
          </w:p>
        </w:tc>
        <w:tc>
          <w:tcPr>
            <w:tcW w:w="11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6"/>
                <w:szCs w:val="16"/>
                <w:color w:val="0000EE"/>
                <w:w w:val="95"/>
              </w:rPr>
            </w:pPr>
            <w:hyperlink w:anchor="page85">
              <w:r>
                <w:rPr>
                  <w:rFonts w:ascii="Times New Roman" w:cs="Times New Roman" w:eastAsia="Times New Roman" w:hAnsi="Times New Roman"/>
                  <w:sz w:val="16"/>
                  <w:szCs w:val="16"/>
                  <w:color w:val="0000EE"/>
                  <w:w w:val="95"/>
                </w:rPr>
                <w:t>Other Information</w:t>
              </w:r>
            </w:hyperlink>
          </w:p>
        </w:tc>
        <w:tc>
          <w:tcPr>
            <w:tcW w:w="380" w:type="dxa"/>
            <w:vAlign w:val="bottom"/>
            <w:tcBorders>
              <w:top w:val="single" w:sz="8" w:color="0000EE"/>
            </w:tcBorders>
            <w:gridSpan w:val="3"/>
          </w:tcPr>
          <w:p>
            <w:pPr>
              <w:spacing w:after="0"/>
              <w:rPr>
                <w:sz w:val="24"/>
                <w:szCs w:val="24"/>
                <w:color w:val="auto"/>
              </w:rPr>
            </w:pPr>
          </w:p>
        </w:tc>
        <w:tc>
          <w:tcPr>
            <w:tcW w:w="2400" w:type="dxa"/>
            <w:vAlign w:val="bottom"/>
            <w:gridSpan w:val="5"/>
          </w:tcPr>
          <w:p>
            <w:pPr>
              <w:spacing w:after="0"/>
              <w:rPr>
                <w:sz w:val="24"/>
                <w:szCs w:val="24"/>
                <w:color w:val="auto"/>
              </w:rPr>
            </w:pPr>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5">
              <w:r>
                <w:rPr>
                  <w:rFonts w:ascii="Times New Roman" w:cs="Times New Roman" w:eastAsia="Times New Roman" w:hAnsi="Times New Roman"/>
                  <w:sz w:val="16"/>
                  <w:szCs w:val="16"/>
                  <w:color w:val="auto"/>
                  <w:w w:val="99"/>
                </w:rPr>
                <w:t>86</w:t>
              </w:r>
            </w:hyperlink>
          </w:p>
        </w:tc>
      </w:tr>
      <w:tr>
        <w:trPr>
          <w:trHeight w:val="280"/>
        </w:trPr>
        <w:tc>
          <w:tcPr>
            <w:tcW w:w="20" w:type="dxa"/>
            <w:vAlign w:val="bottom"/>
          </w:tcPr>
          <w:p>
            <w:pPr>
              <w:spacing w:after="0"/>
              <w:rPr>
                <w:sz w:val="24"/>
                <w:szCs w:val="24"/>
                <w:color w:val="auto"/>
              </w:rPr>
            </w:pPr>
          </w:p>
        </w:tc>
        <w:tc>
          <w:tcPr>
            <w:tcW w:w="1140" w:type="dxa"/>
            <w:vAlign w:val="bottom"/>
            <w:gridSpan w:val="2"/>
          </w:tcPr>
          <w:p>
            <w:pPr>
              <w:ind w:left="140"/>
              <w:spacing w:after="0"/>
              <w:rPr>
                <w:rFonts w:ascii="Times New Roman" w:cs="Times New Roman" w:eastAsia="Times New Roman" w:hAnsi="Times New Roman"/>
                <w:sz w:val="16"/>
                <w:szCs w:val="16"/>
                <w:color w:val="auto"/>
              </w:rPr>
            </w:pPr>
            <w:hyperlink w:anchor="page86">
              <w:r>
                <w:rPr>
                  <w:rFonts w:ascii="Times New Roman" w:cs="Times New Roman" w:eastAsia="Times New Roman" w:hAnsi="Times New Roman"/>
                  <w:sz w:val="16"/>
                  <w:szCs w:val="16"/>
                  <w:color w:val="auto"/>
                </w:rPr>
                <w:t>Item 6.</w:t>
              </w:r>
            </w:hyperlink>
          </w:p>
        </w:tc>
        <w:tc>
          <w:tcPr>
            <w:tcW w:w="3920" w:type="dxa"/>
            <w:vAlign w:val="bottom"/>
            <w:gridSpan w:val="14"/>
          </w:tcPr>
          <w:p>
            <w:pPr>
              <w:spacing w:after="0"/>
              <w:rPr>
                <w:rFonts w:ascii="Times New Roman" w:cs="Times New Roman" w:eastAsia="Times New Roman" w:hAnsi="Times New Roman"/>
                <w:sz w:val="16"/>
                <w:szCs w:val="16"/>
                <w:color w:val="0000EE"/>
              </w:rPr>
            </w:pPr>
            <w:hyperlink w:anchor="page86">
              <w:r>
                <w:rPr>
                  <w:rFonts w:ascii="Times New Roman" w:cs="Times New Roman" w:eastAsia="Times New Roman" w:hAnsi="Times New Roman"/>
                  <w:sz w:val="16"/>
                  <w:szCs w:val="16"/>
                  <w:color w:val="0000EE"/>
                </w:rPr>
                <w:t>Exhibits</w:t>
              </w:r>
            </w:hyperlink>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6">
              <w:r>
                <w:rPr>
                  <w:rFonts w:ascii="Times New Roman" w:cs="Times New Roman" w:eastAsia="Times New Roman" w:hAnsi="Times New Roman"/>
                  <w:sz w:val="16"/>
                  <w:szCs w:val="16"/>
                  <w:color w:val="auto"/>
                  <w:w w:val="99"/>
                </w:rPr>
                <w:t>86</w:t>
              </w:r>
            </w:hyperlink>
          </w:p>
        </w:tc>
      </w:tr>
      <w:tr>
        <w:trPr>
          <w:trHeight w:val="280"/>
        </w:trPr>
        <w:tc>
          <w:tcPr>
            <w:tcW w:w="1160" w:type="dxa"/>
            <w:vAlign w:val="bottom"/>
            <w:gridSpan w:val="3"/>
          </w:tcPr>
          <w:p>
            <w:pPr>
              <w:ind w:left="20"/>
              <w:spacing w:after="0"/>
              <w:rPr>
                <w:rFonts w:ascii="Times New Roman" w:cs="Times New Roman" w:eastAsia="Times New Roman" w:hAnsi="Times New Roman"/>
                <w:sz w:val="16"/>
                <w:szCs w:val="16"/>
                <w:color w:val="0000EE"/>
              </w:rPr>
            </w:pPr>
            <w:hyperlink w:anchor="page86">
              <w:r>
                <w:rPr>
                  <w:rFonts w:ascii="Times New Roman" w:cs="Times New Roman" w:eastAsia="Times New Roman" w:hAnsi="Times New Roman"/>
                  <w:sz w:val="16"/>
                  <w:szCs w:val="16"/>
                  <w:color w:val="0000EE"/>
                </w:rPr>
                <w:t>Signatures</w:t>
              </w:r>
            </w:hyperlink>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tcPr>
          <w:p>
            <w:pPr>
              <w:jc w:val="center"/>
              <w:ind w:left="4722"/>
              <w:spacing w:after="0"/>
              <w:rPr>
                <w:rFonts w:ascii="Times New Roman" w:cs="Times New Roman" w:eastAsia="Times New Roman" w:hAnsi="Times New Roman"/>
                <w:sz w:val="16"/>
                <w:szCs w:val="16"/>
                <w:color w:val="auto"/>
                <w:w w:val="99"/>
              </w:rPr>
            </w:pPr>
            <w:hyperlink w:anchor="page86">
              <w:r>
                <w:rPr>
                  <w:rFonts w:ascii="Times New Roman" w:cs="Times New Roman" w:eastAsia="Times New Roman" w:hAnsi="Times New Roman"/>
                  <w:sz w:val="16"/>
                  <w:szCs w:val="16"/>
                  <w:color w:val="auto"/>
                  <w:w w:val="99"/>
                </w:rPr>
                <w:t>87</w:t>
              </w:r>
            </w:hyperlink>
          </w:p>
        </w:tc>
      </w:tr>
      <w:tr>
        <w:trPr>
          <w:trHeight w:val="590"/>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tcPr>
          <w:p>
            <w:pPr>
              <w:jc w:val="right"/>
              <w:ind w:right="5062"/>
              <w:spacing w:after="0"/>
              <w:rPr>
                <w:sz w:val="20"/>
                <w:szCs w:val="20"/>
                <w:color w:val="auto"/>
              </w:rPr>
            </w:pPr>
            <w:r>
              <w:rPr>
                <w:rFonts w:ascii="Times New Roman" w:cs="Times New Roman" w:eastAsia="Times New Roman" w:hAnsi="Times New Roman"/>
                <w:sz w:val="16"/>
                <w:szCs w:val="16"/>
                <w:color w:val="auto"/>
              </w:rPr>
              <w:t>- 3 -</w:t>
            </w:r>
          </w:p>
        </w:tc>
      </w:tr>
      <w:tr>
        <w:trPr>
          <w:trHeight w:val="194"/>
        </w:trPr>
        <w:tc>
          <w:tcPr>
            <w:tcW w:w="20" w:type="dxa"/>
            <w:vAlign w:val="bottom"/>
            <w:tcBorders>
              <w:bottom w:val="single" w:sz="8" w:color="EEEEEE"/>
            </w:tcBorders>
          </w:tcPr>
          <w:p>
            <w:pPr>
              <w:spacing w:after="0"/>
              <w:rPr>
                <w:sz w:val="16"/>
                <w:szCs w:val="16"/>
                <w:color w:val="auto"/>
              </w:rPr>
            </w:pPr>
          </w:p>
        </w:tc>
        <w:tc>
          <w:tcPr>
            <w:tcW w:w="660" w:type="dxa"/>
            <w:vAlign w:val="bottom"/>
            <w:tcBorders>
              <w:bottom w:val="single" w:sz="8" w:color="EEEEEE"/>
            </w:tcBorders>
          </w:tcPr>
          <w:p>
            <w:pPr>
              <w:spacing w:after="0"/>
              <w:rPr>
                <w:sz w:val="16"/>
                <w:szCs w:val="16"/>
                <w:color w:val="auto"/>
              </w:rPr>
            </w:pPr>
          </w:p>
        </w:tc>
        <w:tc>
          <w:tcPr>
            <w:tcW w:w="48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26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14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36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26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460" w:type="dxa"/>
            <w:vAlign w:val="bottom"/>
            <w:tcBorders>
              <w:bottom w:val="single" w:sz="8" w:color="EEEEEE"/>
            </w:tcBorders>
          </w:tcPr>
          <w:p>
            <w:pPr>
              <w:spacing w:after="0"/>
              <w:rPr>
                <w:sz w:val="16"/>
                <w:szCs w:val="16"/>
                <w:color w:val="auto"/>
              </w:rPr>
            </w:pPr>
          </w:p>
        </w:tc>
        <w:tc>
          <w:tcPr>
            <w:tcW w:w="174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160" w:type="dxa"/>
            <w:vAlign w:val="bottom"/>
            <w:tcBorders>
              <w:bottom w:val="single" w:sz="8" w:color="EEEEEE"/>
            </w:tcBorders>
          </w:tcPr>
          <w:p>
            <w:pPr>
              <w:spacing w:after="0"/>
              <w:rPr>
                <w:sz w:val="16"/>
                <w:szCs w:val="16"/>
                <w:color w:val="auto"/>
              </w:rPr>
            </w:pPr>
          </w:p>
        </w:tc>
        <w:tc>
          <w:tcPr>
            <w:tcW w:w="548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2" w:right="68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77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Glossary of Terms</w:t>
            </w:r>
          </w:p>
        </w:tc>
      </w:tr>
      <w:tr>
        <w:trPr>
          <w:trHeight w:val="31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listing includes acronyms and terms used throughout the document.</w:t>
            </w:r>
          </w:p>
        </w:tc>
      </w:tr>
      <w:tr>
        <w:trPr>
          <w:trHeight w:val="430"/>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7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6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Annual Report</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 10-K for the year ended December 31, 2024</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Bayview Financial</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Bayview Financial Holdings, L.P. together with its affiliates</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BLG</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Bayview Lending Group, LLC</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Rules</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Capital adequacy standards established by the federal banking agencies</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 Equity Tier 1</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Collective Investment Trust</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Securities</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 securities issued in connection with the issuance of Junior Subordinated Debentures</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M&amp;T Bank Corporation and its consolidated subsidiaries</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DUS</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Delegated Underwriting and Servicing</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Economic value of equity</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ALCO Committee</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Executive Asset-Liability Liquidity Capital Committee</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Federal Home Loan Bank</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FOMC</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Federal Open Market Committee</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FRB</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Federal Reserve Bank</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GDP</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Domestic Product</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Fixed and variable rate junior subordinated deferrable interest debentures</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LCR</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Liquidity Coverage Ratio</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LTV</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Loan-to-value</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M&amp;T</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M&amp;T Bank Corporation</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M&amp;T Bank</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Manufacturers and Traders Trust Company</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People’s United</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People’s United Financial, Inc.</w:t>
            </w:r>
          </w:p>
        </w:tc>
      </w:tr>
      <w:tr>
        <w:trPr>
          <w:trHeight w:val="23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Capital Securities</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capital securities issued in connection with the issuance of Junior Subordinated</w:t>
            </w:r>
          </w:p>
        </w:tc>
      </w:tr>
      <w:tr>
        <w:trPr>
          <w:trHeight w:val="252"/>
        </w:trPr>
        <w:tc>
          <w:tcPr>
            <w:tcW w:w="2860" w:type="dxa"/>
            <w:vAlign w:val="bottom"/>
            <w:shd w:val="clear" w:color="auto" w:fill="CCEEFF"/>
          </w:tcPr>
          <w:p>
            <w:pPr>
              <w:spacing w:after="0"/>
              <w:rPr>
                <w:sz w:val="21"/>
                <w:szCs w:val="21"/>
                <w:color w:val="auto"/>
              </w:rPr>
            </w:pP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Debentures</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RWA</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Risk-weighted assets</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SCB</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Stress capital buffer</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5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7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7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Wilmington Trust, N.A.</w:t>
            </w:r>
          </w:p>
        </w:tc>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Wilmington Trust, National Association</w:t>
            </w:r>
          </w:p>
        </w:tc>
      </w:tr>
      <w:tr>
        <w:trPr>
          <w:trHeight w:val="562"/>
        </w:trPr>
        <w:tc>
          <w:tcPr>
            <w:tcW w:w="2860" w:type="dxa"/>
            <w:vAlign w:val="bottom"/>
          </w:tcPr>
          <w:p>
            <w:pPr>
              <w:spacing w:after="0"/>
              <w:rPr>
                <w:sz w:val="24"/>
                <w:szCs w:val="24"/>
                <w:color w:val="auto"/>
              </w:rPr>
            </w:pPr>
          </w:p>
        </w:tc>
        <w:tc>
          <w:tcPr>
            <w:tcW w:w="770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- 4 -</w:t>
            </w:r>
          </w:p>
        </w:tc>
      </w:tr>
      <w:tr>
        <w:trPr>
          <w:trHeight w:val="194"/>
        </w:trPr>
        <w:tc>
          <w:tcPr>
            <w:tcW w:w="2860" w:type="dxa"/>
            <w:vAlign w:val="bottom"/>
            <w:tcBorders>
              <w:bottom w:val="single" w:sz="8" w:color="EEEEEE"/>
            </w:tcBorders>
          </w:tcPr>
          <w:p>
            <w:pPr>
              <w:spacing w:after="0"/>
              <w:rPr>
                <w:sz w:val="16"/>
                <w:szCs w:val="16"/>
                <w:color w:val="auto"/>
              </w:rPr>
            </w:pPr>
          </w:p>
        </w:tc>
        <w:tc>
          <w:tcPr>
            <w:tcW w:w="770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9" w:right="68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 (Unaudited).</w:t>
      </w:r>
    </w:p>
    <w:p>
      <w:pPr>
        <w:spacing w:after="0" w:line="1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0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Consolidated Balance Sheet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60" w:type="dxa"/>
            <w:vAlign w:val="bottom"/>
          </w:tcPr>
          <w:p>
            <w:pPr>
              <w:spacing w:after="0"/>
              <w:rPr>
                <w:sz w:val="15"/>
                <w:szCs w:val="15"/>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due from banks</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1,950</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Interest-bearing deposits at banks</w:t>
            </w:r>
          </w:p>
        </w:tc>
        <w:tc>
          <w:tcPr>
            <w:tcW w:w="16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16,751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18,873</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Trading account</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securities: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8"/>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Available for sale (cost: $23,000 at September 30, 2025;</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2"/>
        </w:trPr>
        <w:tc>
          <w:tcPr>
            <w:tcW w:w="7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$19,054 at December 31, 2024)</w:t>
            </w: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23,163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18,849</w:t>
            </w:r>
          </w:p>
        </w:tc>
      </w:tr>
      <w:tr>
        <w:trPr>
          <w:trHeight w:val="168"/>
        </w:trPr>
        <w:tc>
          <w:tcPr>
            <w:tcW w:w="7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Held to maturity (fair value: $11,924 at September 30, 2025;</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7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$12,955 at December 31, 2024)</w:t>
            </w:r>
          </w:p>
        </w:tc>
        <w:tc>
          <w:tcPr>
            <w:tcW w:w="160" w:type="dxa"/>
            <w:vAlign w:val="bottom"/>
          </w:tcPr>
          <w:p>
            <w:pPr>
              <w:spacing w:after="0"/>
              <w:rPr>
                <w:sz w:val="14"/>
                <w:szCs w:val="14"/>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12,711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14,195</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8"/>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Equity and other securities (cost: $989 at September 30, 2025;</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2"/>
        </w:trPr>
        <w:tc>
          <w:tcPr>
            <w:tcW w:w="7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$1,007 at December 31, 2024)</w:t>
            </w: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 securities</w:t>
            </w:r>
          </w:p>
        </w:tc>
        <w:tc>
          <w:tcPr>
            <w:tcW w:w="16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36,864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34,051</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(a)</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136,974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135,581</w:t>
            </w:r>
          </w:p>
        </w:tc>
      </w:tr>
      <w:tr>
        <w:trPr>
          <w:trHeight w:val="184"/>
        </w:trPr>
        <w:tc>
          <w:tcPr>
            <w:tcW w:w="79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Allowance for loan losses</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loans</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134,813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133,397</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Premises and equipment</w:t>
            </w:r>
          </w:p>
        </w:tc>
        <w:tc>
          <w:tcPr>
            <w:tcW w:w="16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8,465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8,465</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6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interest and other assets</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10,644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9,510</w:t>
            </w:r>
          </w:p>
        </w:tc>
      </w:tr>
      <w:tr>
        <w:trPr>
          <w:trHeight w:val="20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211,277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208,105</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48"/>
        </w:trPr>
        <w:tc>
          <w:tcPr>
            <w:tcW w:w="798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44,994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46,020</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Savings and interest-checking deposits</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104,812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100,599</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Time deposits</w:t>
            </w:r>
          </w:p>
        </w:tc>
        <w:tc>
          <w:tcPr>
            <w:tcW w:w="16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13,620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14,476</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deposits</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163,426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161,095</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borrowings</w:t>
            </w:r>
          </w:p>
        </w:tc>
        <w:tc>
          <w:tcPr>
            <w:tcW w:w="16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borrowings (a)</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12,928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12,605</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interest and other liabilities</w:t>
            </w:r>
          </w:p>
        </w:tc>
        <w:tc>
          <w:tcPr>
            <w:tcW w:w="16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4,136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4,318</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182,549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179,078</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2,394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w:t>
            </w: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$0.50 par, 250,000,000 shares authorized,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7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179,436,779 shares issued at September 30, 2025 and December 31, 2024</w:t>
            </w:r>
          </w:p>
        </w:tc>
        <w:tc>
          <w:tcPr>
            <w:tcW w:w="160" w:type="dxa"/>
            <w:vAlign w:val="bottom"/>
          </w:tcPr>
          <w:p>
            <w:pPr>
              <w:spacing w:after="0"/>
              <w:rPr>
                <w:sz w:val="14"/>
                <w:szCs w:val="14"/>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issuable, 7,846 shares at September 30, 2025;</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2"/>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11,642 shares at December 31, 2024</w:t>
            </w: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9,995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9,998</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20,392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19,079</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 (loss), net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stock — common, at cost — 24,926,404 shares at September 30, 2025;</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2"/>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13,922,820 shares at December 31, 2024</w:t>
            </w: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(4,421)</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160" w:type="dxa"/>
            <w:vAlign w:val="bottom"/>
          </w:tcPr>
          <w:p>
            <w:pPr>
              <w:spacing w:after="0"/>
              <w:rPr>
                <w:sz w:val="16"/>
                <w:szCs w:val="16"/>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28,728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29,027</w:t>
            </w: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211,277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208,105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jc w:val="both"/>
        <w:ind w:left="400" w:hanging="394"/>
        <w:spacing w:after="0" w:line="257" w:lineRule="auto"/>
        <w:tabs>
          <w:tab w:leader="none" w:pos="412" w:val="left"/>
        </w:tabs>
        <w:numPr>
          <w:ilvl w:val="0"/>
          <w:numId w:val="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Loans of $2.3 billion and $1.5 billion at September 30, 2025 and December 31, 2024, respectively, were held in special purpose trusts to settle the respective obligations of asset-backed notes issued by those trusts. The outstanding balances of those asset-backed notes issued to third party investors were included in Long-term borrowings and were $1.9 billion at September 30, 2025 and $1.2 billion at December 31, 2024.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9" w:right="68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3"/>
          <w:szCs w:val="13"/>
          <w:b w:val="1"/>
          <w:bCs w:val="1"/>
          <w:color w:val="auto"/>
        </w:rPr>
        <w:t>(Dollars in millions, except per share, shares in thousands) Interest income</w:t>
      </w:r>
    </w:p>
    <w:p>
      <w:pPr>
        <w:spacing w:after="0"/>
        <w:rPr>
          <w:sz w:val="20"/>
          <w:szCs w:val="20"/>
          <w:color w:val="auto"/>
        </w:rPr>
      </w:pPr>
      <w:r>
        <w:rPr>
          <w:rFonts w:ascii="Times New Roman" w:cs="Times New Roman" w:eastAsia="Times New Roman" w:hAnsi="Times New Roman"/>
          <w:sz w:val="13"/>
          <w:szCs w:val="13"/>
          <w:color w:val="auto"/>
        </w:rPr>
        <w:t>Loans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Investment securities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Deposits at banks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interest income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Interest expense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Savings and interest-checking deposits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Time deposits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Short-term borrowings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Long-term borrowings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interest expense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interest income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Provision for credit losses</w:t>
      </w:r>
    </w:p>
    <w:p>
      <w:pPr>
        <w:spacing w:after="0" w:line="55" w:lineRule="exact"/>
        <w:rPr>
          <w:sz w:val="20"/>
          <w:szCs w:val="20"/>
          <w:color w:val="auto"/>
        </w:rPr>
      </w:pPr>
    </w:p>
    <w:p>
      <w:pPr>
        <w:ind w:right="580"/>
        <w:spacing w:after="0" w:line="327" w:lineRule="auto"/>
        <w:rPr>
          <w:sz w:val="20"/>
          <w:szCs w:val="20"/>
          <w:color w:val="auto"/>
        </w:rPr>
      </w:pPr>
      <w:r>
        <w:rPr>
          <w:rFonts w:ascii="Times New Roman" w:cs="Times New Roman" w:eastAsia="Times New Roman" w:hAnsi="Times New Roman"/>
          <w:sz w:val="13"/>
          <w:szCs w:val="13"/>
          <w:color w:val="auto"/>
        </w:rPr>
        <w:t xml:space="preserve">Net interest income after provision for credit losses </w:t>
      </w:r>
      <w:r>
        <w:rPr>
          <w:rFonts w:ascii="Times New Roman" w:cs="Times New Roman" w:eastAsia="Times New Roman" w:hAnsi="Times New Roman"/>
          <w:sz w:val="13"/>
          <w:szCs w:val="13"/>
          <w:b w:val="1"/>
          <w:bCs w:val="1"/>
          <w:color w:val="auto"/>
        </w:rPr>
        <w:t>Other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Mortgage banking revenues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Service charges on deposit accounts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Trust income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Brokerage services income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Trading account and other non-hedging derivative gains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Gain (loss) on bank investment securities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revenues from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other income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expense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Salaries and employee benefits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Equipment and net occupancy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Outside data processing and software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Professional and other services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FDIC assessments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Advertising and marketing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costs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other expense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Income before taxes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Income taxes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income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income available to common shareholders</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Basic</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Diluted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income per common share</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Basic</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Diluted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Average common shares outstanding</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Basic</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Diluted</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Statement of Income (Unaudited)</w:t>
      </w:r>
    </w:p>
    <w:p>
      <w:pPr>
        <w:spacing w:after="0" w:line="152"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140" w:type="dxa"/>
            <w:vAlign w:val="bottom"/>
          </w:tcPr>
          <w:p>
            <w:pPr>
              <w:spacing w:after="0"/>
              <w:rPr>
                <w:sz w:val="15"/>
                <w:szCs w:val="15"/>
                <w:color w:val="auto"/>
              </w:rPr>
            </w:pPr>
          </w:p>
        </w:tc>
        <w:tc>
          <w:tcPr>
            <w:tcW w:w="2320" w:type="dxa"/>
            <w:vAlign w:val="bottom"/>
            <w:gridSpan w:val="4"/>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04"/>
        </w:trPr>
        <w:tc>
          <w:tcPr>
            <w:tcW w:w="14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408"/>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2,104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6,164</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6,378</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04"/>
        </w:trPr>
        <w:tc>
          <w:tcPr>
            <w:tcW w:w="14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2,680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7,849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8,319</w:t>
            </w:r>
          </w:p>
        </w:tc>
      </w:tr>
      <w:tr>
        <w:trPr>
          <w:trHeight w:val="408"/>
        </w:trPr>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1,720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2,680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3,195</w:t>
            </w:r>
          </w:p>
        </w:tc>
      </w:tr>
      <w:tr>
        <w:trPr>
          <w:trHeight w:val="204"/>
        </w:trPr>
        <w:tc>
          <w:tcPr>
            <w:tcW w:w="14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1,761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5,169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5,124</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r>
      <w:tr>
        <w:trPr>
          <w:trHeight w:val="204"/>
        </w:trPr>
        <w:tc>
          <w:tcPr>
            <w:tcW w:w="14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1,636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4,789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4,654</w:t>
            </w:r>
          </w:p>
        </w:tc>
      </w:tr>
      <w:tr>
        <w:trPr>
          <w:trHeight w:val="408"/>
        </w:trPr>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w:t>
            </w:r>
          </w:p>
        </w:tc>
      </w:tr>
      <w:tr>
        <w:trPr>
          <w:trHeight w:val="408"/>
        </w:trPr>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r>
      <w:tr>
        <w:trPr>
          <w:trHeight w:val="204"/>
        </w:trPr>
        <w:tc>
          <w:tcPr>
            <w:tcW w:w="14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1,363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4,114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3,996</w:t>
            </w:r>
          </w:p>
        </w:tc>
      </w:tr>
      <w:tr>
        <w:trPr>
          <w:trHeight w:val="204"/>
        </w:trPr>
        <w:tc>
          <w:tcPr>
            <w:tcW w:w="14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r>
      <w:tr>
        <w:trPr>
          <w:trHeight w:val="204"/>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2,092</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2"/>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1,981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1,981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w:t>
            </w:r>
          </w:p>
        </w:tc>
      </w:tr>
      <w:tr>
        <w:trPr>
          <w:trHeight w:val="408"/>
        </w:trPr>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w:t>
            </w:r>
          </w:p>
        </w:tc>
      </w:tr>
      <w:tr>
        <w:trPr>
          <w:trHeight w:val="204"/>
        </w:trPr>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12.34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w:t>
            </w:r>
          </w:p>
        </w:tc>
      </w:tr>
      <w:tr>
        <w:trPr>
          <w:trHeight w:val="408"/>
        </w:trPr>
        <w:tc>
          <w:tcPr>
            <w:tcW w:w="14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155,558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166,671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159,631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166,694</w:t>
            </w:r>
          </w:p>
        </w:tc>
      </w:tr>
      <w:tr>
        <w:trPr>
          <w:trHeight w:val="204"/>
        </w:trPr>
        <w:tc>
          <w:tcPr>
            <w:tcW w:w="14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156,553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160,503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-5833110</wp:posOffset>
            </wp:positionV>
            <wp:extent cx="6600825" cy="129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-5573395</wp:posOffset>
            </wp:positionV>
            <wp:extent cx="6600825" cy="129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-5314315</wp:posOffset>
            </wp:positionV>
            <wp:extent cx="6600825" cy="129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-5055235</wp:posOffset>
            </wp:positionV>
            <wp:extent cx="6600825" cy="129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-4796155</wp:posOffset>
            </wp:positionV>
            <wp:extent cx="6600825" cy="129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-4537075</wp:posOffset>
            </wp:positionV>
            <wp:extent cx="6600825" cy="129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-4277995</wp:posOffset>
            </wp:positionV>
            <wp:extent cx="6600825" cy="129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-4018915</wp:posOffset>
            </wp:positionV>
            <wp:extent cx="6600825" cy="129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-3759835</wp:posOffset>
            </wp:positionV>
            <wp:extent cx="6600825" cy="129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-3500755</wp:posOffset>
            </wp:positionV>
            <wp:extent cx="6600825" cy="129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-3241040</wp:posOffset>
            </wp:positionV>
            <wp:extent cx="6600825" cy="129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-2981960</wp:posOffset>
            </wp:positionV>
            <wp:extent cx="6600825" cy="129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-2722880</wp:posOffset>
            </wp:positionV>
            <wp:extent cx="6600825" cy="129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-2463800</wp:posOffset>
            </wp:positionV>
            <wp:extent cx="6600825" cy="129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-2204720</wp:posOffset>
            </wp:positionV>
            <wp:extent cx="6600825" cy="129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-1945640</wp:posOffset>
            </wp:positionV>
            <wp:extent cx="6600825" cy="129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-1686560</wp:posOffset>
            </wp:positionV>
            <wp:extent cx="6600825" cy="1295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-1427480</wp:posOffset>
            </wp:positionV>
            <wp:extent cx="6600825" cy="129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-893445</wp:posOffset>
            </wp:positionV>
            <wp:extent cx="6600825" cy="129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-634365</wp:posOffset>
            </wp:positionV>
            <wp:extent cx="6600825" cy="129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-375285</wp:posOffset>
            </wp:positionV>
            <wp:extent cx="6600825" cy="129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-116205</wp:posOffset>
            </wp:positionV>
            <wp:extent cx="6600825" cy="129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0825" cy="12954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-1152525</wp:posOffset>
            </wp:positionV>
            <wp:extent cx="6600825" cy="129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0825" cy="12954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ectPr>
          <w:pgSz w:w="11900" w:h="16840" w:orient="portrait"/>
          <w:cols w:equalWidth="0" w:num="2">
            <w:col w:w="3280" w:space="240"/>
            <w:col w:w="6860"/>
          </w:cols>
          <w:pgMar w:left="680" w:top="1229" w:right="840" w:bottom="1440" w:gutter="0" w:footer="0" w:header="0"/>
        </w:sectPr>
      </w:pPr>
    </w:p>
    <w:p>
      <w:pPr>
        <w:spacing w:after="0" w:line="1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129540</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680" w:top="1229" w:right="840" w:bottom="1440" w:gutter="0" w:footer="0" w:header="0"/>
          <w:type w:val="continuous"/>
        </w:sectPr>
      </w:pPr>
    </w:p>
    <w:bookmarkStart w:id="6" w:name="page7"/>
    <w:bookmarkEnd w:id="6"/>
    <w:p>
      <w:pPr>
        <w:ind w:left="4080"/>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0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Consolidated Statement of Comprehensive Income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4"/>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4"/>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04"/>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60" w:type="dxa"/>
            <w:vAlign w:val="bottom"/>
          </w:tcPr>
          <w:p>
            <w:pPr>
              <w:spacing w:after="0"/>
              <w:rPr>
                <w:sz w:val="17"/>
                <w:szCs w:val="17"/>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
        </w:trPr>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 and reclassification adjustments: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4"/>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unrealized gains on investment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84"/>
        </w:trPr>
        <w:tc>
          <w:tcPr>
            <w:tcW w:w="53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flow hedges adjustments</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r>
      <w:tr>
        <w:trPr>
          <w:trHeight w:val="20"/>
        </w:trPr>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4"/>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Defined benefit plans liability adjustments</w:t>
            </w: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4"/>
        </w:trPr>
        <w:tc>
          <w:tcPr>
            <w:tcW w:w="53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29" w:right="680" w:bottom="1440" w:gutter="0" w:footer="0" w:header="0"/>
        </w:sectPr>
      </w:pPr>
    </w:p>
    <w:bookmarkStart w:id="7" w:name="page8"/>
    <w:bookmarkEnd w:id="7"/>
    <w:p>
      <w:pPr>
        <w:ind w:left="4080"/>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5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Consolidated Statement of Cash Flows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4"/>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60" w:type="dxa"/>
            <w:vAlign w:val="bottom"/>
          </w:tcPr>
          <w:p>
            <w:pPr>
              <w:spacing w:after="0"/>
              <w:rPr>
                <w:sz w:val="14"/>
                <w:szCs w:val="14"/>
                <w:color w:val="auto"/>
              </w:rPr>
            </w:pPr>
          </w:p>
        </w:tc>
        <w:tc>
          <w:tcPr>
            <w:tcW w:w="9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2,092</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1,907</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0" w:type="dxa"/>
            <w:vAlign w:val="bottom"/>
          </w:tcPr>
          <w:p>
            <w:pPr>
              <w:spacing w:after="0"/>
              <w:rPr>
                <w:sz w:val="1"/>
                <w:szCs w:val="1"/>
                <w:color w:val="auto"/>
              </w:rPr>
            </w:pPr>
          </w:p>
        </w:tc>
      </w:tr>
      <w:tr>
        <w:trPr>
          <w:trHeight w:val="166"/>
        </w:trPr>
        <w:tc>
          <w:tcPr>
            <w:tcW w:w="80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Depreciation and amortization of premises and equipment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capitalized servicing rights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66"/>
        </w:trPr>
        <w:tc>
          <w:tcPr>
            <w:tcW w:w="80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core deposit and other intangible assets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Provision for deferred income taxes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66"/>
        </w:trPr>
        <w:tc>
          <w:tcPr>
            <w:tcW w:w="80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Asset write-downs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gain on sales of assets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6"/>
        </w:trPr>
        <w:tc>
          <w:tcPr>
            <w:tcW w:w="80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change in accrued interest receivable, payable</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change in other accrued income and expense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0" w:type="dxa"/>
            <w:vAlign w:val="bottom"/>
          </w:tcPr>
          <w:p>
            <w:pPr>
              <w:spacing w:after="0"/>
              <w:rPr>
                <w:sz w:val="1"/>
                <w:szCs w:val="1"/>
                <w:color w:val="auto"/>
              </w:rPr>
            </w:pPr>
          </w:p>
        </w:tc>
      </w:tr>
      <w:tr>
        <w:trPr>
          <w:trHeight w:val="166"/>
        </w:trPr>
        <w:tc>
          <w:tcPr>
            <w:tcW w:w="80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change in loans originated for sale</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change in trading account and other non-hedging derivative assets and liabilities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from operating activities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1,934</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sales: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66"/>
        </w:trPr>
        <w:tc>
          <w:tcPr>
            <w:tcW w:w="80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Equity and other securities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Loans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maturities: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5,255</w:t>
            </w:r>
          </w:p>
        </w:tc>
        <w:tc>
          <w:tcPr>
            <w:tcW w:w="0" w:type="dxa"/>
            <w:vAlign w:val="bottom"/>
          </w:tcPr>
          <w:p>
            <w:pPr>
              <w:spacing w:after="0"/>
              <w:rPr>
                <w:sz w:val="1"/>
                <w:szCs w:val="1"/>
                <w:color w:val="auto"/>
              </w:rPr>
            </w:pPr>
          </w:p>
        </w:tc>
      </w:tr>
      <w:tr>
        <w:trPr>
          <w:trHeight w:val="166"/>
        </w:trPr>
        <w:tc>
          <w:tcPr>
            <w:tcW w:w="80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securities held to maturity</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securities available for sale</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(11,156)</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Equity and other securities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0" w:type="dxa"/>
            <w:vAlign w:val="bottom"/>
          </w:tcPr>
          <w:p>
            <w:pPr>
              <w:spacing w:after="0"/>
              <w:rPr>
                <w:sz w:val="1"/>
                <w:szCs w:val="1"/>
                <w:color w:val="auto"/>
              </w:rPr>
            </w:pPr>
          </w:p>
        </w:tc>
      </w:tr>
      <w:tr>
        <w:trPr>
          <w:trHeight w:val="166"/>
        </w:trPr>
        <w:tc>
          <w:tcPr>
            <w:tcW w:w="80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Loans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 in loans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 in interest-bearing deposits at banks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3,652</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 expenditures, net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 in loan servicing advances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net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from investing activities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(2,843)</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 in deposits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 in short-term borrowings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(2,711)</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long-term borrowings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4,003</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Payments on long-term borrowings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issuance of Series J preferred stock</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Redemption of Series E preferred stock</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 paid — common</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paid — preferred</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net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from financing activities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1,394</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 in cash, cash equivalents and restricted cash</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1,731</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end of period</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1,950</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8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received during the period</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7,951</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8,323</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paid during the period</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3,294</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taxes paid during the period</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schedule of noncash investing and financing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 estate acquired in settlement of loans</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64"/>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Additions to right-of-use assets under operating leases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29" w:right="680" w:bottom="1440" w:gutter="0" w:footer="0" w:header="0"/>
        </w:sectPr>
      </w:pPr>
    </w:p>
    <w:bookmarkStart w:id="8" w:name="page9"/>
    <w:bookmarkEnd w:id="8"/>
    <w:p>
      <w:pPr>
        <w:ind w:left="4080"/>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0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Consolidated Statement of Changes in Shareholders’ Equity (Unaudited)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2"/>
                <w:szCs w:val="12"/>
                <w:color w:val="auto"/>
              </w:rPr>
            </w:pPr>
          </w:p>
        </w:tc>
        <w:tc>
          <w:tcPr>
            <w:tcW w:w="700" w:type="dxa"/>
            <w:vAlign w:val="bottom"/>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9"/>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millions, except per share)</w:t>
            </w:r>
          </w:p>
        </w:tc>
        <w:tc>
          <w:tcPr>
            <w:tcW w:w="120" w:type="dxa"/>
            <w:vAlign w:val="bottom"/>
          </w:tcPr>
          <w:p>
            <w:pPr>
              <w:spacing w:after="0"/>
              <w:rPr>
                <w:sz w:val="13"/>
                <w:szCs w:val="13"/>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3"/>
                <w:szCs w:val="13"/>
                <w:color w:val="auto"/>
              </w:rPr>
            </w:pPr>
          </w:p>
        </w:tc>
        <w:tc>
          <w:tcPr>
            <w:tcW w:w="700" w:type="dxa"/>
            <w:vAlign w:val="bottom"/>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9"/>
              </w:rPr>
              <w:t>Issuable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(Loss), Net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 July 1, 2025</w:t>
            </w:r>
          </w:p>
        </w:tc>
        <w:tc>
          <w:tcPr>
            <w:tcW w:w="1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8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9,981</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19,870</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215</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(4,026)</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28,525</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Total comprehensive income</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stock cash dividends</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transactions, net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Common stock cash dividends — $1.50 per share</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2"/>
        </w:trPr>
        <w:tc>
          <w:tcPr>
            <w:tcW w:w="2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 September 30, 2025</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20,392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(4,421)</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4"/>
        </w:trPr>
        <w:tc>
          <w:tcPr>
            <w:tcW w:w="2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Balance — January 1, 2025</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19,079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(2,371)</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29,027</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comprehensive income</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2,533</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Preferred stock cash dividends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Stock-based compensation transactions, net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 cash dividends — $4.20 per share</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w:t>
            </w:r>
          </w:p>
        </w:tc>
      </w:tr>
      <w:tr>
        <w:trPr>
          <w:trHeight w:val="192"/>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Balance — September 30, 2025</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20,392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277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(4,421)</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44"/>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8"/>
        </w:trPr>
        <w:tc>
          <w:tcPr>
            <w:tcW w:w="2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 July 1, 2024</w:t>
            </w:r>
          </w:p>
        </w:tc>
        <w:tc>
          <w:tcPr>
            <w:tcW w:w="1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2,744</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8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9,976</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18,211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(2,047)</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28,424</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Total comprehensive income</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1,245</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Redemption of Series E preferred stock</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Preferred stock cash dividends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Stock-based compensation transactions, net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 cash dividends — $1.35 per share</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r>
      <w:tr>
        <w:trPr>
          <w:trHeight w:val="192"/>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Balance — September 30, 2024</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9,986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18,659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(2,227)</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28,876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44"/>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8"/>
        </w:trPr>
        <w:tc>
          <w:tcPr>
            <w:tcW w:w="2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 January 1, 2024</w:t>
            </w:r>
          </w:p>
        </w:tc>
        <w:tc>
          <w:tcPr>
            <w:tcW w:w="1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8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10,020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17,524</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(2,230)</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26,957</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Total comprehensive income</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2,339</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Series J preferred stock</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Redemption of Series E preferred stock</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stock cash dividends</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28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transactions, net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r>
      <w:tr>
        <w:trPr>
          <w:trHeight w:val="168"/>
        </w:trPr>
        <w:tc>
          <w:tcPr>
            <w:tcW w:w="28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Common stock cash dividends — $4.00 per share</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w:t>
            </w:r>
          </w:p>
        </w:tc>
      </w:tr>
      <w:tr>
        <w:trPr>
          <w:trHeight w:val="24"/>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2"/>
        </w:trPr>
        <w:tc>
          <w:tcPr>
            <w:tcW w:w="2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 September 30, 2024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18,659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(2,227)</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29" w:right="70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Notes to Financial Statements (Unaudited)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consolidated interim financial statements of the Company were compiled in accordance with GAAP using the accounting policies set forth in note 1 of Notes to Financial Statements included in M&amp;T's 2024 Annual Report. The financial statements contain all adjustments which are, in the opinion of management, necessary for a fair statement of the Company's financial position, results of operations and cash flows for the interim periods presented.</w:t>
      </w:r>
    </w:p>
    <w:p>
      <w:pPr>
        <w:spacing w:after="0" w:line="60" w:lineRule="exact"/>
        <w:rPr>
          <w:sz w:val="20"/>
          <w:szCs w:val="20"/>
          <w:color w:val="auto"/>
        </w:rPr>
      </w:pPr>
    </w:p>
    <w:p>
      <w:pPr>
        <w:ind w:right="1200"/>
        <w:spacing w:after="0" w:line="328" w:lineRule="auto"/>
        <w:rPr>
          <w:sz w:val="20"/>
          <w:szCs w:val="20"/>
          <w:color w:val="auto"/>
        </w:rPr>
      </w:pPr>
      <w:r>
        <w:rPr>
          <w:rFonts w:ascii="Times New Roman" w:cs="Times New Roman" w:eastAsia="Times New Roman" w:hAnsi="Times New Roman"/>
          <w:sz w:val="18"/>
          <w:szCs w:val="18"/>
          <w:color w:val="auto"/>
        </w:rPr>
        <w:t xml:space="preserve">The following table provides a description of accounting standards applicable to M&amp;T but not yet adopted at September 30, 2025. </w:t>
      </w:r>
      <w:r>
        <w:rPr>
          <w:rFonts w:ascii="Times New Roman" w:cs="Times New Roman" w:eastAsia="Times New Roman" w:hAnsi="Times New Roman"/>
          <w:sz w:val="18"/>
          <w:szCs w:val="18"/>
          <w:b w:val="1"/>
          <w:bCs w:val="1"/>
          <w:i w:val="1"/>
          <w:iCs w:val="1"/>
          <w:color w:val="auto"/>
        </w:rPr>
        <w:t>Recent accounting developments</w:t>
      </w:r>
    </w:p>
    <w:tbl>
      <w:tblPr>
        <w:tblLayout w:type="fixed"/>
        <w:tblInd w:w="10" w:type="dxa"/>
        <w:tblCellMar>
          <w:top w:w="0" w:type="dxa"/>
          <w:left w:w="0" w:type="dxa"/>
          <w:bottom w:w="0" w:type="dxa"/>
          <w:right w:w="0" w:type="dxa"/>
        </w:tblCellMar>
      </w:tblPr>
      <w:tr>
        <w:trPr>
          <w:trHeight w:val="157"/>
        </w:trPr>
        <w:tc>
          <w:tcPr>
            <w:tcW w:w="1740" w:type="dxa"/>
            <w:vAlign w:val="bottom"/>
            <w:tcBorders>
              <w:top w:val="single" w:sz="8" w:color="auto"/>
              <w:left w:val="single" w:sz="8" w:color="auto"/>
              <w:right w:val="single" w:sz="8" w:color="auto"/>
            </w:tcBorders>
          </w:tcPr>
          <w:p>
            <w:pPr>
              <w:spacing w:after="0"/>
              <w:rPr>
                <w:sz w:val="13"/>
                <w:szCs w:val="13"/>
                <w:color w:val="auto"/>
              </w:rPr>
            </w:pPr>
          </w:p>
        </w:tc>
        <w:tc>
          <w:tcPr>
            <w:tcW w:w="3740" w:type="dxa"/>
            <w:vAlign w:val="bottom"/>
            <w:tcBorders>
              <w:top w:val="single" w:sz="8" w:color="auto"/>
              <w:right w:val="single" w:sz="8" w:color="auto"/>
            </w:tcBorders>
          </w:tcPr>
          <w:p>
            <w:pPr>
              <w:spacing w:after="0"/>
              <w:rPr>
                <w:sz w:val="13"/>
                <w:szCs w:val="13"/>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Required date</w:t>
            </w:r>
          </w:p>
        </w:tc>
        <w:tc>
          <w:tcPr>
            <w:tcW w:w="3480" w:type="dxa"/>
            <w:vAlign w:val="bottom"/>
            <w:tcBorders>
              <w:top w:val="single" w:sz="8" w:color="auto"/>
              <w:right w:val="single" w:sz="8" w:color="auto"/>
            </w:tcBorders>
          </w:tcPr>
          <w:p>
            <w:pPr>
              <w:spacing w:after="0"/>
              <w:rPr>
                <w:sz w:val="13"/>
                <w:szCs w:val="13"/>
                <w:color w:val="auto"/>
              </w:rPr>
            </w:pPr>
          </w:p>
        </w:tc>
      </w:tr>
      <w:tr>
        <w:trPr>
          <w:trHeight w:val="174"/>
        </w:trPr>
        <w:tc>
          <w:tcPr>
            <w:tcW w:w="1740" w:type="dxa"/>
            <w:vAlign w:val="bottom"/>
            <w:tcBorders>
              <w:left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Standard</w:t>
            </w:r>
          </w:p>
        </w:tc>
        <w:tc>
          <w:tcPr>
            <w:tcW w:w="374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of adoption</w:t>
            </w:r>
          </w:p>
        </w:tc>
        <w:tc>
          <w:tcPr>
            <w:tcW w:w="34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Effect on consolidated financial statements</w:t>
            </w: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54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Standards not yet adopted as of September 30, 2025</w:t>
            </w:r>
          </w:p>
        </w:tc>
        <w:tc>
          <w:tcPr>
            <w:tcW w:w="1620" w:type="dxa"/>
            <w:vAlign w:val="bottom"/>
          </w:tcPr>
          <w:p>
            <w:pPr>
              <w:spacing w:after="0"/>
              <w:rPr>
                <w:sz w:val="15"/>
                <w:szCs w:val="15"/>
                <w:color w:val="auto"/>
              </w:rPr>
            </w:pPr>
          </w:p>
        </w:tc>
        <w:tc>
          <w:tcPr>
            <w:tcW w:w="3480" w:type="dxa"/>
            <w:vAlign w:val="bottom"/>
            <w:tcBorders>
              <w:right w:val="single" w:sz="8" w:color="auto"/>
            </w:tcBorders>
          </w:tcPr>
          <w:p>
            <w:pPr>
              <w:spacing w:after="0"/>
              <w:rPr>
                <w:sz w:val="15"/>
                <w:szCs w:val="15"/>
                <w:color w:val="auto"/>
              </w:rPr>
            </w:pPr>
          </w:p>
        </w:tc>
      </w:tr>
      <w:tr>
        <w:trPr>
          <w:trHeight w:val="20"/>
        </w:trPr>
        <w:tc>
          <w:tcPr>
            <w:tcW w:w="1740" w:type="dxa"/>
            <w:vAlign w:val="bottom"/>
            <w:tcBorders>
              <w:left w:val="single" w:sz="8" w:color="auto"/>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160"/>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Income Taxes -</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The standard requires enhanced disclosures in the notes to financial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December 31, 2025</w:t>
            </w: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The Company intends to make the required disclosures of the</w:t>
            </w:r>
          </w:p>
        </w:tc>
      </w:tr>
      <w:tr>
        <w:trPr>
          <w:trHeight w:val="156"/>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Improvements to income tax</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statements including income taxes paid by jurisdiction (federal,</w:t>
            </w:r>
          </w:p>
        </w:tc>
        <w:tc>
          <w:tcPr>
            <w:tcW w:w="162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amended guidance in its consolidated financial statements for</w:t>
            </w:r>
          </w:p>
        </w:tc>
      </w:tr>
      <w:tr>
        <w:trPr>
          <w:trHeight w:val="156"/>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disclosures</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state, foreign) and a tabular rate reconciliation between the reported</w:t>
            </w:r>
          </w:p>
        </w:tc>
        <w:tc>
          <w:tcPr>
            <w:tcW w:w="162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the year ended December 31, 2025.</w:t>
            </w:r>
          </w:p>
        </w:tc>
      </w:tr>
      <w:tr>
        <w:trPr>
          <w:trHeight w:val="156"/>
        </w:trPr>
        <w:tc>
          <w:tcPr>
            <w:tcW w:w="17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amount of income tax expense (or benefit) and the amount of</w:t>
            </w:r>
          </w:p>
        </w:tc>
        <w:tc>
          <w:tcPr>
            <w:tcW w:w="162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tcPr>
          <w:p>
            <w:pPr>
              <w:spacing w:after="0"/>
              <w:rPr>
                <w:sz w:val="13"/>
                <w:szCs w:val="13"/>
                <w:color w:val="auto"/>
              </w:rPr>
            </w:pPr>
          </w:p>
        </w:tc>
      </w:tr>
      <w:tr>
        <w:trPr>
          <w:trHeight w:val="172"/>
        </w:trPr>
        <w:tc>
          <w:tcPr>
            <w:tcW w:w="174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statutory federal income tax at current rates.</w:t>
            </w:r>
          </w:p>
        </w:tc>
        <w:tc>
          <w:tcPr>
            <w:tcW w:w="162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160"/>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Income Statement - Expense</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The standard requires disclosure in the notes to financial statements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January 1, 2027</w:t>
            </w: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The Company does not expect the guidance will have a</w:t>
            </w:r>
          </w:p>
        </w:tc>
      </w:tr>
      <w:tr>
        <w:trPr>
          <w:trHeight w:val="156"/>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disaggregation disclosures</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of specified information about certain cost and expense captions on</w:t>
            </w:r>
          </w:p>
        </w:tc>
        <w:tc>
          <w:tcPr>
            <w:tcW w:w="162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material impact on its consolidated financial statements.</w:t>
            </w:r>
          </w:p>
        </w:tc>
      </w:tr>
      <w:tr>
        <w:trPr>
          <w:trHeight w:val="172"/>
        </w:trPr>
        <w:tc>
          <w:tcPr>
            <w:tcW w:w="174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the income statement.</w:t>
            </w:r>
          </w:p>
        </w:tc>
        <w:tc>
          <w:tcPr>
            <w:tcW w:w="162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r>
        <w:trPr>
          <w:trHeight w:val="160"/>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Targeted improvements to</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The standard eliminates the concept of a software development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January 1, 2028</w:t>
            </w: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The Company is evaluating the impact of the standard but</w:t>
            </w:r>
          </w:p>
        </w:tc>
      </w:tr>
      <w:tr>
        <w:trPr>
          <w:trHeight w:val="156"/>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the accounting for internal-</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project stage such that the guidance is agnostic to different</w:t>
            </w:r>
          </w:p>
        </w:tc>
        <w:tc>
          <w:tcPr>
            <w:tcW w:w="162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does not expect the guidance will have a material impact on</w:t>
            </w:r>
          </w:p>
        </w:tc>
      </w:tr>
      <w:tr>
        <w:trPr>
          <w:trHeight w:val="156"/>
        </w:trPr>
        <w:tc>
          <w:tcPr>
            <w:tcW w:w="1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use software</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software development methods and introduces a new threshold for</w:t>
            </w:r>
          </w:p>
        </w:tc>
        <w:tc>
          <w:tcPr>
            <w:tcW w:w="162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its consolidated financial statements.</w:t>
            </w:r>
          </w:p>
        </w:tc>
      </w:tr>
      <w:tr>
        <w:trPr>
          <w:trHeight w:val="156"/>
        </w:trPr>
        <w:tc>
          <w:tcPr>
            <w:tcW w:w="17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cost capitalization. The standard also provides factors to consider</w:t>
            </w:r>
          </w:p>
        </w:tc>
        <w:tc>
          <w:tcPr>
            <w:tcW w:w="162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tcPr>
          <w:p>
            <w:pPr>
              <w:spacing w:after="0"/>
              <w:rPr>
                <w:sz w:val="13"/>
                <w:szCs w:val="13"/>
                <w:color w:val="auto"/>
              </w:rPr>
            </w:pPr>
          </w:p>
        </w:tc>
      </w:tr>
      <w:tr>
        <w:trPr>
          <w:trHeight w:val="156"/>
        </w:trPr>
        <w:tc>
          <w:tcPr>
            <w:tcW w:w="174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when determining whether significant development uncertainty</w:t>
            </w:r>
          </w:p>
        </w:tc>
        <w:tc>
          <w:tcPr>
            <w:tcW w:w="1620" w:type="dxa"/>
            <w:vAlign w:val="bottom"/>
            <w:tcBorders>
              <w:right w:val="single" w:sz="8" w:color="auto"/>
            </w:tcBorders>
          </w:tcPr>
          <w:p>
            <w:pPr>
              <w:spacing w:after="0"/>
              <w:rPr>
                <w:sz w:val="13"/>
                <w:szCs w:val="13"/>
                <w:color w:val="auto"/>
              </w:rPr>
            </w:pPr>
          </w:p>
        </w:tc>
        <w:tc>
          <w:tcPr>
            <w:tcW w:w="3480" w:type="dxa"/>
            <w:vAlign w:val="bottom"/>
            <w:tcBorders>
              <w:right w:val="single" w:sz="8" w:color="auto"/>
            </w:tcBorders>
          </w:tcPr>
          <w:p>
            <w:pPr>
              <w:spacing w:after="0"/>
              <w:rPr>
                <w:sz w:val="13"/>
                <w:szCs w:val="13"/>
                <w:color w:val="auto"/>
              </w:rPr>
            </w:pPr>
          </w:p>
        </w:tc>
      </w:tr>
      <w:tr>
        <w:trPr>
          <w:trHeight w:val="172"/>
        </w:trPr>
        <w:tc>
          <w:tcPr>
            <w:tcW w:w="174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exists.</w:t>
            </w:r>
          </w:p>
        </w:tc>
        <w:tc>
          <w:tcPr>
            <w:tcW w:w="162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r>
      <w:tr>
        <w:trPr>
          <w:trHeight w:val="20"/>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Divestitures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 September 2025 the Company received an earnout payment of $28 million related to the Company's sale of its CIT business in 2023. That distribution has been included in Other revenues from operations in the Company's Consolidated Statement of Income for the three-month and nine-month periods ended September 30, 2025.</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sold Wilmington Trust SP Services Inc., a subsidiary that specialized in institutional services, to a third party. The transaction resulted in a gain of $10 million that has been included in Other revenues from operations in the Company's Consolidated Statement of Income for the nine-month period ended September 30, 2025. The revenues and expenses of that subsidiary were not material to the Company's consolidated results of operations for the nine-month periods ended September 30, 2025 and 2024.</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81" w:right="66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Investment securities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estimated fair value of investment securities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00" w:type="dxa"/>
            <w:vAlign w:val="bottom"/>
          </w:tcPr>
          <w:p>
            <w:pPr>
              <w:spacing w:after="0"/>
              <w:rPr>
                <w:sz w:val="15"/>
                <w:szCs w:val="15"/>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Cost (a)</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 securities available for sale: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Treasury</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6,581</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Government issued or guaranteed:</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Commercial</w:t>
            </w:r>
          </w:p>
        </w:tc>
        <w:tc>
          <w:tcPr>
            <w:tcW w:w="20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4,789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Residential</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23,000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23,163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 securities held to maturity:</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Treasury</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Government issued or guaranteed:</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Commercial</w:t>
            </w:r>
          </w:p>
        </w:tc>
        <w:tc>
          <w:tcPr>
            <w:tcW w:w="20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Residential</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8,048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Privately issued</w:t>
            </w:r>
          </w:p>
        </w:tc>
        <w:tc>
          <w:tcPr>
            <w:tcW w:w="20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2,165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debt securities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35,711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5320" w:type="dxa"/>
            <w:vAlign w:val="bottom"/>
            <w:tcBorders>
              <w:bottom w:val="single" w:sz="8" w:color="CCEEFF"/>
            </w:tcBorders>
            <w:gridSpan w:val="3"/>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Equity and other securities:</w:t>
            </w:r>
          </w:p>
        </w:tc>
        <w:tc>
          <w:tcPr>
            <w:tcW w:w="2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Readily marketable equity — at fair value</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 at cost</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equity and other securities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Investment securities available for sale:</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U.S. Treasury</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7,945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Government issued or guaranteed: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Commercial</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3,739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Residential</w:t>
            </w:r>
          </w:p>
        </w:tc>
        <w:tc>
          <w:tcPr>
            <w:tcW w:w="20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7,368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Investment securities held to maturity:</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U.S. Treasury</w:t>
            </w:r>
          </w:p>
        </w:tc>
        <w:tc>
          <w:tcPr>
            <w:tcW w:w="20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Government issued or guaranteed: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Commercial</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2,034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Residential</w:t>
            </w:r>
          </w:p>
        </w:tc>
        <w:tc>
          <w:tcPr>
            <w:tcW w:w="20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8,773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Privately issued</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20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debt securities</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33,249</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43</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1,488</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3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Equity and other securities: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53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Readily marketable equity — at fair value</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 — at cost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equity and other securities</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1,007</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-3810635</wp:posOffset>
            </wp:positionV>
            <wp:extent cx="533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-3810635</wp:posOffset>
            </wp:positionV>
            <wp:extent cx="533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-3276600</wp:posOffset>
            </wp:positionV>
            <wp:extent cx="5334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-3276600</wp:posOffset>
            </wp:positionV>
            <wp:extent cx="5334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-563245</wp:posOffset>
            </wp:positionV>
            <wp:extent cx="533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-563245</wp:posOffset>
            </wp:positionV>
            <wp:extent cx="533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-29845</wp:posOffset>
            </wp:positionV>
            <wp:extent cx="533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-29845</wp:posOffset>
            </wp:positionV>
            <wp:extent cx="533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spacing w:after="0" w:line="29" w:lineRule="exact"/>
        <w:rPr>
          <w:sz w:val="20"/>
          <w:szCs w:val="20"/>
          <w:color w:val="auto"/>
        </w:rPr>
      </w:pPr>
    </w:p>
    <w:p>
      <w:pPr>
        <w:ind w:left="400" w:hanging="394"/>
        <w:spacing w:after="0" w:line="289" w:lineRule="auto"/>
        <w:tabs>
          <w:tab w:leader="none" w:pos="412" w:val="left"/>
        </w:tabs>
        <w:numPr>
          <w:ilvl w:val="0"/>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Amortized cost balances of debt securities exclude accrued interest receivable of $176 million at each of September 30, 2025 and December 31, 2024, which is included in Accrued interest and other assets in the Company's Consolidated Balance Sheet.</w:t>
      </w:r>
    </w:p>
    <w:p>
      <w:pPr>
        <w:sectPr>
          <w:pgSz w:w="11900" w:h="16840" w:orient="portrait"/>
          <w:cols w:equalWidth="0" w:num="1">
            <w:col w:w="10560"/>
          </w:cols>
          <w:pgMar w:left="660" w:top="1297" w:right="68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Investment securities, continued</w:t>
      </w:r>
    </w:p>
    <w:p>
      <w:pPr>
        <w:spacing w:after="0" w:line="3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debt investment securities that as of September 30, 2025 and December 31, 2024 had been in a continuous unrealized loss position for less than twelve months and those that had been in a continuous unrealized loss position for twelve months or longer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12 Months or More</w:t>
            </w:r>
          </w:p>
        </w:tc>
      </w:tr>
      <w:tr>
        <w:trPr>
          <w:trHeight w:val="186"/>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4"/>
        </w:trPr>
        <w:tc>
          <w:tcPr>
            <w:tcW w:w="20" w:type="dxa"/>
            <w:vAlign w:val="bottom"/>
          </w:tcPr>
          <w:p>
            <w:pPr>
              <w:spacing w:after="0"/>
              <w:rPr>
                <w:sz w:val="15"/>
                <w:szCs w:val="15"/>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60" w:type="dxa"/>
            <w:vAlign w:val="bottom"/>
          </w:tcPr>
          <w:p>
            <w:pPr>
              <w:spacing w:after="0"/>
              <w:rPr>
                <w:sz w:val="15"/>
                <w:szCs w:val="15"/>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Losses</w:t>
            </w:r>
          </w:p>
        </w:tc>
      </w:tr>
      <w:tr>
        <w:trPr>
          <w:trHeight w:val="176"/>
        </w:trPr>
        <w:tc>
          <w:tcPr>
            <w:tcW w:w="20" w:type="dxa"/>
            <w:vAlign w:val="bottom"/>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 securities available for sale: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Treasury</w:t>
            </w:r>
          </w:p>
        </w:tc>
        <w:tc>
          <w:tcPr>
            <w:tcW w:w="2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4"/>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Government issued or guaranteed:</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36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Commercial</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Residential</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84"/>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84"/>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 securities held to maturity:</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Treasury</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4"/>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Government issued or guaranteed:</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36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Commercial</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Residential</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r>
      <w:tr>
        <w:trPr>
          <w:trHeight w:val="184"/>
        </w:trPr>
        <w:tc>
          <w:tcPr>
            <w:tcW w:w="20" w:type="dxa"/>
            <w:vAlign w:val="bottom"/>
          </w:tcPr>
          <w:p>
            <w:pPr>
              <w:spacing w:after="0"/>
              <w:rPr>
                <w:sz w:val="16"/>
                <w:szCs w:val="16"/>
                <w:color w:val="auto"/>
              </w:rPr>
            </w:pPr>
          </w:p>
        </w:tc>
        <w:tc>
          <w:tcPr>
            <w:tcW w:w="536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Privately issued</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8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28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 securities available for sale: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Treasury</w:t>
            </w:r>
          </w:p>
        </w:tc>
        <w:tc>
          <w:tcPr>
            <w:tcW w:w="2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2,554</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84"/>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Government issued or guaranteed:</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36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Commercial</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Residential</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84"/>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84"/>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 securities held to maturity:</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Treasury</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84"/>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Government issued or guaranteed:</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36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Commercial</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Residential</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r>
      <w:tr>
        <w:trPr>
          <w:trHeight w:val="184"/>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w:t>
            </w:r>
          </w:p>
        </w:tc>
      </w:tr>
      <w:tr>
        <w:trPr>
          <w:trHeight w:val="204"/>
        </w:trPr>
        <w:tc>
          <w:tcPr>
            <w:tcW w:w="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127</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-2499360</wp:posOffset>
            </wp:positionV>
            <wp:extent cx="5334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-2499360</wp:posOffset>
            </wp:positionV>
            <wp:extent cx="5334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5865495</wp:posOffset>
            </wp:positionH>
            <wp:positionV relativeFrom="paragraph">
              <wp:posOffset>-2499360</wp:posOffset>
            </wp:positionV>
            <wp:extent cx="5334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Investment securities, continued</w:t>
      </w:r>
    </w:p>
    <w:p>
      <w:pPr>
        <w:spacing w:after="0" w:line="3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owned 3,158 individual debt securities with aggregate gross unrealized losses of $879 million at September 30, 2025. Based on a review of each of the securities in the investment securities portfolio at September 30, 2025, the Company concluded that it expected to recover the amortized cost basis of its investment. As of September 30, 2025, the Company does not intend to sell nor is it anticipated that it would be required to sell any of its impaired investment securities at a loss. At September 30, 2025, the Company has not identified events or changes in circumstances which may have a significant adverse effect on the fair value of the $732 million of cost method equity securities.</w:t>
      </w:r>
    </w:p>
    <w:p>
      <w:pPr>
        <w:spacing w:after="0" w:line="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estimated no material allowance for credit losses for its investment securities classified as held to maturity at September 30, 2025 and December 31, 2024.</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the amortized cost and estimated fair value of debt securities by contractual maturity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74"/>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00" w:type="dxa"/>
            <w:vAlign w:val="bottom"/>
          </w:tcPr>
          <w:p>
            <w:pPr>
              <w:spacing w:after="0"/>
              <w:rPr>
                <w:sz w:val="15"/>
                <w:szCs w:val="15"/>
                <w:color w:val="auto"/>
              </w:rPr>
            </w:pPr>
          </w:p>
        </w:tc>
        <w:tc>
          <w:tcPr>
            <w:tcW w:w="108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Debt securities available for sale: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in one year or less</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2,634</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3,949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3,983</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ten years</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6,583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6,622</w:t>
            </w: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16,417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23,000</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23,163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Debt securities held to maturity: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9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in one year or less</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71</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1,355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ten years</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2,610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2,543</w:t>
            </w:r>
          </w:p>
        </w:tc>
        <w:tc>
          <w:tcPr>
            <w:tcW w:w="0" w:type="dxa"/>
            <w:vAlign w:val="bottom"/>
          </w:tcPr>
          <w:p>
            <w:pPr>
              <w:spacing w:after="0"/>
              <w:rPr>
                <w:sz w:val="1"/>
                <w:szCs w:val="1"/>
                <w:color w:val="auto"/>
              </w:rPr>
            </w:pPr>
          </w:p>
        </w:tc>
      </w:tr>
      <w:tr>
        <w:trPr>
          <w:trHeight w:val="184"/>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10,101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12,711</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5850255</wp:posOffset>
            </wp:positionH>
            <wp:positionV relativeFrom="paragraph">
              <wp:posOffset>-1081405</wp:posOffset>
            </wp:positionV>
            <wp:extent cx="5334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-29845</wp:posOffset>
            </wp:positionV>
            <wp:extent cx="5334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and December 31, 2024, investment securities with carrying values of $6.0 billion (including $65 million related to repurchase transactions) and $6.2 billion (including $71 million related to repurchase transactions), respectively, were pledged to secure outstanding borrowings, lines of credit and governmental deposits.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current, past due and nonaccrual loans as of September 30, 2025 and December 31, 2024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Accruing Loans Past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30-89 Days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Due 90 Days or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4"/>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00" w:type="dxa"/>
            <w:vAlign w:val="bottom"/>
          </w:tcPr>
          <w:p>
            <w:pPr>
              <w:spacing w:after="0"/>
              <w:rPr>
                <w:sz w:val="15"/>
                <w:szCs w:val="15"/>
                <w:color w:val="auto"/>
              </w:rPr>
            </w:pPr>
          </w:p>
        </w:tc>
        <w:tc>
          <w:tcPr>
            <w:tcW w:w="9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More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Total (a) (b)</w:t>
            </w:r>
          </w:p>
        </w:tc>
      </w:tr>
      <w:tr>
        <w:trPr>
          <w:trHeight w:val="176"/>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8"/>
        </w:trPr>
        <w:tc>
          <w:tcPr>
            <w:tcW w:w="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4"/>
        </w:trPr>
        <w:tc>
          <w:tcPr>
            <w:tcW w:w="4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60,952</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760</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61,887</w:t>
            </w:r>
          </w:p>
        </w:tc>
      </w:tr>
      <w:tr>
        <w:trPr>
          <w:trHeight w:val="184"/>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Commercial (c)</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20,062</w:t>
            </w:r>
          </w:p>
        </w:tc>
      </w:tr>
      <w:tr>
        <w:trPr>
          <w:trHeight w:val="184"/>
        </w:trPr>
        <w:tc>
          <w:tcPr>
            <w:tcW w:w="20" w:type="dxa"/>
            <w:vAlign w:val="bottom"/>
          </w:tcPr>
          <w:p>
            <w:pPr>
              <w:spacing w:after="0"/>
              <w:rPr>
                <w:sz w:val="16"/>
                <w:szCs w:val="16"/>
                <w:color w:val="auto"/>
              </w:rPr>
            </w:pPr>
          </w:p>
        </w:tc>
        <w:tc>
          <w:tcPr>
            <w:tcW w:w="44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Residential builder and developer (d)</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3,859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3,892</w:t>
            </w:r>
          </w:p>
        </w:tc>
      </w:tr>
      <w:tr>
        <w:trPr>
          <w:trHeight w:val="184"/>
        </w:trPr>
        <w:tc>
          <w:tcPr>
            <w:tcW w:w="20" w:type="dxa"/>
            <w:vAlign w:val="bottom"/>
          </w:tcPr>
          <w:p>
            <w:pPr>
              <w:spacing w:after="0"/>
              <w:rPr>
                <w:sz w:val="16"/>
                <w:szCs w:val="16"/>
                <w:color w:val="auto"/>
              </w:rPr>
            </w:pPr>
          </w:p>
        </w:tc>
        <w:tc>
          <w:tcPr>
            <w:tcW w:w="44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Residential (e)</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24,662</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4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2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4,622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4,730</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Recreational finance</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14,152</w:t>
            </w:r>
          </w:p>
        </w:tc>
      </w:tr>
      <w:tr>
        <w:trPr>
          <w:trHeight w:val="184"/>
        </w:trPr>
        <w:tc>
          <w:tcPr>
            <w:tcW w:w="20" w:type="dxa"/>
            <w:vAlign w:val="bottom"/>
          </w:tcPr>
          <w:p>
            <w:pPr>
              <w:spacing w:after="0"/>
              <w:rPr>
                <w:sz w:val="16"/>
                <w:szCs w:val="16"/>
                <w:color w:val="auto"/>
              </w:rPr>
            </w:pPr>
          </w:p>
        </w:tc>
        <w:tc>
          <w:tcPr>
            <w:tcW w:w="44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Automobile</w:t>
            </w:r>
          </w:p>
        </w:tc>
        <w:tc>
          <w:tcPr>
            <w:tcW w:w="2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5,157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5,223</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2,240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2,274</w:t>
            </w:r>
          </w:p>
        </w:tc>
      </w:tr>
      <w:tr>
        <w:trPr>
          <w:trHeight w:val="184"/>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133,830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1,512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136,974</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56"/>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4"/>
        </w:trPr>
        <w:tc>
          <w:tcPr>
            <w:tcW w:w="4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60,374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696</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61,481</w:t>
            </w:r>
          </w:p>
        </w:tc>
      </w:tr>
      <w:tr>
        <w:trPr>
          <w:trHeight w:val="184"/>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Commercial (c)</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20,780</w:t>
            </w:r>
          </w:p>
        </w:tc>
      </w:tr>
      <w:tr>
        <w:trPr>
          <w:trHeight w:val="184"/>
        </w:trPr>
        <w:tc>
          <w:tcPr>
            <w:tcW w:w="20" w:type="dxa"/>
            <w:vAlign w:val="bottom"/>
          </w:tcPr>
          <w:p>
            <w:pPr>
              <w:spacing w:after="0"/>
              <w:rPr>
                <w:sz w:val="16"/>
                <w:szCs w:val="16"/>
                <w:color w:val="auto"/>
              </w:rPr>
            </w:pPr>
          </w:p>
        </w:tc>
        <w:tc>
          <w:tcPr>
            <w:tcW w:w="44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5,018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5,149</w:t>
            </w:r>
          </w:p>
        </w:tc>
      </w:tr>
      <w:tr>
        <w:trPr>
          <w:trHeight w:val="184"/>
        </w:trPr>
        <w:tc>
          <w:tcPr>
            <w:tcW w:w="20" w:type="dxa"/>
            <w:vAlign w:val="bottom"/>
          </w:tcPr>
          <w:p>
            <w:pPr>
              <w:spacing w:after="0"/>
              <w:rPr>
                <w:sz w:val="16"/>
                <w:szCs w:val="16"/>
                <w:color w:val="auto"/>
              </w:rPr>
            </w:pPr>
          </w:p>
        </w:tc>
        <w:tc>
          <w:tcPr>
            <w:tcW w:w="44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Residential (e)</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23,166</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4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2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4,482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4,592</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Recreational finance</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12,564</w:t>
            </w:r>
          </w:p>
        </w:tc>
      </w:tr>
      <w:tr>
        <w:trPr>
          <w:trHeight w:val="184"/>
        </w:trPr>
        <w:tc>
          <w:tcPr>
            <w:tcW w:w="20" w:type="dxa"/>
            <w:vAlign w:val="bottom"/>
          </w:tcPr>
          <w:p>
            <w:pPr>
              <w:spacing w:after="0"/>
              <w:rPr>
                <w:sz w:val="16"/>
                <w:szCs w:val="16"/>
                <w:color w:val="auto"/>
              </w:rPr>
            </w:pPr>
          </w:p>
        </w:tc>
        <w:tc>
          <w:tcPr>
            <w:tcW w:w="44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Automobile</w:t>
            </w:r>
          </w:p>
        </w:tc>
        <w:tc>
          <w:tcPr>
            <w:tcW w:w="2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4,724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4,794</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2,134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w:t>
            </w:r>
          </w:p>
        </w:tc>
      </w:tr>
      <w:tr>
        <w:trPr>
          <w:trHeight w:val="184"/>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131,898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1,690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135,581</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spacing w:after="0" w:line="29" w:lineRule="exact"/>
        <w:rPr>
          <w:sz w:val="20"/>
          <w:szCs w:val="20"/>
          <w:color w:val="auto"/>
        </w:rPr>
      </w:pPr>
    </w:p>
    <w:p>
      <w:pPr>
        <w:ind w:left="400" w:hanging="394"/>
        <w:spacing w:after="0" w:line="263" w:lineRule="auto"/>
        <w:tabs>
          <w:tab w:leader="none" w:pos="412"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Balances include net discounts, comprised of unamortized premiums, discounts and net deferred loan fees and costs of $279 million and $277 million at September 30, 2025 and December 31, 2024, respectively.</w:t>
      </w:r>
    </w:p>
    <w:p>
      <w:pPr>
        <w:ind w:left="400" w:hanging="394"/>
        <w:spacing w:after="0" w:line="250" w:lineRule="auto"/>
        <w:tabs>
          <w:tab w:leader="none" w:pos="412"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Balances exclude accrued interest receivable of $619 million and $628 million at September 30, 2025 and December 31, 2024, respectively, which is included in Accrued interest and other assets in the Company's Consolidated Balance Sheet.</w:t>
      </w:r>
    </w:p>
    <w:p>
      <w:pPr>
        <w:ind w:left="400" w:hanging="394"/>
        <w:spacing w:after="0"/>
        <w:tabs>
          <w:tab w:leader="none" w:pos="400"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Commercial real estate loans held for sale were $278 million at September 30, 2025 and $310 million at December 31, 2024.</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line="250" w:lineRule="auto"/>
        <w:tabs>
          <w:tab w:leader="none" w:pos="412"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 June 2025, the Company sold $661 million of residential builder and developer loans and recognized a gain on sale of $15 million, which is included in Other revenues from operations in the Consolidated Statement of Income for the nine months ended September 30, 2025.</w:t>
      </w:r>
    </w:p>
    <w:p>
      <w:pPr>
        <w:ind w:left="400" w:hanging="394"/>
        <w:spacing w:after="0"/>
        <w:tabs>
          <w:tab w:leader="none" w:pos="400"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One-to-four family residential mortgage loans held for sale were $327 million at September 30, 2025 and $211 million at December 31, 2024.</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foreclosed property held by the Company, predominantly consisting of residential real estate, was $37 million and $35 million at September 30, 2025 and December 31, 2024, respectively. There were $180 million and $173 million at September 30, 2025 and December 31, 2024, respectively, of loans secured by residential real estate that were in the process of foreclosure. At September 30, 2025, approximately 46% of those residential real estate loans in the process of foreclosure were government guaranteed.</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01" w:right="68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 continued</w:t>
      </w:r>
    </w:p>
    <w:p>
      <w:pPr>
        <w:spacing w:after="0" w:line="3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2025, approximately $21.1 billion of commercial and industrial loans, $13.4 billion of commercial real estate loans, $19.3 billion of one-to-four family residential real estate loans, $2.9 billion of home equity loans and lines of credit and $13.7 billion of other consumer loans were pledged to secure outstanding borrowings and available lines of credit from the FHLB and the FRB of New York. At December 31, 2024, approximately $20.7 billion of commercial and industrial loans, $14.6 billion of commercial real estate loans, $18.6 billion of one-to-four family residential real estate loans, $2.7 billion of home equity loans and lines of credit and $13.1 billion of other consumer loans were pledged to secure outstanding borrowings and available lines of credit from the FHLB and the FRB of New York. As further described in notes 5 and 12, loans totaling $2.3 billion and $1.5 billion at September 30, 2025 and December 31, 2024, respectively, were held in special purpose trusts to settle the obligations of certain asset-backed notes issued by those trusts which have been included in the Company's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a loan grading system to differentiate risk amongst its commercial and industrial loans and commercial real estate loans. The following table summarizes the loan grades applied at September 30, 2025 to the various classes of the Company’s commercial and industrial loans and commercial real estate loans and gross charge-offs for those types of loans for the three-month and nine-month periods ended September 30, 2025 by origination 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6"/>
              </w:rPr>
              <w:t>Revolving Loans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Term Loans by Origination Year</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26"/>
              <w:spacing w:after="0" w:line="120" w:lineRule="exact"/>
              <w:rPr>
                <w:sz w:val="20"/>
                <w:szCs w:val="20"/>
                <w:color w:val="auto"/>
              </w:rPr>
            </w:pPr>
            <w:r>
              <w:rPr>
                <w:rFonts w:ascii="Times New Roman" w:cs="Times New Roman" w:eastAsia="Times New Roman" w:hAnsi="Times New Roman"/>
                <w:sz w:val="11"/>
                <w:szCs w:val="11"/>
                <w:b w:val="1"/>
                <w:bCs w:val="1"/>
                <w:color w:val="auto"/>
                <w:w w:val="97"/>
              </w:rPr>
              <w:t>Converted to</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106"/>
              <w:spacing w:after="0" w:line="120" w:lineRule="exact"/>
              <w:rPr>
                <w:sz w:val="20"/>
                <w:szCs w:val="20"/>
                <w:color w:val="auto"/>
              </w:rPr>
            </w:pPr>
            <w:r>
              <w:rPr>
                <w:rFonts w:ascii="Times New Roman" w:cs="Times New Roman" w:eastAsia="Times New Roman" w:hAnsi="Times New Roman"/>
                <w:sz w:val="11"/>
                <w:szCs w:val="11"/>
                <w:b w:val="1"/>
                <w:bCs w:val="1"/>
                <w:color w:val="auto"/>
              </w:rPr>
              <w:t>Revolving</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center"/>
              <w:ind w:right="6"/>
              <w:spacing w:after="0" w:line="120"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60" w:type="dxa"/>
            <w:vAlign w:val="bottom"/>
          </w:tcPr>
          <w:p>
            <w:pPr>
              <w:spacing w:after="0"/>
              <w:rPr>
                <w:sz w:val="12"/>
                <w:szCs w:val="12"/>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Loans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0"/>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 industrial: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6,980</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7,252</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4,626</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4,526</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2,445</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26,722</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57,994</w:t>
            </w:r>
          </w:p>
        </w:tc>
        <w:tc>
          <w:tcPr>
            <w:tcW w:w="0" w:type="dxa"/>
            <w:vAlign w:val="bottom"/>
          </w:tcPr>
          <w:p>
            <w:pPr>
              <w:spacing w:after="0"/>
              <w:rPr>
                <w:sz w:val="1"/>
                <w:szCs w:val="1"/>
                <w:color w:val="auto"/>
              </w:rPr>
            </w:pPr>
          </w:p>
        </w:tc>
      </w:tr>
      <w:tr>
        <w:trPr>
          <w:trHeight w:val="166"/>
        </w:trPr>
        <w:tc>
          <w:tcPr>
            <w:tcW w:w="31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Criticized accrual</w:t>
            </w:r>
          </w:p>
        </w:tc>
        <w:tc>
          <w:tcPr>
            <w:tcW w:w="1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3,133</w:t>
            </w: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Criticized nonaccrual</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0" w:type="dxa"/>
            <w:vAlign w:val="bottom"/>
          </w:tcPr>
          <w:p>
            <w:pPr>
              <w:spacing w:after="0"/>
              <w:rPr>
                <w:sz w:val="1"/>
                <w:szCs w:val="1"/>
                <w:color w:val="auto"/>
              </w:rPr>
            </w:pP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commercial and industrial</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7,099</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7,551</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5,208</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5,042</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2,598</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28,222</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152</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61,887</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September 30, 2025</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nine months ended September 30, 2025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92</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Real estate:</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2,675</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408</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1,548</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1,610</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1,205</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393</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17,377</w:t>
            </w:r>
          </w:p>
        </w:tc>
        <w:tc>
          <w:tcPr>
            <w:tcW w:w="0" w:type="dxa"/>
            <w:vAlign w:val="bottom"/>
          </w:tcPr>
          <w:p>
            <w:pPr>
              <w:spacing w:after="0"/>
              <w:rPr>
                <w:sz w:val="1"/>
                <w:szCs w:val="1"/>
                <w:color w:val="auto"/>
              </w:rPr>
            </w:pPr>
          </w:p>
        </w:tc>
      </w:tr>
      <w:tr>
        <w:trPr>
          <w:trHeight w:val="166"/>
        </w:trPr>
        <w:tc>
          <w:tcPr>
            <w:tcW w:w="31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Criticized accrual</w:t>
            </w:r>
          </w:p>
        </w:tc>
        <w:tc>
          <w:tcPr>
            <w:tcW w:w="1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2,324</w:t>
            </w: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Criticized nonaccrual</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0" w:type="dxa"/>
            <w:vAlign w:val="bottom"/>
          </w:tcPr>
          <w:p>
            <w:pPr>
              <w:spacing w:after="0"/>
              <w:rPr>
                <w:sz w:val="1"/>
                <w:szCs w:val="1"/>
                <w:color w:val="auto"/>
              </w:rPr>
            </w:pP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commercial real estate</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2,675</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437</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1,852</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1,983</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399</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20,062</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September 30, 2025</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nine months ended September 30, 2025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builder and developer:</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Criticized accrual</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66"/>
        </w:trPr>
        <w:tc>
          <w:tcPr>
            <w:tcW w:w="31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Criticized nonaccrual</w:t>
            </w:r>
          </w:p>
        </w:tc>
        <w:tc>
          <w:tcPr>
            <w:tcW w:w="1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builder and developer</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September 30, 2025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nine months ended September 30, 2025</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Other commercial construction: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205</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1,265</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652</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2,715</w:t>
            </w:r>
          </w:p>
        </w:tc>
        <w:tc>
          <w:tcPr>
            <w:tcW w:w="0" w:type="dxa"/>
            <w:vAlign w:val="bottom"/>
          </w:tcPr>
          <w:p>
            <w:pPr>
              <w:spacing w:after="0"/>
              <w:rPr>
                <w:sz w:val="1"/>
                <w:szCs w:val="1"/>
                <w:color w:val="auto"/>
              </w:rPr>
            </w:pPr>
          </w:p>
        </w:tc>
      </w:tr>
      <w:tr>
        <w:trPr>
          <w:trHeight w:val="166"/>
        </w:trPr>
        <w:tc>
          <w:tcPr>
            <w:tcW w:w="31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Criticized accrual</w:t>
            </w:r>
          </w:p>
        </w:tc>
        <w:tc>
          <w:tcPr>
            <w:tcW w:w="1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1,156</w:t>
            </w:r>
          </w:p>
        </w:tc>
        <w:tc>
          <w:tcPr>
            <w:tcW w:w="0" w:type="dxa"/>
            <w:vAlign w:val="bottom"/>
          </w:tcPr>
          <w:p>
            <w:pPr>
              <w:spacing w:after="0"/>
              <w:rPr>
                <w:sz w:val="1"/>
                <w:szCs w:val="1"/>
                <w:color w:val="auto"/>
              </w:rPr>
            </w:pPr>
          </w:p>
        </w:tc>
      </w:tr>
      <w:tr>
        <w:trPr>
          <w:trHeight w:val="17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Criticized nonaccrual</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68"/>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other commercial construction</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138</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211</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1,418</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1,291</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3,892</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charge-offs three months ended September 30, 2025</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charge-offs nine months ended September 30, 2025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-2583180</wp:posOffset>
            </wp:positionV>
            <wp:extent cx="5334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-1653540</wp:posOffset>
            </wp:positionV>
            <wp:extent cx="5334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-852805</wp:posOffset>
            </wp:positionV>
            <wp:extent cx="5334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 continued</w:t>
      </w:r>
    </w:p>
    <w:p>
      <w:pPr>
        <w:spacing w:after="0" w:line="3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repayment performance a significant indicator of credit quality for its residential real estate loan and consumer loan portfolios. A summary of loans in accrual and nonaccrual status at September 30, 2025 for the various classes of the Company’s residential real estate loans and consumer loans and gross charge-offs for those types of loans for the three-month and nine-month periods ended September 30, 2025 by origination year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Revolving Loans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4"/>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5"/>
              </w:rPr>
              <w:t>Term Loans by Origination Year</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32"/>
              <w:spacing w:after="0" w:line="108" w:lineRule="exact"/>
              <w:rPr>
                <w:sz w:val="20"/>
                <w:szCs w:val="20"/>
                <w:color w:val="auto"/>
              </w:rPr>
            </w:pPr>
            <w:r>
              <w:rPr>
                <w:rFonts w:ascii="Times New Roman" w:cs="Times New Roman" w:eastAsia="Times New Roman" w:hAnsi="Times New Roman"/>
                <w:sz w:val="10"/>
                <w:szCs w:val="10"/>
                <w:b w:val="1"/>
                <w:bCs w:val="1"/>
                <w:color w:val="auto"/>
                <w:w w:val="93"/>
              </w:rPr>
              <w:t>Converted to</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right"/>
              <w:ind w:right="132"/>
              <w:spacing w:after="0" w:line="108" w:lineRule="exact"/>
              <w:rPr>
                <w:sz w:val="20"/>
                <w:szCs w:val="20"/>
                <w:color w:val="auto"/>
              </w:rPr>
            </w:pPr>
            <w:r>
              <w:rPr>
                <w:rFonts w:ascii="Times New Roman" w:cs="Times New Roman" w:eastAsia="Times New Roman" w:hAnsi="Times New Roman"/>
                <w:sz w:val="10"/>
                <w:szCs w:val="10"/>
                <w:b w:val="1"/>
                <w:bCs w:val="1"/>
                <w:color w:val="auto"/>
              </w:rPr>
              <w:t>Revolving</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jc w:val="center"/>
              <w:ind w:right="12"/>
              <w:spacing w:after="0" w:line="108" w:lineRule="exact"/>
              <w:rPr>
                <w:sz w:val="20"/>
                <w:szCs w:val="20"/>
                <w:color w:val="auto"/>
              </w:rPr>
            </w:pPr>
            <w:r>
              <w:rPr>
                <w:rFonts w:ascii="Times New Roman" w:cs="Times New Roman" w:eastAsia="Times New Roman" w:hAnsi="Times New Roman"/>
                <w:sz w:val="10"/>
                <w:szCs w:val="10"/>
                <w:b w:val="1"/>
                <w:bCs w:val="1"/>
                <w:color w:val="auto"/>
                <w:w w:val="91"/>
              </w:rPr>
              <w:t>Term</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3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60" w:type="dxa"/>
            <w:vAlign w:val="bottom"/>
          </w:tcPr>
          <w:p>
            <w:pPr>
              <w:spacing w:after="0"/>
              <w:rPr>
                <w:sz w:val="10"/>
                <w:szCs w:val="10"/>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Prior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Loans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1"/>
              </w:rPr>
              <w:t>Loans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60"/>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Residential real estate:</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Current</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2,985</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1,927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1,232</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4,206</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3,517</w:t>
            </w: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9,409</w:t>
            </w: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23,395</w:t>
            </w:r>
          </w:p>
        </w:tc>
        <w:tc>
          <w:tcPr>
            <w:tcW w:w="0" w:type="dxa"/>
            <w:vAlign w:val="bottom"/>
          </w:tcPr>
          <w:p>
            <w:pPr>
              <w:spacing w:after="0"/>
              <w:rPr>
                <w:sz w:val="1"/>
                <w:szCs w:val="1"/>
                <w:color w:val="auto"/>
              </w:rPr>
            </w:pPr>
          </w:p>
        </w:tc>
      </w:tr>
      <w:tr>
        <w:trPr>
          <w:trHeight w:val="152"/>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30-89 days past due</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615</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Accruing loans past due 90 days or more</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402</w:t>
            </w:r>
          </w:p>
        </w:tc>
        <w:tc>
          <w:tcPr>
            <w:tcW w:w="0" w:type="dxa"/>
            <w:vAlign w:val="bottom"/>
          </w:tcPr>
          <w:p>
            <w:pPr>
              <w:spacing w:after="0"/>
              <w:rPr>
                <w:sz w:val="1"/>
                <w:szCs w:val="1"/>
                <w:color w:val="auto"/>
              </w:rPr>
            </w:pPr>
          </w:p>
        </w:tc>
      </w:tr>
      <w:tr>
        <w:trPr>
          <w:trHeight w:val="152"/>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Nonaccrual</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residential real estate</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2,989</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1,941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1,267</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4,405</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3,691</w:t>
            </w: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10,249</w:t>
            </w: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24,662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Gross charge-offs three months ended September 30, 2025</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charge-offs nine months ended September 30, 2025</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Consumer: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Home equity lines and loans:</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Current</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3,269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1,272</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4,622</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30-89 days past due</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52"/>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Accruing loans past due 90 days or more</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Nonaccrual</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0" w:type="dxa"/>
            <w:vAlign w:val="bottom"/>
          </w:tcPr>
          <w:p>
            <w:pPr>
              <w:spacing w:after="0"/>
              <w:rPr>
                <w:sz w:val="1"/>
                <w:szCs w:val="1"/>
                <w:color w:val="auto"/>
              </w:rPr>
            </w:pPr>
          </w:p>
        </w:tc>
      </w:tr>
      <w:tr>
        <w:trPr>
          <w:trHeight w:val="15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home equity lines and loans</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3,270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1,375</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4,730</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charge-offs three months ended September 30, 2025</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Gross charge-offs nine months ended September 30, 2025</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Recreational finance:</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Current</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3,597</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3,236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1,836</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1,753</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1,419</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2,191</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14,032</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30-89 days past due</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w:t>
            </w:r>
          </w:p>
        </w:tc>
        <w:tc>
          <w:tcPr>
            <w:tcW w:w="0" w:type="dxa"/>
            <w:vAlign w:val="bottom"/>
          </w:tcPr>
          <w:p>
            <w:pPr>
              <w:spacing w:after="0"/>
              <w:rPr>
                <w:sz w:val="1"/>
                <w:szCs w:val="1"/>
                <w:color w:val="auto"/>
              </w:rPr>
            </w:pPr>
          </w:p>
        </w:tc>
      </w:tr>
      <w:tr>
        <w:trPr>
          <w:trHeight w:val="152"/>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Accruing loans past due 90 days or more</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Nonaccrual</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15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recreational finance</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3,604</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3,257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1,859</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1,773</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1,436</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2,223</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14,152</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charge-offs three months ended September 30, 2025</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Gross charge-offs nine months ended September 30, 2025</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Automobile:</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Current</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1,555</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1,868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633</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409</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5,157</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30-89 days past due</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w:t>
            </w:r>
          </w:p>
        </w:tc>
        <w:tc>
          <w:tcPr>
            <w:tcW w:w="0" w:type="dxa"/>
            <w:vAlign w:val="bottom"/>
          </w:tcPr>
          <w:p>
            <w:pPr>
              <w:spacing w:after="0"/>
              <w:rPr>
                <w:sz w:val="1"/>
                <w:szCs w:val="1"/>
                <w:color w:val="auto"/>
              </w:rPr>
            </w:pPr>
          </w:p>
        </w:tc>
      </w:tr>
      <w:tr>
        <w:trPr>
          <w:trHeight w:val="152"/>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Accruing loans past due 90 days or more</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Nonaccrual</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5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automobile</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1,562</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1,885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647</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559</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420</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5,223</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charge-offs three months ended September 30, 2025</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Gross charge-offs nine months ended September 30, 2025</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Current</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1,551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2,240</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30-89 days past due</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52"/>
        </w:trPr>
        <w:tc>
          <w:tcPr>
            <w:tcW w:w="31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Accruing loans past due 90 days or more</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Nonaccrual</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56"/>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other</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1,574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2,274</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Gross charge-offs three months ended September 30, 2025</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Gross charge-offs nine months ended September 30, 2025</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loans at September 30, 2025</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18,344</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15,460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12,360</w:t>
            </w: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15,149</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9,759</w:t>
            </w: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30,693</w:t>
            </w: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33,680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1,529</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136,974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Total gross charge-offs for the three months ended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140" w:type="dxa"/>
            <w:vAlign w:val="bottom"/>
            <w:vMerge w:val="continue"/>
          </w:tcPr>
          <w:p>
            <w:pPr>
              <w:spacing w:after="0"/>
              <w:rPr>
                <w:sz w:val="6"/>
                <w:szCs w:val="6"/>
                <w:color w:val="auto"/>
              </w:rPr>
            </w:pPr>
          </w:p>
        </w:tc>
        <w:tc>
          <w:tcPr>
            <w:tcW w:w="1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26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36</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26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8</w:t>
            </w:r>
          </w:p>
        </w:tc>
        <w:tc>
          <w:tcPr>
            <w:tcW w:w="24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2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58</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190</w:t>
            </w:r>
          </w:p>
        </w:tc>
        <w:tc>
          <w:tcPr>
            <w:tcW w:w="0" w:type="dxa"/>
            <w:vAlign w:val="bottom"/>
          </w:tcPr>
          <w:p>
            <w:pPr>
              <w:spacing w:after="0"/>
              <w:rPr>
                <w:sz w:val="1"/>
                <w:szCs w:val="1"/>
                <w:color w:val="auto"/>
              </w:rPr>
            </w:pPr>
          </w:p>
        </w:tc>
      </w:tr>
      <w:tr>
        <w:trPr>
          <w:trHeight w:val="110"/>
        </w:trPr>
        <w:tc>
          <w:tcPr>
            <w:tcW w:w="3140" w:type="dxa"/>
            <w:vAlign w:val="bottom"/>
          </w:tcPr>
          <w:p>
            <w:pPr>
              <w:ind w:left="100"/>
              <w:spacing w:after="0" w:line="110" w:lineRule="exact"/>
              <w:rPr>
                <w:sz w:val="20"/>
                <w:szCs w:val="20"/>
                <w:color w:val="auto"/>
              </w:rPr>
            </w:pPr>
            <w:r>
              <w:rPr>
                <w:rFonts w:ascii="Times New Roman" w:cs="Times New Roman" w:eastAsia="Times New Roman" w:hAnsi="Times New Roman"/>
                <w:sz w:val="10"/>
                <w:szCs w:val="10"/>
                <w:b w:val="1"/>
                <w:bCs w:val="1"/>
                <w:color w:val="auto"/>
              </w:rPr>
              <w:t>September 30, 2025</w:t>
            </w:r>
          </w:p>
        </w:tc>
        <w:tc>
          <w:tcPr>
            <w:tcW w:w="1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14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Total gross charge-offs for the nine months ended</w:t>
            </w:r>
          </w:p>
        </w:tc>
        <w:tc>
          <w:tcPr>
            <w:tcW w:w="1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c>
          <w:tcPr>
            <w:tcW w:w="2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w:t>
            </w:r>
          </w:p>
        </w:tc>
        <w:tc>
          <w:tcPr>
            <w:tcW w:w="2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w:t>
            </w:r>
          </w:p>
        </w:tc>
        <w:tc>
          <w:tcPr>
            <w:tcW w:w="260" w:type="dxa"/>
            <w:vAlign w:val="bottom"/>
            <w:gridSpan w:val="2"/>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28</w:t>
            </w:r>
          </w:p>
        </w:tc>
        <w:tc>
          <w:tcPr>
            <w:tcW w:w="240" w:type="dxa"/>
            <w:vAlign w:val="bottom"/>
            <w:gridSpan w:val="2"/>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200" w:type="dxa"/>
            <w:vAlign w:val="bottom"/>
            <w:gridSpan w:val="2"/>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145</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c>
          <w:tcPr>
            <w:tcW w:w="260" w:type="dxa"/>
            <w:vAlign w:val="bottom"/>
            <w:gridSpan w:val="2"/>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506</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0"/>
                <w:szCs w:val="10"/>
                <w:b w:val="1"/>
                <w:bCs w:val="1"/>
                <w:color w:val="auto"/>
              </w:rPr>
              <w:t>September 30, 2025</w:t>
            </w:r>
          </w:p>
        </w:tc>
        <w:tc>
          <w:tcPr>
            <w:tcW w:w="16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 continued</w:t>
      </w:r>
    </w:p>
    <w:p>
      <w:pPr>
        <w:spacing w:after="0" w:line="3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loan grades applied at December 31, 2024 to the various classes of the Company’s commercial and industrial loans and commercial real estate loans by origination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9"/>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Converted to</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9"/>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Term</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6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Prior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Loans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4"/>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and industrial:</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9,021</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5,845</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3,258</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26,262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57,600</w:t>
            </w:r>
          </w:p>
        </w:tc>
        <w:tc>
          <w:tcPr>
            <w:tcW w:w="0" w:type="dxa"/>
            <w:vAlign w:val="bottom"/>
          </w:tcPr>
          <w:p>
            <w:pPr>
              <w:spacing w:after="0"/>
              <w:rPr>
                <w:sz w:val="1"/>
                <w:szCs w:val="1"/>
                <w:color w:val="auto"/>
              </w:rPr>
            </w:pPr>
          </w:p>
        </w:tc>
      </w:tr>
      <w:tr>
        <w:trPr>
          <w:trHeight w:val="184"/>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Criticized accrual</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Criticized nonaccrual</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0" w:type="dxa"/>
            <w:vAlign w:val="bottom"/>
          </w:tcPr>
          <w:p>
            <w:pPr>
              <w:spacing w:after="0"/>
              <w:rPr>
                <w:sz w:val="1"/>
                <w:szCs w:val="1"/>
                <w:color w:val="auto"/>
              </w:rPr>
            </w:pPr>
          </w:p>
        </w:tc>
      </w:tr>
      <w:tr>
        <w:trPr>
          <w:trHeight w:val="204"/>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commercial and industrial</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9,221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27,815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61,481</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16,529</w:t>
            </w:r>
          </w:p>
        </w:tc>
        <w:tc>
          <w:tcPr>
            <w:tcW w:w="0" w:type="dxa"/>
            <w:vAlign w:val="bottom"/>
          </w:tcPr>
          <w:p>
            <w:pPr>
              <w:spacing w:after="0"/>
              <w:rPr>
                <w:sz w:val="1"/>
                <w:szCs w:val="1"/>
                <w:color w:val="auto"/>
              </w:rPr>
            </w:pPr>
          </w:p>
        </w:tc>
      </w:tr>
      <w:tr>
        <w:trPr>
          <w:trHeight w:val="184"/>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Criticized accrual</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Criticized nonaccrual</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204"/>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20,780</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Criticized accrual</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84"/>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Criticized nonaccrual</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residential builder and developer</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3,459</w:t>
            </w:r>
          </w:p>
        </w:tc>
        <w:tc>
          <w:tcPr>
            <w:tcW w:w="0" w:type="dxa"/>
            <w:vAlign w:val="bottom"/>
          </w:tcPr>
          <w:p>
            <w:pPr>
              <w:spacing w:after="0"/>
              <w:rPr>
                <w:sz w:val="1"/>
                <w:szCs w:val="1"/>
                <w:color w:val="auto"/>
              </w:rPr>
            </w:pPr>
          </w:p>
        </w:tc>
      </w:tr>
      <w:tr>
        <w:trPr>
          <w:trHeight w:val="184"/>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Criticized accrual</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Criticized nonaccrual</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204"/>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commercial construction</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 continued</w:t>
      </w:r>
    </w:p>
    <w:p>
      <w:pPr>
        <w:spacing w:after="0" w:line="3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summary of loans in accrual and nonaccrual status at December 31, 2024 for the various classes of the Company’s residential real estate loans and consumer loans by origination year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gridSpan w:val="9"/>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Converted to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00" w:type="dxa"/>
            <w:vAlign w:val="bottom"/>
            <w:gridSpan w:val="9"/>
            <w:vMerge w:val="continue"/>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6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Prior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Loans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Current</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1,354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3,488</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7,874</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21,853</w:t>
            </w:r>
          </w:p>
        </w:tc>
        <w:tc>
          <w:tcPr>
            <w:tcW w:w="0" w:type="dxa"/>
            <w:vAlign w:val="bottom"/>
          </w:tcPr>
          <w:p>
            <w:pPr>
              <w:spacing w:after="0"/>
              <w:rPr>
                <w:sz w:val="1"/>
                <w:szCs w:val="1"/>
                <w:color w:val="auto"/>
              </w:rPr>
            </w:pPr>
          </w:p>
        </w:tc>
      </w:tr>
      <w:tr>
        <w:trPr>
          <w:trHeight w:val="184"/>
        </w:trPr>
        <w:tc>
          <w:tcPr>
            <w:tcW w:w="3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30-89 days past due</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Accruing loans past due 90 days or more</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0" w:type="dxa"/>
            <w:vAlign w:val="bottom"/>
          </w:tcPr>
          <w:p>
            <w:pPr>
              <w:spacing w:after="0"/>
              <w:rPr>
                <w:sz w:val="1"/>
                <w:szCs w:val="1"/>
                <w:color w:val="auto"/>
              </w:rPr>
            </w:pPr>
          </w:p>
        </w:tc>
      </w:tr>
      <w:tr>
        <w:trPr>
          <w:trHeight w:val="184"/>
        </w:trPr>
        <w:tc>
          <w:tcPr>
            <w:tcW w:w="3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Nonaccrual</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1,372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23,166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Current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1,302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30-89 days past due</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84"/>
        </w:trPr>
        <w:tc>
          <w:tcPr>
            <w:tcW w:w="3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Accruing loans past due 90 days or more</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Nonaccrual</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home equity lines and loans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1,408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4,592</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2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Recreational finance:</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Current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2,203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30-89 days past due</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84"/>
        </w:trPr>
        <w:tc>
          <w:tcPr>
            <w:tcW w:w="3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Accruing loans past due 90 days or more</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Nonaccrual</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recreational finance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2,227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12,564</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2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Automobile:</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Current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30-89 days past due</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84"/>
        </w:trPr>
        <w:tc>
          <w:tcPr>
            <w:tcW w:w="3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Accruing loans past due 90 days or more</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Nonaccrual</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automobile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4,794</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2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Other:</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Current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30-89 days past due</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84"/>
        </w:trPr>
        <w:tc>
          <w:tcPr>
            <w:tcW w:w="3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Accruing loans past due 90 days or more</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Nonaccrual</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at December 31, 2024</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28,783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33,120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1,543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135,581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 continued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determining the level of the allowance for loan losses, the Company evaluates its portfolio by loan type. Changes in the allowance for loan losses and the reserve for unfunded credit commitments for the three-month and nine-month periods ended September 30, 2025 and 2024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7"/>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Allowance for Loan 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Reserve for Unfunded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gridSpan w:val="3"/>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Credit Commitments</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14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and Industrial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9"/>
              </w:rPr>
              <w:t>Residential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76"/>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750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8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charge-offs:</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94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charge-offs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775</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658</w:t>
            </w:r>
          </w:p>
        </w:tc>
        <w:tc>
          <w:tcPr>
            <w:tcW w:w="100" w:type="dxa"/>
            <w:vAlign w:val="bottom"/>
          </w:tcPr>
          <w:p>
            <w:pPr>
              <w:spacing w:after="0"/>
              <w:rPr>
                <w:sz w:val="16"/>
                <w:szCs w:val="16"/>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6"/>
                <w:szCs w:val="16"/>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646</w:t>
            </w:r>
          </w:p>
        </w:tc>
        <w:tc>
          <w:tcPr>
            <w:tcW w:w="80" w:type="dxa"/>
            <w:vAlign w:val="bottom"/>
          </w:tcPr>
          <w:p>
            <w:pPr>
              <w:spacing w:after="0"/>
              <w:rPr>
                <w:sz w:val="16"/>
                <w:szCs w:val="16"/>
                <w:color w:val="auto"/>
              </w:rPr>
            </w:pP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charge-offs: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94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charge-offs</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tcPr>
          <w:p>
            <w:pPr>
              <w:spacing w:after="0"/>
              <w:rPr>
                <w:sz w:val="16"/>
                <w:szCs w:val="16"/>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6"/>
                <w:szCs w:val="16"/>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668</w:t>
            </w:r>
          </w:p>
        </w:tc>
        <w:tc>
          <w:tcPr>
            <w:tcW w:w="80" w:type="dxa"/>
            <w:vAlign w:val="bottom"/>
          </w:tcPr>
          <w:p>
            <w:pPr>
              <w:spacing w:after="0"/>
              <w:rPr>
                <w:sz w:val="16"/>
                <w:szCs w:val="16"/>
                <w:color w:val="auto"/>
              </w:rPr>
            </w:pP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20"/>
        </w:trPr>
        <w:tc>
          <w:tcPr>
            <w:tcW w:w="2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60" w:type="dxa"/>
            <w:vAlign w:val="bottom"/>
            <w:gridSpan w:val="4"/>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9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2"/>
              </w:rPr>
              <w:t>769</w:t>
            </w:r>
          </w:p>
        </w:tc>
        <w:tc>
          <w:tcPr>
            <w:tcW w:w="480" w:type="dxa"/>
            <w:vAlign w:val="bottom"/>
            <w:tcBorders>
              <w:bottom w:val="single" w:sz="8" w:color="CCEEFF"/>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599</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108</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708</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2,184</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8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w w:val="92"/>
              </w:rPr>
              <w:t>173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4"/>
          </w:tcPr>
          <w:p>
            <w:pPr>
              <w:jc w:val="right"/>
              <w:ind w:right="3"/>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charge-offs:</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94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charge-offs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2"/>
              </w:rPr>
              <w:t>803</w:t>
            </w:r>
          </w:p>
        </w:tc>
        <w:tc>
          <w:tcPr>
            <w:tcW w:w="48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476</w:t>
            </w:r>
          </w:p>
        </w:tc>
        <w:tc>
          <w:tcPr>
            <w:tcW w:w="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775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2,161</w:t>
            </w: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6"/>
                <w:szCs w:val="16"/>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w w:val="92"/>
              </w:rPr>
              <w:t>620</w:t>
            </w:r>
          </w:p>
        </w:tc>
        <w:tc>
          <w:tcPr>
            <w:tcW w:w="48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764</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629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2,129</w:t>
            </w:r>
          </w:p>
        </w:tc>
        <w:tc>
          <w:tcPr>
            <w:tcW w:w="6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2"/>
              </w:rPr>
              <w:t>365</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470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charge-offs: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94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4"/>
          </w:tcPr>
          <w:p>
            <w:pPr>
              <w:jc w:val="right"/>
              <w:ind w:right="3"/>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9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charge-offs</w:t>
            </w:r>
          </w:p>
        </w:tc>
        <w:tc>
          <w:tcPr>
            <w:tcW w:w="2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9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6"/>
                <w:szCs w:val="16"/>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w w:val="92"/>
              </w:rPr>
              <w:t>792</w:t>
            </w:r>
          </w:p>
        </w:tc>
        <w:tc>
          <w:tcPr>
            <w:tcW w:w="48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639</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668</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2,204</w:t>
            </w:r>
          </w:p>
        </w:tc>
        <w:tc>
          <w:tcPr>
            <w:tcW w:w="6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spacing w:after="0" w:line="29" w:lineRule="exact"/>
        <w:rPr>
          <w:sz w:val="20"/>
          <w:szCs w:val="20"/>
          <w:color w:val="auto"/>
        </w:rPr>
      </w:pPr>
    </w:p>
    <w:p>
      <w:pPr>
        <w:ind w:left="400" w:hanging="394"/>
        <w:spacing w:after="0"/>
        <w:tabs>
          <w:tab w:leader="none" w:pos="40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Further information about unfunded credit commitments is included in note 14.</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 continued</w:t>
      </w:r>
    </w:p>
    <w:p>
      <w:pPr>
        <w:spacing w:after="0" w:line="3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the allocation in the preceding tables, the allowance for loan losses is general in nature and is available to absorb losses from any loan or lease type. In determining the allowance for loan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GDP and real estate prices. Model forecasts may be adjusted for inherent limitations or biases that have been identified through independent validation and back-testing of model performance to actual realized results. At each of September 30, 2025 and December 31, 2024,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In determining the allowance for loan losses, the Company may adjust forecasted loss estimates for inherent limitations or biases in the models as well as for other factors that may not be adequately considered in its quantitative methodologies including the impact of portfolio concentrations, imprecision in its economic forecasts, geopolitical conditions and other risk factors that might influence its loss estimation process.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also estimates losses attributable to specific troubled credits identified through both normal and targeted credit review processes. The amounts of specific loss components in the Company’s loan portfolios are determined through a loan-by-loan analysis of larger balance commercial and industrial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designating the loan as “criticized nonaccrual,”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and industrial loans and commercial real estate loans, estimated collateral values are generally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charge-off and for purposes of estimating losses in determining the allowance for loan losses, the Company gives consideration to the required repayment of any first lien positions related to collateral property. Other consumer loans are generally charged-off when the loans are 91 to 180 days past due, depending on whether the loan is collateralized and the status of repossession activities with respect to such collateral.</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amount of the allowance for loan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 continued</w:t>
      </w:r>
    </w:p>
    <w:p>
      <w:pPr>
        <w:spacing w:after="0" w:line="3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with respect to loans that were considered nonaccrual at the beginning and end of the reporting period and the interest income recognized on such loans for the three-month and nine-month periods ended September 30, 2025 and 2024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4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Amortized Cost with</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4"/>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without Allowance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4"/>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4"/>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Interest Income Recognized</w:t>
            </w:r>
          </w:p>
        </w:tc>
      </w:tr>
      <w:tr>
        <w:trPr>
          <w:trHeight w:val="186"/>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Nine Months</w:t>
            </w:r>
          </w:p>
        </w:tc>
      </w:tr>
      <w:tr>
        <w:trPr>
          <w:trHeight w:val="156"/>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Ended</w:t>
            </w:r>
          </w:p>
        </w:tc>
      </w:tr>
      <w:tr>
        <w:trPr>
          <w:trHeight w:val="156"/>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4"/>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00" w:type="dxa"/>
            <w:vAlign w:val="bottom"/>
          </w:tcPr>
          <w:p>
            <w:pPr>
              <w:spacing w:after="0"/>
              <w:rPr>
                <w:sz w:val="15"/>
                <w:szCs w:val="15"/>
                <w:color w:val="auto"/>
              </w:rPr>
            </w:pPr>
          </w:p>
        </w:tc>
        <w:tc>
          <w:tcPr>
            <w:tcW w:w="248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652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36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696</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r>
      <w:tr>
        <w:trPr>
          <w:trHeight w:val="184"/>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28</w:t>
            </w:r>
          </w:p>
        </w:tc>
      </w:tr>
      <w:tr>
        <w:trPr>
          <w:trHeight w:val="184"/>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r>
      <w:tr>
        <w:trPr>
          <w:trHeight w:val="184"/>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Residential</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84"/>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Recreational finance</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Automobile</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1,056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456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3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1,573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1,690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67</w:t>
            </w: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4"/>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Nine Months</w:t>
            </w:r>
          </w:p>
        </w:tc>
      </w:tr>
      <w:tr>
        <w:trPr>
          <w:trHeight w:val="156"/>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Ended</w:t>
            </w:r>
          </w:p>
        </w:tc>
      </w:tr>
      <w:tr>
        <w:trPr>
          <w:trHeight w:val="156"/>
        </w:trPr>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4"/>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610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200</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36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670</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r>
      <w:tr>
        <w:trPr>
          <w:trHeight w:val="184"/>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869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31</w:t>
            </w:r>
          </w:p>
        </w:tc>
      </w:tr>
      <w:tr>
        <w:trPr>
          <w:trHeight w:val="184"/>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r>
      <w:tr>
        <w:trPr>
          <w:trHeight w:val="184"/>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Residential</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84"/>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Recreational finance</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Automobile</w:t>
            </w: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4"/>
        </w:trPr>
        <w:tc>
          <w:tcPr>
            <w:tcW w:w="2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1,235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3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2,024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2,166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w:t>
            </w: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-2042160</wp:posOffset>
            </wp:positionV>
            <wp:extent cx="5334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-2019300</wp:posOffset>
            </wp:positionV>
            <wp:extent cx="5334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-2042160</wp:posOffset>
            </wp:positionV>
            <wp:extent cx="5334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-2019300</wp:posOffset>
            </wp:positionV>
            <wp:extent cx="5334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 continued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normal course of business, the Company modifies loans to maximize recovery efforts from borrowers experiencing financial difficulty. Such loan modifications typically include extensions of maturity dates but may also include other modified terms. Those modified loans may be considered nonaccrual if the Company does not expect to collect the contractual cash flows owed under the loan agreement. The table that follows summarizes the Company’s loan modification activities to borrowers experiencing financial difficulty for the three-month and nine-month periods ended September 30,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Combination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Modification Types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 of Total</w:t>
            </w:r>
          </w:p>
        </w:tc>
        <w:tc>
          <w:tcPr>
            <w:tcW w:w="120" w:type="dxa"/>
            <w:vAlign w:val="bottom"/>
          </w:tcPr>
          <w:p>
            <w:pPr>
              <w:spacing w:after="0"/>
              <w:rPr>
                <w:sz w:val="13"/>
                <w:szCs w:val="13"/>
                <w:color w:val="auto"/>
              </w:rPr>
            </w:pPr>
          </w:p>
        </w:tc>
      </w:tr>
      <w:tr>
        <w:trPr>
          <w:trHeight w:val="174"/>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Other (a)</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(b)</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Total (c) (d)</w:t>
            </w:r>
          </w:p>
        </w:tc>
        <w:tc>
          <w:tcPr>
            <w:tcW w:w="80" w:type="dxa"/>
            <w:vAlign w:val="bottom"/>
          </w:tcPr>
          <w:p>
            <w:pPr>
              <w:spacing w:after="0"/>
              <w:rPr>
                <w:sz w:val="15"/>
                <w:szCs w:val="15"/>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Loan Class</w:t>
            </w:r>
          </w:p>
        </w:tc>
        <w:tc>
          <w:tcPr>
            <w:tcW w:w="120" w:type="dxa"/>
            <w:vAlign w:val="bottom"/>
          </w:tcPr>
          <w:p>
            <w:pPr>
              <w:spacing w:after="0"/>
              <w:rPr>
                <w:sz w:val="15"/>
                <w:szCs w:val="15"/>
                <w:color w:val="auto"/>
              </w:rPr>
            </w:pPr>
          </w:p>
        </w:tc>
      </w:tr>
      <w:tr>
        <w:trPr>
          <w:trHeight w:val="176"/>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8"/>
        </w:trPr>
        <w:tc>
          <w:tcPr>
            <w:tcW w:w="2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4"/>
        </w:trPr>
        <w:tc>
          <w:tcPr>
            <w:tcW w:w="44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85</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4"/>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44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Recreational finance</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Automobile</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56"/>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4"/>
        </w:trPr>
        <w:tc>
          <w:tcPr>
            <w:tcW w:w="44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104</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81</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4"/>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44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Recreational finance</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Automobile</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811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spacing w:after="0" w:line="29" w:lineRule="exact"/>
        <w:rPr>
          <w:sz w:val="20"/>
          <w:szCs w:val="20"/>
          <w:color w:val="auto"/>
        </w:rPr>
      </w:pPr>
    </w:p>
    <w:p>
      <w:pPr>
        <w:ind w:left="400" w:hanging="394"/>
        <w:spacing w:after="0"/>
        <w:tabs>
          <w:tab w:leader="none" w:pos="400"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Primarily payment deferrals.</w:t>
      </w:r>
    </w:p>
    <w:p>
      <w:pPr>
        <w:spacing w:after="0" w:line="22"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Primarily term extensions combined with payment deferrals or interest rate reductions.</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line="250" w:lineRule="auto"/>
        <w:tabs>
          <w:tab w:leader="none" w:pos="400"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approximately $40 million and $109 million of loans guaranteed by government-related entities (predominantly first lien residential mortgage loans) for the three-month and nine-month periods ended September 30, 2025, respectively.</w:t>
      </w:r>
    </w:p>
    <w:p>
      <w:pPr>
        <w:ind w:left="400" w:hanging="394"/>
        <w:spacing w:after="0"/>
        <w:tabs>
          <w:tab w:leader="none" w:pos="400"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unfunded commitments to extend credit totaling $53 million and $89 million for the three-month and nine-month periods ended September 30, 2025, respectively.</w:t>
      </w:r>
    </w:p>
    <w:p>
      <w:pPr>
        <w:spacing w:after="0" w:line="291" w:lineRule="exact"/>
        <w:rPr>
          <w:rFonts w:ascii="Times New Roman" w:cs="Times New Roman" w:eastAsia="Times New Roman" w:hAnsi="Times New Roman"/>
          <w:sz w:val="13"/>
          <w:szCs w:val="13"/>
          <w:i w:val="1"/>
          <w:iCs w:val="1"/>
          <w:color w:val="auto"/>
        </w:rPr>
      </w:pPr>
    </w:p>
    <w:p>
      <w:pPr>
        <w:ind w:left="5220" w:hanging="95"/>
        <w:spacing w:after="0"/>
        <w:tabs>
          <w:tab w:leader="none" w:pos="522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 continued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Combination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Modification Types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 of Total</w:t>
            </w:r>
          </w:p>
        </w:tc>
      </w:tr>
      <w:tr>
        <w:trPr>
          <w:trHeight w:val="174"/>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Other (a)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(b)</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Total (c) (d)</w:t>
            </w:r>
          </w:p>
        </w:tc>
        <w:tc>
          <w:tcPr>
            <w:tcW w:w="80" w:type="dxa"/>
            <w:vAlign w:val="bottom"/>
          </w:tcPr>
          <w:p>
            <w:pPr>
              <w:spacing w:after="0"/>
              <w:rPr>
                <w:sz w:val="15"/>
                <w:szCs w:val="15"/>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Loan Class</w:t>
            </w:r>
          </w:p>
        </w:tc>
        <w:tc>
          <w:tcPr>
            <w:tcW w:w="140" w:type="dxa"/>
            <w:vAlign w:val="bottom"/>
          </w:tcPr>
          <w:p>
            <w:pPr>
              <w:spacing w:after="0"/>
              <w:rPr>
                <w:sz w:val="15"/>
                <w:szCs w:val="15"/>
                <w:color w:val="auto"/>
              </w:rPr>
            </w:pPr>
          </w:p>
        </w:tc>
      </w:tr>
      <w:tr>
        <w:trPr>
          <w:trHeight w:val="176"/>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8"/>
        </w:trPr>
        <w:tc>
          <w:tcPr>
            <w:tcW w:w="2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4"/>
        </w:trPr>
        <w:tc>
          <w:tcPr>
            <w:tcW w:w="4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92</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4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Recreational finance</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Automobile</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295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56"/>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2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4"/>
        </w:trPr>
        <w:tc>
          <w:tcPr>
            <w:tcW w:w="4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190</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44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Recreational finance</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Automobile</w:t>
            </w:r>
          </w:p>
        </w:tc>
        <w:tc>
          <w:tcPr>
            <w:tcW w:w="10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44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892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spacing w:after="0" w:line="29" w:lineRule="exact"/>
        <w:rPr>
          <w:sz w:val="20"/>
          <w:szCs w:val="20"/>
          <w:color w:val="auto"/>
        </w:rPr>
      </w:pPr>
    </w:p>
    <w:p>
      <w:pPr>
        <w:ind w:left="400" w:hanging="394"/>
        <w:spacing w:after="0"/>
        <w:tabs>
          <w:tab w:leader="none" w:pos="400" w:val="left"/>
        </w:tabs>
        <w:numPr>
          <w:ilvl w:val="0"/>
          <w:numId w:val="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Predominantly payment deferrals.</w:t>
      </w:r>
    </w:p>
    <w:p>
      <w:pPr>
        <w:spacing w:after="0" w:line="22"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Predominantly term extensions combined with interest rate reductions.</w:t>
      </w:r>
    </w:p>
    <w:p>
      <w:pPr>
        <w:spacing w:after="0" w:line="6" w:lineRule="exact"/>
        <w:rPr>
          <w:rFonts w:ascii="Times New Roman" w:cs="Times New Roman" w:eastAsia="Times New Roman" w:hAnsi="Times New Roman"/>
          <w:sz w:val="13"/>
          <w:szCs w:val="13"/>
          <w:i w:val="1"/>
          <w:iCs w:val="1"/>
          <w:color w:val="auto"/>
        </w:rPr>
      </w:pPr>
    </w:p>
    <w:p>
      <w:pPr>
        <w:ind w:left="400" w:right="20" w:hanging="394"/>
        <w:spacing w:after="0" w:line="250" w:lineRule="auto"/>
        <w:tabs>
          <w:tab w:leader="none" w:pos="400" w:val="left"/>
        </w:tabs>
        <w:numPr>
          <w:ilvl w:val="0"/>
          <w:numId w:val="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approximately $33 million and $117 million of loans guaranteed by government-related entities (predominantly first lien residential mortgage loans) for the three-month and nine-month periods ended September 30, 2024, respectively.</w:t>
      </w:r>
    </w:p>
    <w:p>
      <w:pPr>
        <w:ind w:left="400" w:hanging="394"/>
        <w:spacing w:after="0"/>
        <w:tabs>
          <w:tab w:leader="none" w:pos="400" w:val="left"/>
        </w:tabs>
        <w:numPr>
          <w:ilvl w:val="0"/>
          <w:numId w:val="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unfunded commitments to extend credit totaling $8 million and $43 million for the three-month and nine-month periods ended September 30, 2024, respectively.</w:t>
      </w:r>
    </w:p>
    <w:p>
      <w:pPr>
        <w:spacing w:after="0" w:line="8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financial effects of the modifications on the weighted-average remaining term of modified loans for the three-month and nine-month periods ended September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60" w:type="dxa"/>
            <w:vAlign w:val="bottom"/>
          </w:tcPr>
          <w:p>
            <w:pPr>
              <w:spacing w:after="0"/>
              <w:rPr>
                <w:sz w:val="15"/>
                <w:szCs w:val="15"/>
                <w:color w:val="auto"/>
              </w:rPr>
            </w:pPr>
          </w:p>
        </w:tc>
        <w:tc>
          <w:tcPr>
            <w:tcW w:w="400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50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2760" w:type="dxa"/>
            <w:vAlign w:val="bottom"/>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4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to weighted-average remaining term</w:t>
            </w:r>
          </w:p>
        </w:tc>
        <w:tc>
          <w:tcPr>
            <w:tcW w:w="2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4"/>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7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0.3</w:t>
            </w: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1.3</w:t>
            </w:r>
          </w:p>
        </w:tc>
        <w:tc>
          <w:tcPr>
            <w:tcW w:w="144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0.7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84"/>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2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4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4"/>
        </w:trPr>
        <w:tc>
          <w:tcPr>
            <w:tcW w:w="4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Commercial (a)</w:t>
            </w:r>
          </w:p>
        </w:tc>
        <w:tc>
          <w:tcPr>
            <w:tcW w:w="27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0.7</w:t>
            </w: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0.6</w:t>
            </w:r>
          </w:p>
        </w:tc>
        <w:tc>
          <w:tcPr>
            <w:tcW w:w="144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0.8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84"/>
        </w:trPr>
        <w:tc>
          <w:tcPr>
            <w:tcW w:w="4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Residential</w:t>
            </w:r>
          </w:p>
        </w:tc>
        <w:tc>
          <w:tcPr>
            <w:tcW w:w="27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9.9</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9.1</w:t>
            </w: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spacing w:after="0" w:line="29" w:lineRule="exact"/>
        <w:rPr>
          <w:sz w:val="20"/>
          <w:szCs w:val="20"/>
          <w:color w:val="auto"/>
        </w:rPr>
      </w:pPr>
    </w:p>
    <w:p>
      <w:pPr>
        <w:ind w:left="400" w:hanging="394"/>
        <w:spacing w:after="0"/>
        <w:tabs>
          <w:tab w:leader="none" w:pos="400" w:val="left"/>
        </w:tabs>
        <w:numPr>
          <w:ilvl w:val="0"/>
          <w:numId w:val="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Inclusive of residential builder and developer loans and other commercial construction loans.</w:t>
      </w:r>
    </w:p>
    <w:p>
      <w:pPr>
        <w:spacing w:after="0" w:line="307" w:lineRule="exact"/>
        <w:rPr>
          <w:rFonts w:ascii="Times New Roman" w:cs="Times New Roman" w:eastAsia="Times New Roman" w:hAnsi="Times New Roman"/>
          <w:sz w:val="13"/>
          <w:szCs w:val="13"/>
          <w:i w:val="1"/>
          <w:iCs w:val="1"/>
          <w:color w:val="auto"/>
        </w:rPr>
      </w:pPr>
    </w:p>
    <w:p>
      <w:pPr>
        <w:ind w:left="5220" w:hanging="95"/>
        <w:spacing w:after="0"/>
        <w:tabs>
          <w:tab w:leader="none" w:pos="52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4. Loans and allowance for loan losses, continued</w:t>
      </w:r>
    </w:p>
    <w:p>
      <w:pPr>
        <w:spacing w:after="0" w:line="3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Modified loans to borrowers experiencing financial difficulty are subject to the allowance for loan losses methodology described herein, including the use of models to inform credit loss estimates and, to the extent larger balance commercial and industrial loans and commercial real estate loans are in nonaccrual status, a loan-by-loan analysis of expected credit losses on those individual loans. The following table summarizes the payment status, at September 30, 2025 and 2024, of loans that were modified during the twelve-month periods ended September 30, 2025 and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4"/>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Payment Status (Amortized Cost) (a)</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Past Due 90 Days or</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4"/>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30-89 Days Past Due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More (b)</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6"/>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Twelve Months Ended September 30, 2025</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8"/>
        </w:trPr>
        <w:tc>
          <w:tcPr>
            <w:tcW w:w="20" w:type="dxa"/>
            <w:vAlign w:val="bottom"/>
          </w:tcPr>
          <w:p>
            <w:pPr>
              <w:spacing w:after="0"/>
              <w:rPr>
                <w:sz w:val="2"/>
                <w:szCs w:val="2"/>
                <w:color w:val="auto"/>
              </w:rPr>
            </w:pPr>
          </w:p>
        </w:tc>
        <w:tc>
          <w:tcPr>
            <w:tcW w:w="2440" w:type="dxa"/>
            <w:vAlign w:val="bottom"/>
            <w:tcBorders>
              <w:top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4"/>
        </w:trPr>
        <w:tc>
          <w:tcPr>
            <w:tcW w:w="5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0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r>
      <w:tr>
        <w:trPr>
          <w:trHeight w:val="184"/>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w:t>
            </w:r>
          </w:p>
        </w:tc>
      </w:tr>
      <w:tr>
        <w:trPr>
          <w:trHeight w:val="184"/>
        </w:trPr>
        <w:tc>
          <w:tcPr>
            <w:tcW w:w="20" w:type="dxa"/>
            <w:vAlign w:val="bottom"/>
          </w:tcPr>
          <w:p>
            <w:pPr>
              <w:spacing w:after="0"/>
              <w:rPr>
                <w:sz w:val="16"/>
                <w:szCs w:val="16"/>
                <w:color w:val="auto"/>
              </w:rPr>
            </w:pP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r>
      <w:tr>
        <w:trPr>
          <w:trHeight w:val="184"/>
        </w:trPr>
        <w:tc>
          <w:tcPr>
            <w:tcW w:w="20" w:type="dxa"/>
            <w:vAlign w:val="bottom"/>
          </w:tcPr>
          <w:p>
            <w:pPr>
              <w:spacing w:after="0"/>
              <w:rPr>
                <w:sz w:val="16"/>
                <w:szCs w:val="16"/>
                <w:color w:val="auto"/>
              </w:rPr>
            </w:pP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Residential (c)</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5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Recreational finance</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4"/>
        </w:trPr>
        <w:tc>
          <w:tcPr>
            <w:tcW w:w="20" w:type="dxa"/>
            <w:vAlign w:val="bottom"/>
          </w:tcPr>
          <w:p>
            <w:pPr>
              <w:spacing w:after="0"/>
              <w:rPr>
                <w:sz w:val="16"/>
                <w:szCs w:val="16"/>
                <w:color w:val="auto"/>
              </w:rPr>
            </w:pP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Automobile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84"/>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4"/>
        </w:trPr>
        <w:tc>
          <w:tcPr>
            <w:tcW w:w="5400" w:type="dxa"/>
            <w:vAlign w:val="bottom"/>
            <w:gridSpan w:val="3"/>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156"/>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Twelve Months Ended September 30, 2024</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auto"/>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r>
      <w:tr>
        <w:trPr>
          <w:trHeight w:val="184"/>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r>
      <w:tr>
        <w:trPr>
          <w:trHeight w:val="20"/>
        </w:trPr>
        <w:tc>
          <w:tcPr>
            <w:tcW w:w="5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5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Commercial</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w:t>
            </w:r>
          </w:p>
        </w:tc>
      </w:tr>
      <w:tr>
        <w:trPr>
          <w:trHeight w:val="20"/>
        </w:trPr>
        <w:tc>
          <w:tcPr>
            <w:tcW w:w="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84"/>
        </w:trPr>
        <w:tc>
          <w:tcPr>
            <w:tcW w:w="20" w:type="dxa"/>
            <w:vAlign w:val="bottom"/>
          </w:tcPr>
          <w:p>
            <w:pPr>
              <w:spacing w:after="0"/>
              <w:rPr>
                <w:sz w:val="16"/>
                <w:szCs w:val="16"/>
                <w:color w:val="auto"/>
              </w:rPr>
            </w:pP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r>
      <w:tr>
        <w:trPr>
          <w:trHeight w:val="20"/>
        </w:trPr>
        <w:tc>
          <w:tcPr>
            <w:tcW w:w="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Residential (c)</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r>
      <w:tr>
        <w:trPr>
          <w:trHeight w:val="184"/>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4"/>
        </w:trPr>
        <w:tc>
          <w:tcPr>
            <w:tcW w:w="20" w:type="dxa"/>
            <w:vAlign w:val="bottom"/>
          </w:tcPr>
          <w:p>
            <w:pPr>
              <w:spacing w:after="0"/>
              <w:rPr>
                <w:sz w:val="16"/>
                <w:szCs w:val="16"/>
                <w:color w:val="auto"/>
              </w:rPr>
            </w:pP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Recreational finance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Automobile</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0" w:type="dxa"/>
            <w:vAlign w:val="bottom"/>
          </w:tcPr>
          <w:p>
            <w:pPr>
              <w:spacing w:after="0"/>
              <w:rPr>
                <w:sz w:val="16"/>
                <w:szCs w:val="16"/>
                <w:color w:val="auto"/>
              </w:rPr>
            </w:pP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5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30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40" w:hanging="434"/>
        <w:spacing w:after="0"/>
        <w:tabs>
          <w:tab w:leader="none" w:pos="440" w:val="left"/>
        </w:tabs>
        <w:numPr>
          <w:ilvl w:val="0"/>
          <w:numId w:val="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At the respective period end.</w:t>
      </w:r>
    </w:p>
    <w:p>
      <w:pPr>
        <w:spacing w:after="0" w:line="6" w:lineRule="exact"/>
        <w:rPr>
          <w:rFonts w:ascii="Times New Roman" w:cs="Times New Roman" w:eastAsia="Times New Roman" w:hAnsi="Times New Roman"/>
          <w:sz w:val="13"/>
          <w:szCs w:val="13"/>
          <w:i w:val="1"/>
          <w:iCs w:val="1"/>
          <w:color w:val="auto"/>
        </w:rPr>
      </w:pPr>
    </w:p>
    <w:p>
      <w:pPr>
        <w:ind w:left="200" w:hanging="194"/>
        <w:spacing w:after="0"/>
        <w:tabs>
          <w:tab w:leader="none" w:pos="200" w:val="left"/>
        </w:tabs>
        <w:numPr>
          <w:ilvl w:val="0"/>
          <w:numId w:val="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Loan modifications predominantly comprised of payment deferrals, term extensions or term extensions combined with payment deferrals.</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line="263" w:lineRule="auto"/>
        <w:tabs>
          <w:tab w:leader="none" w:pos="196" w:val="left"/>
        </w:tabs>
        <w:numPr>
          <w:ilvl w:val="0"/>
          <w:numId w:val="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loans guaranteed by government-related entities classified as 30 to 89 days past due of $37 million and $39 million and as past due 90 days or more of $41 million and $34 million at September 30, 2025 and 2024, respectively.</w:t>
      </w:r>
    </w:p>
    <w:p>
      <w:pPr>
        <w:spacing w:after="0" w:line="200" w:lineRule="exact"/>
        <w:rPr>
          <w:rFonts w:ascii="Times New Roman" w:cs="Times New Roman" w:eastAsia="Times New Roman" w:hAnsi="Times New Roman"/>
          <w:sz w:val="13"/>
          <w:szCs w:val="13"/>
          <w:i w:val="1"/>
          <w:iCs w:val="1"/>
          <w:color w:val="auto"/>
        </w:rPr>
      </w:pPr>
    </w:p>
    <w:p>
      <w:pPr>
        <w:spacing w:after="0" w:line="297" w:lineRule="exact"/>
        <w:rPr>
          <w:rFonts w:ascii="Times New Roman" w:cs="Times New Roman" w:eastAsia="Times New Roman" w:hAnsi="Times New Roman"/>
          <w:sz w:val="13"/>
          <w:szCs w:val="13"/>
          <w:i w:val="1"/>
          <w:iCs w:val="1"/>
          <w:color w:val="auto"/>
        </w:rPr>
      </w:pPr>
    </w:p>
    <w:p>
      <w:pPr>
        <w:ind w:left="5220" w:hanging="95"/>
        <w:spacing w:after="0"/>
        <w:tabs>
          <w:tab w:leader="none" w:pos="52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5. Borrowings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short-term and long-term borrowings at September 30, 2025 and December 31, 2024.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15"/>
                <w:szCs w:val="15"/>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 borrowings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agreements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Advances from FHLB</w:t>
            </w:r>
          </w:p>
        </w:tc>
        <w:tc>
          <w:tcPr>
            <w:tcW w:w="12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3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short-term borrowings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 M&amp;T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5,605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w:t>
            </w:r>
          </w:p>
        </w:tc>
      </w:tr>
      <w:tr>
        <w:trPr>
          <w:trHeight w:val="22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 M&amp;T Bank</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Advances from FHLB</w:t>
            </w:r>
          </w:p>
        </w:tc>
        <w:tc>
          <w:tcPr>
            <w:tcW w:w="12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r>
      <w:tr>
        <w:trPr>
          <w:trHeight w:val="22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notes — M&amp;T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notes — M&amp;T Bank</w:t>
            </w:r>
          </w:p>
        </w:tc>
        <w:tc>
          <w:tcPr>
            <w:tcW w:w="12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r>
      <w:tr>
        <w:trPr>
          <w:trHeight w:val="22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subordinated debentures — M&amp;T (a)</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notes (a)</w:t>
            </w:r>
          </w:p>
        </w:tc>
        <w:tc>
          <w:tcPr>
            <w:tcW w:w="12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r>
      <w:tr>
        <w:trPr>
          <w:trHeight w:val="22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12,928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12,605</w:t>
            </w:r>
          </w:p>
        </w:tc>
      </w:tr>
      <w:tr>
        <w:trPr>
          <w:trHeight w:val="24"/>
        </w:trPr>
        <w:tc>
          <w:tcPr>
            <w:tcW w:w="75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spacing w:after="0" w:line="29" w:lineRule="exact"/>
        <w:rPr>
          <w:sz w:val="20"/>
          <w:szCs w:val="20"/>
          <w:color w:val="auto"/>
        </w:rPr>
      </w:pPr>
    </w:p>
    <w:p>
      <w:pPr>
        <w:ind w:left="440" w:hanging="434"/>
        <w:spacing w:after="0"/>
        <w:tabs>
          <w:tab w:leader="none" w:pos="440" w:val="left"/>
        </w:tabs>
        <w:numPr>
          <w:ilvl w:val="0"/>
          <w:numId w:val="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Further information about Junior Subordinated Debentures and asset-backed note financing transactions is provided in note 12.</w:t>
      </w:r>
    </w:p>
    <w:p>
      <w:pPr>
        <w:spacing w:after="0" w:line="10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July 2025, M&amp;T issued $750 million of subordinated notes that mature in July 2035 and pay a 5.40% fixed rate semi-annually until July 2030 after which, unless redeemed by M&amp;T at that time, the fixed rate will reset to the U.S. Treasury rate for a five year term plus 1.43% until maturity. In June 2025, M&amp;T issued $750 million of senior notes that mature in July 2031 and pay a 5.179% fixed rate semi-annually until July 2030 after which SOFR plus 1.40% will be paid quarterly until maturity. Also in June 2025, M&amp;T Bank issued $750 million of senior notes that mature in July 2028 and pay a 4.762% fixed rate semi-annually until July 2027 after which SOFR plus 0.95% will be paid quarterly until maturity.</w:t>
      </w:r>
    </w:p>
    <w:p>
      <w:pPr>
        <w:spacing w:after="0" w:line="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M&amp;T Bank had secured borrowing facilities available with the FHLB of New York and the FRB of New York totaling approximately $17.8 billion and $25.1 billion, respectively, at September 30, 2025. M&amp;T Bank is required to pledge loans and investment securities as collateral for these borrowing facilities and could increase the availability under such facilities by pledging additional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3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M&amp;T is authorized to issue 20,000,000 shares of preferred stock with a $1.00 par value per share. Preferred shares outstanding rank senior to common shares both as to dividends and liquidation preference, but have no general voting rights. Notwithstanding M&amp;T’s option to redeem the shares, if an event occurs such that the shares no longer qualify as Tier 1 capital, M&amp;T may redeem all of the shares within 90 days following that occurrence. Issued and outstanding preferred stock of M&amp;T as of September 30, 2025 and December 31, 2024 is presented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Liquidation</w:t>
            </w: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20"/>
        </w:trPr>
        <w:tc>
          <w:tcPr>
            <w:tcW w:w="760" w:type="dxa"/>
            <w:vAlign w:val="bottom"/>
            <w:gridSpan w:val="3"/>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w w:val="98"/>
              </w:rPr>
              <w:t>millions, except</w:t>
            </w:r>
          </w:p>
        </w:tc>
        <w:tc>
          <w:tcPr>
            <w:tcW w:w="1940" w:type="dxa"/>
            <w:vAlign w:val="bottom"/>
            <w:gridSpan w:val="3"/>
          </w:tcPr>
          <w:p>
            <w:pPr>
              <w:jc w:val="right"/>
              <w:ind w:right="766"/>
              <w:spacing w:after="0" w:line="120" w:lineRule="exact"/>
              <w:rPr>
                <w:sz w:val="20"/>
                <w:szCs w:val="20"/>
                <w:color w:val="auto"/>
              </w:rPr>
            </w:pPr>
            <w:r>
              <w:rPr>
                <w:rFonts w:ascii="Times New Roman" w:cs="Times New Roman" w:eastAsia="Times New Roman" w:hAnsi="Times New Roman"/>
                <w:sz w:val="11"/>
                <w:szCs w:val="11"/>
                <w:b w:val="1"/>
                <w:bCs w:val="1"/>
                <w:color w:val="auto"/>
              </w:rPr>
              <w:t>Shares</w:t>
            </w:r>
          </w:p>
        </w:tc>
        <w:tc>
          <w:tcPr>
            <w:tcW w:w="9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Preference Per</w:t>
            </w:r>
          </w:p>
        </w:tc>
        <w:tc>
          <w:tcPr>
            <w:tcW w:w="860" w:type="dxa"/>
            <w:vAlign w:val="bottom"/>
          </w:tcPr>
          <w:p>
            <w:pPr>
              <w:spacing w:after="0"/>
              <w:rPr>
                <w:sz w:val="10"/>
                <w:szCs w:val="10"/>
                <w:color w:val="auto"/>
              </w:rPr>
            </w:pPr>
          </w:p>
        </w:tc>
        <w:tc>
          <w:tcPr>
            <w:tcW w:w="960" w:type="dxa"/>
            <w:vAlign w:val="bottom"/>
          </w:tcPr>
          <w:p>
            <w:pPr>
              <w:jc w:val="right"/>
              <w:ind w:right="246"/>
              <w:spacing w:after="0" w:line="120" w:lineRule="exact"/>
              <w:rPr>
                <w:sz w:val="20"/>
                <w:szCs w:val="20"/>
                <w:color w:val="auto"/>
              </w:rPr>
            </w:pPr>
            <w:r>
              <w:rPr>
                <w:rFonts w:ascii="Times New Roman" w:cs="Times New Roman" w:eastAsia="Times New Roman" w:hAnsi="Times New Roman"/>
                <w:sz w:val="11"/>
                <w:szCs w:val="11"/>
                <w:b w:val="1"/>
                <w:bCs w:val="1"/>
                <w:color w:val="auto"/>
              </w:rPr>
              <w:t>Earliest</w:t>
            </w:r>
          </w:p>
        </w:tc>
        <w:tc>
          <w:tcPr>
            <w:tcW w:w="1000" w:type="dxa"/>
            <w:vAlign w:val="bottom"/>
            <w:gridSpan w:val="2"/>
          </w:tcPr>
          <w:p>
            <w:pPr>
              <w:jc w:val="right"/>
              <w:ind w:right="386"/>
              <w:spacing w:after="0" w:line="120" w:lineRule="exact"/>
              <w:rPr>
                <w:sz w:val="20"/>
                <w:szCs w:val="20"/>
                <w:color w:val="auto"/>
              </w:rPr>
            </w:pPr>
            <w:r>
              <w:rPr>
                <w:rFonts w:ascii="Times New Roman" w:cs="Times New Roman" w:eastAsia="Times New Roman" w:hAnsi="Times New Roman"/>
                <w:sz w:val="11"/>
                <w:szCs w:val="11"/>
                <w:b w:val="1"/>
                <w:bCs w:val="1"/>
                <w:color w:val="auto"/>
              </w:rPr>
              <w:t>Annual</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42"/>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940" w:type="dxa"/>
            <w:vAlign w:val="bottom"/>
            <w:gridSpan w:val="3"/>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Issued and Outstanding</w:t>
            </w:r>
          </w:p>
        </w:tc>
        <w:tc>
          <w:tcPr>
            <w:tcW w:w="180" w:type="dxa"/>
            <w:vAlign w:val="bottom"/>
          </w:tcPr>
          <w:p>
            <w:pPr>
              <w:spacing w:after="0"/>
              <w:rPr>
                <w:sz w:val="12"/>
                <w:szCs w:val="12"/>
                <w:color w:val="auto"/>
              </w:rPr>
            </w:pPr>
          </w:p>
        </w:tc>
        <w:tc>
          <w:tcPr>
            <w:tcW w:w="72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4"/>
              </w:rPr>
              <w:t>Share</w:t>
            </w: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Issuance Date</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Redemption Date</w:t>
            </w:r>
          </w:p>
        </w:tc>
        <w:tc>
          <w:tcPr>
            <w:tcW w:w="100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Dividend Rate</w:t>
            </w:r>
          </w:p>
        </w:tc>
        <w:tc>
          <w:tcPr>
            <w:tcW w:w="1560" w:type="dxa"/>
            <w:vAlign w:val="bottom"/>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680" w:type="dxa"/>
            <w:vAlign w:val="bottom"/>
          </w:tcPr>
          <w:p>
            <w:pPr>
              <w:spacing w:after="0"/>
              <w:rPr>
                <w:sz w:val="12"/>
                <w:szCs w:val="12"/>
                <w:color w:val="auto"/>
              </w:rPr>
            </w:pPr>
          </w:p>
        </w:tc>
        <w:tc>
          <w:tcPr>
            <w:tcW w:w="116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99"/>
              </w:rPr>
              <w:t>Dividends Per Share</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160" w:type="dxa"/>
            <w:vAlign w:val="bottom"/>
          </w:tcPr>
          <w:p>
            <w:pPr>
              <w:spacing w:after="0"/>
              <w:rPr>
                <w:sz w:val="12"/>
                <w:szCs w:val="12"/>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Pr>
          <w:p>
            <w:pPr>
              <w:spacing w:after="0"/>
              <w:rPr>
                <w:sz w:val="12"/>
                <w:szCs w:val="12"/>
                <w:color w:val="auto"/>
              </w:rPr>
            </w:pPr>
          </w:p>
        </w:tc>
        <w:tc>
          <w:tcPr>
            <w:tcW w:w="1100" w:type="dxa"/>
            <w:vAlign w:val="bottom"/>
            <w:gridSpan w:val="3"/>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2"/>
                <w:szCs w:val="12"/>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22"/>
        </w:trPr>
        <w:tc>
          <w:tcPr>
            <w:tcW w:w="7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Series</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7"/>
              </w:rPr>
              <w:t>September 30, 2025</w:t>
            </w:r>
          </w:p>
        </w:tc>
        <w:tc>
          <w:tcPr>
            <w:tcW w:w="10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0"/>
                <w:szCs w:val="10"/>
                <w:color w:val="auto"/>
              </w:rPr>
            </w:pPr>
          </w:p>
        </w:tc>
        <w:tc>
          <w:tcPr>
            <w:tcW w:w="680" w:type="dxa"/>
            <w:vAlign w:val="bottom"/>
          </w:tcPr>
          <w:p>
            <w:pPr>
              <w:jc w:val="right"/>
              <w:ind w:right="326"/>
              <w:spacing w:after="0" w:line="122" w:lineRule="exact"/>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0"/>
                <w:szCs w:val="10"/>
                <w:color w:val="auto"/>
              </w:rPr>
            </w:pPr>
          </w:p>
        </w:tc>
        <w:tc>
          <w:tcPr>
            <w:tcW w:w="48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0"/>
                <w:szCs w:val="10"/>
                <w:color w:val="auto"/>
              </w:rPr>
            </w:pPr>
          </w:p>
        </w:tc>
        <w:tc>
          <w:tcPr>
            <w:tcW w:w="46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24"/>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68"/>
        </w:trPr>
        <w:tc>
          <w:tcPr>
            <w:tcW w:w="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Series E (a)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1,000</w:t>
            </w:r>
          </w:p>
        </w:tc>
        <w:tc>
          <w:tcPr>
            <w:tcW w:w="8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 %  $</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62.575</w:t>
            </w:r>
          </w:p>
        </w:tc>
      </w:tr>
      <w:tr>
        <w:trPr>
          <w:trHeight w:val="166"/>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Series F (b)</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8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10,000</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10/28/2016</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11/1/2026</w:t>
            </w:r>
          </w:p>
        </w:tc>
        <w:tc>
          <w:tcPr>
            <w:tcW w:w="8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5.125</w:t>
            </w:r>
          </w:p>
        </w:tc>
        <w:tc>
          <w:tcPr>
            <w:tcW w:w="18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500</w:t>
            </w:r>
          </w:p>
        </w:tc>
        <w:tc>
          <w:tcPr>
            <w:tcW w:w="180" w:type="dxa"/>
            <w:vAlign w:val="bottom"/>
          </w:tcPr>
          <w:p>
            <w:pPr>
              <w:spacing w:after="0"/>
              <w:rPr>
                <w:sz w:val="14"/>
                <w:szCs w:val="14"/>
                <w:color w:val="auto"/>
              </w:rPr>
            </w:pP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128.125</w:t>
            </w: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128.125</w:t>
            </w:r>
          </w:p>
        </w:tc>
        <w:tc>
          <w:tcPr>
            <w:tcW w:w="1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384.375</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384.375</w:t>
            </w:r>
          </w:p>
        </w:tc>
      </w:tr>
      <w:tr>
        <w:trPr>
          <w:trHeight w:val="170"/>
        </w:trPr>
        <w:tc>
          <w:tcPr>
            <w:tcW w:w="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Series G (c)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10,000</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7/30/2019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8/1/2024</w:t>
            </w:r>
          </w:p>
        </w:tc>
        <w:tc>
          <w:tcPr>
            <w:tcW w:w="82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7.304</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400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182.60</w:t>
            </w:r>
          </w:p>
        </w:tc>
        <w:tc>
          <w:tcPr>
            <w:tcW w:w="5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125.00</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547.80</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375.00</w:t>
            </w:r>
          </w:p>
        </w:tc>
      </w:tr>
      <w:tr>
        <w:trPr>
          <w:trHeight w:val="166"/>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Series H (d)</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8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4/1/2022</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4/1/2027</w:t>
            </w:r>
          </w:p>
        </w:tc>
        <w:tc>
          <w:tcPr>
            <w:tcW w:w="8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5.625</w:t>
            </w:r>
          </w:p>
        </w:tc>
        <w:tc>
          <w:tcPr>
            <w:tcW w:w="18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261</w:t>
            </w:r>
          </w:p>
        </w:tc>
        <w:tc>
          <w:tcPr>
            <w:tcW w:w="180" w:type="dxa"/>
            <w:vAlign w:val="bottom"/>
          </w:tcPr>
          <w:p>
            <w:pPr>
              <w:spacing w:after="0"/>
              <w:rPr>
                <w:sz w:val="14"/>
                <w:szCs w:val="14"/>
                <w:color w:val="auto"/>
              </w:rPr>
            </w:pP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0.3516</w:t>
            </w: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0.3516</w:t>
            </w:r>
          </w:p>
        </w:tc>
        <w:tc>
          <w:tcPr>
            <w:tcW w:w="160" w:type="dxa"/>
            <w:vAlign w:val="bottom"/>
          </w:tcPr>
          <w:p>
            <w:pPr>
              <w:spacing w:after="0"/>
              <w:rPr>
                <w:sz w:val="14"/>
                <w:szCs w:val="14"/>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1.0547</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1.0547</w:t>
            </w:r>
          </w:p>
        </w:tc>
      </w:tr>
      <w:tr>
        <w:trPr>
          <w:trHeight w:val="170"/>
        </w:trPr>
        <w:tc>
          <w:tcPr>
            <w:tcW w:w="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Series I (e)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10,000</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8/17/2021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9/1/2026</w:t>
            </w:r>
          </w:p>
        </w:tc>
        <w:tc>
          <w:tcPr>
            <w:tcW w:w="82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3.500</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500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87.50</w:t>
            </w:r>
          </w:p>
        </w:tc>
        <w:tc>
          <w:tcPr>
            <w:tcW w:w="5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87.50</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262.50</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262.50</w:t>
            </w:r>
          </w:p>
        </w:tc>
      </w:tr>
      <w:tr>
        <w:trPr>
          <w:trHeight w:val="164"/>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Series J (f)</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18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10,000</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5/13/2024</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6/15/2029</w:t>
            </w:r>
          </w:p>
        </w:tc>
        <w:tc>
          <w:tcPr>
            <w:tcW w:w="8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7.500</w:t>
            </w:r>
          </w:p>
        </w:tc>
        <w:tc>
          <w:tcPr>
            <w:tcW w:w="180" w:type="dxa"/>
            <w:vAlign w:val="bottom"/>
          </w:tcPr>
          <w:p>
            <w:pPr>
              <w:spacing w:after="0"/>
              <w:rPr>
                <w:sz w:val="14"/>
                <w:szCs w:val="14"/>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733</w:t>
            </w:r>
          </w:p>
        </w:tc>
        <w:tc>
          <w:tcPr>
            <w:tcW w:w="180" w:type="dxa"/>
            <w:vAlign w:val="bottom"/>
          </w:tcPr>
          <w:p>
            <w:pPr>
              <w:spacing w:after="0"/>
              <w:rPr>
                <w:sz w:val="14"/>
                <w:szCs w:val="14"/>
                <w:color w:val="auto"/>
              </w:rPr>
            </w:pP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187.50</w:t>
            </w: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254.17</w:t>
            </w:r>
          </w:p>
        </w:tc>
        <w:tc>
          <w:tcPr>
            <w:tcW w:w="160" w:type="dxa"/>
            <w:vAlign w:val="bottom"/>
          </w:tcPr>
          <w:p>
            <w:pPr>
              <w:spacing w:after="0"/>
              <w:rPr>
                <w:sz w:val="14"/>
                <w:szCs w:val="14"/>
                <w:color w:val="auto"/>
              </w:rPr>
            </w:pP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562.50</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254.17</w:t>
            </w:r>
          </w:p>
        </w:tc>
      </w:tr>
      <w:tr>
        <w:trPr>
          <w:trHeight w:val="172"/>
        </w:trPr>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10,215,000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10,215,000</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2,394</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2,394</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1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On August 15, 2024, M&amp;T redeemed all outstanding shares of the Series E Preferred Stock.</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Dividends, if declared, are paid semi-annually at a rate of 5.125% through October 31, 2026 and thereafter will be paid quarterly at a rate of the three-month SOFR plus 378 basis points.</w:t>
      </w:r>
    </w:p>
    <w:p>
      <w:pPr>
        <w:spacing w:after="0" w:line="6" w:lineRule="exact"/>
        <w:rPr>
          <w:rFonts w:ascii="Times New Roman" w:cs="Times New Roman" w:eastAsia="Times New Roman" w:hAnsi="Times New Roman"/>
          <w:sz w:val="13"/>
          <w:szCs w:val="13"/>
          <w:i w:val="1"/>
          <w:iCs w:val="1"/>
          <w:color w:val="auto"/>
        </w:rPr>
      </w:pPr>
    </w:p>
    <w:p>
      <w:pPr>
        <w:ind w:left="400" w:right="20" w:hanging="394"/>
        <w:spacing w:after="0" w:line="250" w:lineRule="auto"/>
        <w:tabs>
          <w:tab w:leader="none" w:pos="400" w:val="left"/>
        </w:tabs>
        <w:numPr>
          <w:ilvl w:val="0"/>
          <w:numId w:val="1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Dividends, if declared, were paid semi-annually at a rate of 5.0% through July 31, 2024. On August 1, 2024, the dividend rate reset at 7.304% and will reset at each subsequent five year anniversary date therefrom at a rate of the five-year U.S. Treasury rate plus 3.174%.</w:t>
      </w:r>
    </w:p>
    <w:p>
      <w:pPr>
        <w:ind w:left="400" w:hanging="394"/>
        <w:spacing w:after="0"/>
        <w:tabs>
          <w:tab w:leader="none" w:pos="400" w:val="left"/>
        </w:tabs>
        <w:numPr>
          <w:ilvl w:val="0"/>
          <w:numId w:val="1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Dividends, if declared, are paid quarterly at a rate of 5.625% through December 14, 2026 and thereafter will be paid quarterly at a rate of the three-month SOFR rate plus 428 basis points.</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line="250" w:lineRule="auto"/>
        <w:tabs>
          <w:tab w:leader="none" w:pos="400" w:val="left"/>
        </w:tabs>
        <w:numPr>
          <w:ilvl w:val="0"/>
          <w:numId w:val="1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Dividends, if declared, are paid semi-annually at a rate of 3.5% through August 31, 2026. On September 1, 2026 and at each subsequent five year anniversary date therefrom the dividend rate will reset at a rate of the five-year U.S. Treasury rate plus 2.679%.</w:t>
      </w:r>
    </w:p>
    <w:p>
      <w:pPr>
        <w:ind w:left="400" w:hanging="394"/>
        <w:spacing w:after="0"/>
        <w:tabs>
          <w:tab w:leader="none" w:pos="400" w:val="left"/>
        </w:tabs>
        <w:numPr>
          <w:ilvl w:val="0"/>
          <w:numId w:val="1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Dividends, if declared, are paid quarterly at a rate of 7.5%.</w:t>
      </w:r>
    </w:p>
    <w:p>
      <w:pPr>
        <w:spacing w:after="0" w:line="291" w:lineRule="exact"/>
        <w:rPr>
          <w:rFonts w:ascii="Times New Roman" w:cs="Times New Roman" w:eastAsia="Times New Roman" w:hAnsi="Times New Roman"/>
          <w:sz w:val="13"/>
          <w:szCs w:val="13"/>
          <w:i w:val="1"/>
          <w:iCs w:val="1"/>
          <w:color w:val="auto"/>
        </w:rPr>
      </w:pPr>
    </w:p>
    <w:p>
      <w:pPr>
        <w:ind w:left="5220" w:hanging="95"/>
        <w:spacing w:after="0"/>
        <w:tabs>
          <w:tab w:leader="none" w:pos="522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7. Revenue from contracts with customers</w:t>
      </w:r>
    </w:p>
    <w:p>
      <w:pPr>
        <w:spacing w:after="0" w:line="3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September 30, 2025 and December 31, 2024, the Company had $68 million and $72 million, respectively, of amounts receivable related to recognized revenue from the sources in the accompanying tables. Such amounts are included in Accrued interest and other assets in the Company's Consolidated Balance Sheet. In certain situations the Company is paid in advance of providing services and defers the recognition of revenue until its service obligation is satisfied. At September 30, 2025 and December 31, 2024, the Company had deferred revenue of $54 million and $57 million, respectively, related to the sources in the accompanying tables included in Accrued interest and other liabilities in the Company's Consolidated Balance Sheet. The following tables summarize sources of the Company’s noninterest income during the three-month and nine-month periods ended September 30, 2025 and 2024 that are subject to the revenue recognition accounting guidance.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Institutional Services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and Wealth</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40" w:type="dxa"/>
            <w:vAlign w:val="bottom"/>
          </w:tcPr>
          <w:p>
            <w:pPr>
              <w:spacing w:after="0"/>
              <w:rPr>
                <w:sz w:val="15"/>
                <w:szCs w:val="15"/>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Commercial Bank</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Retail Bank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6"/>
        </w:trPr>
        <w:tc>
          <w:tcPr>
            <w:tcW w:w="20" w:type="dxa"/>
            <w:vAlign w:val="bottom"/>
          </w:tcPr>
          <w:p>
            <w:pPr>
              <w:spacing w:after="0"/>
              <w:rPr>
                <w:sz w:val="15"/>
                <w:szCs w:val="15"/>
                <w:color w:val="auto"/>
              </w:rPr>
            </w:pPr>
          </w:p>
        </w:tc>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Classification in Consolidated Statement of Income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45</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184"/>
        </w:trPr>
        <w:tc>
          <w:tcPr>
            <w:tcW w:w="20" w:type="dxa"/>
            <w:vAlign w:val="bottom"/>
          </w:tcPr>
          <w:p>
            <w:pPr>
              <w:spacing w:after="0"/>
              <w:rPr>
                <w:sz w:val="16"/>
                <w:szCs w:val="16"/>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Trust income</w:t>
            </w:r>
          </w:p>
        </w:tc>
        <w:tc>
          <w:tcPr>
            <w:tcW w:w="14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Brokerage services income</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84"/>
        </w:trPr>
        <w:tc>
          <w:tcPr>
            <w:tcW w:w="20" w:type="dxa"/>
            <w:vAlign w:val="bottom"/>
          </w:tcPr>
          <w:p>
            <w:pPr>
              <w:spacing w:after="0"/>
              <w:rPr>
                <w:sz w:val="16"/>
                <w:szCs w:val="16"/>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revenues from operations: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Merchant discount and credit card interchange fees</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84"/>
        </w:trPr>
        <w:tc>
          <w:tcPr>
            <w:tcW w:w="20" w:type="dxa"/>
            <w:vAlign w:val="bottom"/>
          </w:tcPr>
          <w:p>
            <w:pPr>
              <w:spacing w:after="0"/>
              <w:rPr>
                <w:sz w:val="16"/>
                <w:szCs w:val="16"/>
                <w:color w:val="auto"/>
              </w:rPr>
            </w:pPr>
          </w:p>
        </w:tc>
        <w:tc>
          <w:tcPr>
            <w:tcW w:w="49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78</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215</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2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Classification in Consolidated Statement of Income</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40</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84"/>
        </w:trPr>
        <w:tc>
          <w:tcPr>
            <w:tcW w:w="20" w:type="dxa"/>
            <w:vAlign w:val="bottom"/>
          </w:tcPr>
          <w:p>
            <w:pPr>
              <w:spacing w:after="0"/>
              <w:rPr>
                <w:sz w:val="16"/>
                <w:szCs w:val="16"/>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Trust income</w:t>
            </w:r>
          </w:p>
        </w:tc>
        <w:tc>
          <w:tcPr>
            <w:tcW w:w="14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Brokerage services income</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84"/>
        </w:trPr>
        <w:tc>
          <w:tcPr>
            <w:tcW w:w="20" w:type="dxa"/>
            <w:vAlign w:val="bottom"/>
          </w:tcPr>
          <w:p>
            <w:pPr>
              <w:spacing w:after="0"/>
              <w:rPr>
                <w:sz w:val="16"/>
                <w:szCs w:val="16"/>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revenues from operations: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Merchant discount and credit card interchange fees</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84"/>
        </w:trPr>
        <w:tc>
          <w:tcPr>
            <w:tcW w:w="20" w:type="dxa"/>
            <w:vAlign w:val="bottom"/>
          </w:tcPr>
          <w:p>
            <w:pPr>
              <w:spacing w:after="0"/>
              <w:rPr>
                <w:sz w:val="16"/>
                <w:szCs w:val="16"/>
                <w:color w:val="auto"/>
              </w:rPr>
            </w:pPr>
          </w:p>
        </w:tc>
        <w:tc>
          <w:tcPr>
            <w:tcW w:w="49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69</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202</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-1363980</wp:posOffset>
            </wp:positionV>
            <wp:extent cx="5334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-1363980</wp:posOffset>
            </wp:positionV>
            <wp:extent cx="5334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-1363980</wp:posOffset>
            </wp:positionV>
            <wp:extent cx="5334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-29845</wp:posOffset>
            </wp:positionV>
            <wp:extent cx="5334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-29845</wp:posOffset>
            </wp:positionV>
            <wp:extent cx="5334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-29845</wp:posOffset>
            </wp:positionV>
            <wp:extent cx="5334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7. Revenue from contracts with customers, continued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Institutional Services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and Wealth</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40" w:type="dxa"/>
            <w:vAlign w:val="bottom"/>
          </w:tcPr>
          <w:p>
            <w:pPr>
              <w:spacing w:after="0"/>
              <w:rPr>
                <w:sz w:val="15"/>
                <w:szCs w:val="15"/>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Commercial Bank</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Retail Bank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6"/>
        </w:trPr>
        <w:tc>
          <w:tcPr>
            <w:tcW w:w="20" w:type="dxa"/>
            <w:vAlign w:val="bottom"/>
          </w:tcPr>
          <w:p>
            <w:pPr>
              <w:spacing w:after="0"/>
              <w:rPr>
                <w:sz w:val="15"/>
                <w:szCs w:val="15"/>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Classification in Consolidated Statement of Income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133</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r>
      <w:tr>
        <w:trPr>
          <w:trHeight w:val="184"/>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Trust income</w:t>
            </w:r>
          </w:p>
        </w:tc>
        <w:tc>
          <w:tcPr>
            <w:tcW w:w="140" w:type="dxa"/>
            <w:vAlign w:val="bottom"/>
          </w:tcPr>
          <w:p>
            <w:pPr>
              <w:spacing w:after="0"/>
              <w:rPr>
                <w:sz w:val="16"/>
                <w:szCs w:val="16"/>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537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Brokerage services income</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84"/>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revenues from operations: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Merchant discount and credit card interchange fees</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184"/>
        </w:trPr>
        <w:tc>
          <w:tcPr>
            <w:tcW w:w="20" w:type="dxa"/>
            <w:vAlign w:val="bottom"/>
          </w:tcPr>
          <w:p>
            <w:pPr>
              <w:spacing w:after="0"/>
              <w:rPr>
                <w:sz w:val="16"/>
                <w:szCs w:val="16"/>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6"/>
                <w:szCs w:val="16"/>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226</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636</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2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Classification in Consolidated Statement of Income</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120</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r>
      <w:tr>
        <w:trPr>
          <w:trHeight w:val="184"/>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Trust income</w:t>
            </w:r>
          </w:p>
        </w:tc>
        <w:tc>
          <w:tcPr>
            <w:tcW w:w="140" w:type="dxa"/>
            <w:vAlign w:val="bottom"/>
          </w:tcPr>
          <w:p>
            <w:pPr>
              <w:spacing w:after="0"/>
              <w:rPr>
                <w:sz w:val="16"/>
                <w:szCs w:val="16"/>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Brokerage services income</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84"/>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revenues from operations: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Merchant discount and credit card interchange fees</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84"/>
        </w:trPr>
        <w:tc>
          <w:tcPr>
            <w:tcW w:w="20" w:type="dxa"/>
            <w:vAlign w:val="bottom"/>
          </w:tcPr>
          <w:p>
            <w:pPr>
              <w:spacing w:after="0"/>
              <w:rPr>
                <w:sz w:val="16"/>
                <w:szCs w:val="16"/>
                <w:color w:val="auto"/>
              </w:rPr>
            </w:pPr>
          </w:p>
        </w:tc>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6"/>
                <w:szCs w:val="16"/>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205</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591</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-1333500</wp:posOffset>
            </wp:positionV>
            <wp:extent cx="5334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-1333500</wp:posOffset>
            </wp:positionV>
            <wp:extent cx="5334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-1333500</wp:posOffset>
            </wp:positionV>
            <wp:extent cx="5334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4028440</wp:posOffset>
            </wp:positionH>
            <wp:positionV relativeFrom="paragraph">
              <wp:posOffset>-29845</wp:posOffset>
            </wp:positionV>
            <wp:extent cx="5334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-29845</wp:posOffset>
            </wp:positionV>
            <wp:extent cx="5334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-29845</wp:posOffset>
            </wp:positionV>
            <wp:extent cx="5334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Pension plans and other postretirement benefits</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defined pension and other postretirement benefits (including health care and life insurance benefits) to qualified retired employees. Net periodic benefit for defined benefit plans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4"/>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Other Postretirement Benefits</w:t>
            </w:r>
          </w:p>
        </w:tc>
      </w:tr>
      <w:tr>
        <w:trPr>
          <w:trHeight w:val="204"/>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4"/>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80" w:type="dxa"/>
            <w:vAlign w:val="bottom"/>
          </w:tcPr>
          <w:p>
            <w:pPr>
              <w:spacing w:after="0"/>
              <w:rPr>
                <w:sz w:val="17"/>
                <w:szCs w:val="17"/>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
        </w:trPr>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w:t>
            </w:r>
          </w:p>
        </w:tc>
        <w:tc>
          <w:tcPr>
            <w:tcW w:w="2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on projected benefit obligation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credit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net actuarial gain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0"/>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periodic benefit</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5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4"/>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Other Postretirement Benefits</w:t>
            </w:r>
          </w:p>
        </w:tc>
      </w:tr>
      <w:tr>
        <w:trPr>
          <w:trHeight w:val="204"/>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4"/>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80" w:type="dxa"/>
            <w:vAlign w:val="bottom"/>
          </w:tcPr>
          <w:p>
            <w:pPr>
              <w:spacing w:after="0"/>
              <w:rPr>
                <w:sz w:val="17"/>
                <w:szCs w:val="17"/>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
        </w:trPr>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w:t>
            </w:r>
          </w:p>
        </w:tc>
        <w:tc>
          <w:tcPr>
            <w:tcW w:w="2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center"/>
              <w:ind w:left="694"/>
              <w:spacing w:after="0"/>
              <w:rPr>
                <w:sz w:val="20"/>
                <w:szCs w:val="20"/>
                <w:color w:val="auto"/>
              </w:rPr>
            </w:pPr>
            <w:r>
              <w:rPr>
                <w:rFonts w:ascii="Times New Roman" w:cs="Times New Roman" w:eastAsia="Times New Roman" w:hAnsi="Times New Roman"/>
                <w:sz w:val="13"/>
                <w:szCs w:val="13"/>
                <w:color w:val="auto"/>
                <w:w w:val="91"/>
              </w:rPr>
              <w:t>1</w:t>
            </w:r>
          </w:p>
        </w:tc>
      </w:t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on projected benefit obligation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center"/>
              <w:ind w:left="694"/>
              <w:spacing w:after="0"/>
              <w:rPr>
                <w:sz w:val="20"/>
                <w:szCs w:val="20"/>
                <w:color w:val="auto"/>
              </w:rPr>
            </w:pPr>
            <w:r>
              <w:rPr>
                <w:rFonts w:ascii="Times New Roman" w:cs="Times New Roman" w:eastAsia="Times New Roman" w:hAnsi="Times New Roman"/>
                <w:sz w:val="13"/>
                <w:szCs w:val="13"/>
                <w:color w:val="auto"/>
                <w:w w:val="91"/>
              </w:rPr>
              <w:t>2</w:t>
            </w:r>
          </w:p>
        </w:tc>
      </w:tr>
      <w:tr>
        <w:trPr>
          <w:trHeight w:val="20"/>
        </w:trPr>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credit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center"/>
              <w:ind w:left="654"/>
              <w:spacing w:after="0"/>
              <w:rPr>
                <w:sz w:val="20"/>
                <w:szCs w:val="20"/>
                <w:color w:val="auto"/>
              </w:rPr>
            </w:pPr>
            <w:r>
              <w:rPr>
                <w:rFonts w:ascii="Times New Roman" w:cs="Times New Roman" w:eastAsia="Times New Roman" w:hAnsi="Times New Roman"/>
                <w:sz w:val="13"/>
                <w:szCs w:val="13"/>
                <w:color w:val="auto"/>
                <w:w w:val="92"/>
              </w:rPr>
              <w:t>(2)</w:t>
            </w:r>
          </w:p>
        </w:tc>
      </w:tr>
      <w:tr>
        <w:trPr>
          <w:trHeight w:val="20"/>
        </w:trPr>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net actuarial gain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center"/>
              <w:ind w:left="654"/>
              <w:spacing w:after="0"/>
              <w:rPr>
                <w:sz w:val="20"/>
                <w:szCs w:val="20"/>
                <w:color w:val="auto"/>
              </w:rPr>
            </w:pPr>
            <w:r>
              <w:rPr>
                <w:rFonts w:ascii="Times New Roman" w:cs="Times New Roman" w:eastAsia="Times New Roman" w:hAnsi="Times New Roman"/>
                <w:sz w:val="13"/>
                <w:szCs w:val="13"/>
                <w:color w:val="auto"/>
                <w:w w:val="92"/>
              </w:rPr>
              <w:t>(2)</w:t>
            </w:r>
          </w:p>
        </w:tc>
      </w:tr>
      <w:tr>
        <w:trPr>
          <w:trHeight w:val="200"/>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periodic benefit</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center"/>
              <w:ind w:left="654"/>
              <w:spacing w:after="0"/>
              <w:rPr>
                <w:sz w:val="20"/>
                <w:szCs w:val="20"/>
                <w:color w:val="auto"/>
              </w:rPr>
            </w:pPr>
            <w:r>
              <w:rPr>
                <w:rFonts w:ascii="Times New Roman" w:cs="Times New Roman" w:eastAsia="Times New Roman" w:hAnsi="Times New Roman"/>
                <w:sz w:val="13"/>
                <w:szCs w:val="13"/>
                <w:color w:val="auto"/>
                <w:w w:val="92"/>
              </w:rPr>
              <w:t>(1)</w:t>
            </w:r>
          </w:p>
        </w:tc>
      </w:tr>
      <w:tr>
        <w:trPr>
          <w:trHeight w:val="20"/>
        </w:trPr>
        <w:tc>
          <w:tcPr>
            <w:tcW w:w="5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 cost is included in Salaries and employee benefits and the other components of net periodic benefit cost are included in Other costs of operations in the Company's Consolidated Statement of Income. Expenses incurred in connection with the Company's defined contribution pension and retirement savings plans totaled $38 million and $39 million for the three months ended September 30, 2025 and 2024, respectively, and $128 million and $124 million for the nine months ended September 30, 2025 and 2024, respectively.</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9. Earnings per common share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earnings per common share follow: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4"/>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 shares in thousands)</w:t>
            </w:r>
          </w:p>
        </w:tc>
        <w:tc>
          <w:tcPr>
            <w:tcW w:w="140" w:type="dxa"/>
            <w:vAlign w:val="bottom"/>
          </w:tcPr>
          <w:p>
            <w:pPr>
              <w:spacing w:after="0"/>
              <w:rPr>
                <w:sz w:val="17"/>
                <w:szCs w:val="17"/>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04"/>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available to common shareholders: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0" w:type="dxa"/>
            <w:vAlign w:val="bottom"/>
          </w:tcPr>
          <w:p>
            <w:pPr>
              <w:spacing w:after="0"/>
              <w:rPr>
                <w:sz w:val="1"/>
                <w:szCs w:val="1"/>
                <w:color w:val="auto"/>
              </w:rPr>
            </w:pPr>
          </w:p>
        </w:tc>
      </w:tr>
      <w:tr>
        <w:trPr>
          <w:trHeight w:val="184"/>
        </w:trPr>
        <w:tc>
          <w:tcPr>
            <w:tcW w:w="5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Less: Preferred stock dividends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available to common equity</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0" w:type="dxa"/>
            <w:vAlign w:val="bottom"/>
          </w:tcPr>
          <w:p>
            <w:pPr>
              <w:spacing w:after="0"/>
              <w:rPr>
                <w:sz w:val="1"/>
                <w:szCs w:val="1"/>
                <w:color w:val="auto"/>
              </w:rPr>
            </w:pPr>
          </w:p>
        </w:tc>
      </w:tr>
      <w:tr>
        <w:trPr>
          <w:trHeight w:val="184"/>
        </w:trPr>
        <w:tc>
          <w:tcPr>
            <w:tcW w:w="5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Less: Income attributable to unvested stock-based compensation awards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Weighted-average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Common shares outstanding (including common stock issuable) and unvested stock-based</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compensation awards</w:t>
            </w:r>
          </w:p>
        </w:tc>
        <w:tc>
          <w:tcPr>
            <w:tcW w:w="1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155,885</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167,011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159,956</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167,010</w:t>
            </w:r>
          </w:p>
        </w:tc>
        <w:tc>
          <w:tcPr>
            <w:tcW w:w="0" w:type="dxa"/>
            <w:vAlign w:val="bottom"/>
          </w:tcPr>
          <w:p>
            <w:pPr>
              <w:spacing w:after="0"/>
              <w:rPr>
                <w:sz w:val="1"/>
                <w:szCs w:val="1"/>
                <w:color w:val="auto"/>
              </w:rPr>
            </w:pPr>
          </w:p>
        </w:tc>
      </w:tr>
      <w:tr>
        <w:trPr>
          <w:trHeight w:val="184"/>
        </w:trPr>
        <w:tc>
          <w:tcPr>
            <w:tcW w:w="5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Less: Unvested stock-based compensation awards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outstanding</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155,558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166,671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159,631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166,694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0" w:type="dxa"/>
            <w:vAlign w:val="bottom"/>
          </w:tcPr>
          <w:p>
            <w:pPr>
              <w:spacing w:after="0"/>
              <w:rPr>
                <w:sz w:val="1"/>
                <w:szCs w:val="1"/>
                <w:color w:val="auto"/>
              </w:rPr>
            </w:pPr>
          </w:p>
        </w:tc>
      </w:tr>
      <w:tr>
        <w:trPr>
          <w:trHeight w:val="39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 computations of diluted earnings per common share follow:</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4"/>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 shares in thousands)</w:t>
            </w:r>
          </w:p>
        </w:tc>
        <w:tc>
          <w:tcPr>
            <w:tcW w:w="140" w:type="dxa"/>
            <w:vAlign w:val="bottom"/>
          </w:tcPr>
          <w:p>
            <w:pPr>
              <w:spacing w:after="0"/>
              <w:rPr>
                <w:sz w:val="17"/>
                <w:szCs w:val="17"/>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available to common equity</w:t>
            </w:r>
          </w:p>
        </w:tc>
        <w:tc>
          <w:tcPr>
            <w:tcW w:w="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0" w:type="dxa"/>
            <w:vAlign w:val="bottom"/>
          </w:tcPr>
          <w:p>
            <w:pPr>
              <w:spacing w:after="0"/>
              <w:rPr>
                <w:sz w:val="1"/>
                <w:szCs w:val="1"/>
                <w:color w:val="auto"/>
              </w:rPr>
            </w:pPr>
          </w:p>
        </w:tc>
      </w:tr>
      <w:tr>
        <w:trPr>
          <w:trHeight w:val="184"/>
        </w:trPr>
        <w:tc>
          <w:tcPr>
            <w:tcW w:w="5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Less: Income attributable to unvested stock-based compensation awards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Adjusted weighted-average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Common shares outstanding (including common stock issuable) and unvested stock-based</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compensation awards</w:t>
            </w:r>
          </w:p>
        </w:tc>
        <w:tc>
          <w:tcPr>
            <w:tcW w:w="1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155,885</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167,011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159,956</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167,010</w:t>
            </w:r>
          </w:p>
        </w:tc>
        <w:tc>
          <w:tcPr>
            <w:tcW w:w="0" w:type="dxa"/>
            <w:vAlign w:val="bottom"/>
          </w:tcPr>
          <w:p>
            <w:pPr>
              <w:spacing w:after="0"/>
              <w:rPr>
                <w:sz w:val="1"/>
                <w:szCs w:val="1"/>
                <w:color w:val="auto"/>
              </w:rPr>
            </w:pPr>
          </w:p>
        </w:tc>
      </w:tr>
      <w:tr>
        <w:trPr>
          <w:trHeight w:val="184"/>
        </w:trPr>
        <w:tc>
          <w:tcPr>
            <w:tcW w:w="5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Less: Unvested stock-based compensation awards</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Plus: Incremental shares from assumed conversion of stock-based compensation awards</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0" w:type="dxa"/>
            <w:vAlign w:val="bottom"/>
          </w:tcPr>
          <w:p>
            <w:pPr>
              <w:spacing w:after="0"/>
              <w:rPr>
                <w:sz w:val="1"/>
                <w:szCs w:val="1"/>
                <w:color w:val="auto"/>
              </w:rPr>
            </w:pPr>
          </w:p>
        </w:tc>
      </w:tr>
      <w:tr>
        <w:trPr>
          <w:trHeight w:val="184"/>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weighted-average shares outstanding</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156,553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160,503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167,437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awards to purchase common stock of M&amp;T representing common shares of 74,195 and 131,287 during the three-month and nine-month periods ended September 30, 2025, respectively, and common shares of 490,695 and 1,008,825 during the three-month and nine-month periods ended September 30, 2024, respectively, were not included in the computations of diluted earnings per common share because the effect on those periods would have been antidilutive.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10. Comprehensive income</w:t>
      </w:r>
    </w:p>
    <w:p>
      <w:pPr>
        <w:spacing w:after="0" w:line="200" w:lineRule="exact"/>
        <w:rPr>
          <w:sz w:val="20"/>
          <w:szCs w:val="20"/>
          <w:color w:val="auto"/>
        </w:rPr>
      </w:pP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components of other comprehensive income (loss) and amounts reclassified from accumulated other comprehensive income (loss) to net income during the three-month periods ended September 30, 2025 and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Cash Flow</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Defined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15"/>
                <w:szCs w:val="15"/>
                <w:color w:val="auto"/>
              </w:rPr>
            </w:pP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Hedges</w:t>
            </w: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Benefit Plans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Before Tax</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Tax</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July 1,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82</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289</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holding gains, net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81</w:t>
            </w: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84"/>
        </w:trPr>
        <w:tc>
          <w:tcPr>
            <w:tcW w:w="3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losses, net</w:t>
            </w: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 before reclassifications</w:t>
            </w: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2"/>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that (increase) decrease net income:</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184"/>
        </w:trPr>
        <w:tc>
          <w:tcPr>
            <w:tcW w:w="3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yield adjustment from cash flow hedges currently in effect</w:t>
            </w: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w w:val="96"/>
              </w:rPr>
              <w:t>(a)</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8"/>
        </w:trPr>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Amortization of prior service credit and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2"/>
        </w:trPr>
        <w:tc>
          <w:tcPr>
            <w:tcW w:w="3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actuarial gains</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 (b)</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September 30,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8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July 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185</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holding gains, net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308</w:t>
            </w: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r>
      <w:tr>
        <w:trPr>
          <w:trHeight w:val="184"/>
        </w:trPr>
        <w:tc>
          <w:tcPr>
            <w:tcW w:w="3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gains, net</w:t>
            </w: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287</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 before reclassifications</w:t>
            </w: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600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2"/>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that (increase) decrease net income:</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184"/>
        </w:trPr>
        <w:tc>
          <w:tcPr>
            <w:tcW w:w="3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yield adjustment from cash flow hedges currently in effect</w:t>
            </w: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102</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w w:val="96"/>
              </w:rPr>
              <w:t>(a)</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8"/>
        </w:trPr>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Amortization of prior service credit and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2"/>
        </w:trPr>
        <w:tc>
          <w:tcPr>
            <w:tcW w:w="3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actuarial gains</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 (b)</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700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September 30,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69</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400" w:hanging="394"/>
        <w:spacing w:after="0"/>
        <w:tabs>
          <w:tab w:leader="none" w:pos="400" w:val="left"/>
        </w:tabs>
        <w:numPr>
          <w:ilvl w:val="0"/>
          <w:numId w:val="1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Included in Interest income in the Company's Consolidated Statement of Income.</w:t>
      </w:r>
    </w:p>
    <w:p>
      <w:pPr>
        <w:spacing w:after="0" w:line="22"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Included in Other costs of operations in the Company's Consolidated Statement of Income.</w:t>
      </w:r>
    </w:p>
    <w:p>
      <w:pPr>
        <w:spacing w:after="0" w:line="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(loss), net during the three-month periods ended September 30, 2025 and 2024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Cash Flow Hedges</w:t>
            </w: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Defined Benefit Plans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
        </w:trPr>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July 1, 2025</w:t>
            </w:r>
          </w:p>
        </w:tc>
        <w:tc>
          <w:tcPr>
            <w:tcW w:w="52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3"/>
                <w:szCs w:val="13"/>
                <w:color w:val="auto"/>
              </w:rPr>
              <w:t>(4)</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r>
      <w:tr>
        <w:trPr>
          <w:trHeight w:val="184"/>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gain (loss) during period</w:t>
            </w:r>
          </w:p>
        </w:tc>
        <w:tc>
          <w:tcPr>
            <w:tcW w:w="52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left="67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20"/>
        </w:trPr>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September 30, 2025</w:t>
            </w:r>
          </w:p>
        </w:tc>
        <w:tc>
          <w:tcPr>
            <w:tcW w:w="52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3"/>
                <w:szCs w:val="13"/>
                <w:color w:val="auto"/>
              </w:rPr>
              <w:t>(5)</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r>
      <w:tr>
        <w:trPr>
          <w:trHeight w:val="28"/>
        </w:trPr>
        <w:tc>
          <w:tcPr>
            <w:tcW w:w="3820" w:type="dxa"/>
            <w:vAlign w:val="bottom"/>
            <w:tcBorders>
              <w:top w:val="single" w:sz="8" w:color="CCEEFF"/>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r>
        <w:trPr>
          <w:trHeight w:val="192"/>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July 1, 2024</w:t>
            </w:r>
          </w:p>
        </w:tc>
        <w:tc>
          <w:tcPr>
            <w:tcW w:w="52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3"/>
                <w:szCs w:val="13"/>
                <w:color w:val="auto"/>
              </w:rPr>
              <w:t>(8)</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r>
      <w:tr>
        <w:trPr>
          <w:trHeight w:val="184"/>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gain (loss) during period</w:t>
            </w:r>
          </w:p>
        </w:tc>
        <w:tc>
          <w:tcPr>
            <w:tcW w:w="52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left="71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r>
      <w:tr>
        <w:trPr>
          <w:trHeight w:val="20"/>
        </w:trPr>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September 30, 2024</w:t>
            </w:r>
          </w:p>
        </w:tc>
        <w:tc>
          <w:tcPr>
            <w:tcW w:w="52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3"/>
                <w:szCs w:val="13"/>
                <w:color w:val="auto"/>
              </w:rPr>
              <w:t>(4)</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10. Comprehensive income, continued</w:t>
      </w:r>
    </w:p>
    <w:p>
      <w:pPr>
        <w:spacing w:after="0" w:line="313"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components of other comprehensive income (loss) and amounts reclassified from accumulated other comprehensive income (loss) to net income during the nine-month periods ended September 30, 2025 and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Cash Flow</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Defined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Hedges</w:t>
            </w:r>
          </w:p>
        </w:tc>
        <w:tc>
          <w:tcPr>
            <w:tcW w:w="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Benefit Plans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Before Tax</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Tax</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January 1,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131</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55</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holding gains, net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368</w:t>
            </w: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84"/>
        </w:trPr>
        <w:tc>
          <w:tcPr>
            <w:tcW w:w="3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gains, net</w:t>
            </w: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118</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 before reclassifications</w:t>
            </w: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490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2"/>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that (increase) decrease net income:</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184"/>
        </w:trPr>
        <w:tc>
          <w:tcPr>
            <w:tcW w:w="3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yield adjustment from cash flow hedges currently in effect</w:t>
            </w: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108</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w w:val="96"/>
              </w:rPr>
              <w:t>(a)</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8"/>
        </w:trPr>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Amortization of prior service credit and</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2"/>
        </w:trPr>
        <w:tc>
          <w:tcPr>
            <w:tcW w:w="3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actuarial gains</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 (b)</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592</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9"/>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September 30,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125</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373</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January 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157</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r>
      <w:tr>
        <w:trPr>
          <w:trHeight w:val="184"/>
        </w:trPr>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Unrealized holding gains, net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307</w:t>
            </w: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84"/>
        </w:trPr>
        <w:tc>
          <w:tcPr>
            <w:tcW w:w="3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Unrealized losses, net</w:t>
            </w: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 before reclassifications</w:t>
            </w: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2"/>
        </w:trPr>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that (increase) decrease net income:</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184"/>
        </w:trPr>
        <w:tc>
          <w:tcPr>
            <w:tcW w:w="3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losses realized in net income</w:t>
            </w: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w w:val="96"/>
              </w:rPr>
              <w:t>(c)</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yield adjustment from cash flow hedges currently in effect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288</w:t>
            </w: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w w:val="96"/>
              </w:rPr>
              <w:t>(a)</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r>
      <w:tr>
        <w:trPr>
          <w:trHeight w:val="168"/>
        </w:trPr>
        <w:tc>
          <w:tcPr>
            <w:tcW w:w="3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prior service credit 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actuarial gains</w:t>
            </w:r>
          </w:p>
        </w:tc>
        <w:tc>
          <w:tcPr>
            <w:tcW w:w="12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(5) (b)</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580</w:t>
            </w: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20"/>
        </w:trPr>
        <w:tc>
          <w:tcPr>
            <w:tcW w:w="3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400" w:hanging="394"/>
        <w:spacing w:after="0"/>
        <w:tabs>
          <w:tab w:leader="none" w:pos="400" w:val="left"/>
        </w:tabs>
        <w:numPr>
          <w:ilvl w:val="0"/>
          <w:numId w:val="1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Included in Interest income in the Company's Consolidated Statement of Income.</w:t>
      </w:r>
    </w:p>
    <w:p>
      <w:pPr>
        <w:spacing w:after="0" w:line="22"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Included in Other costs of operations in the Company's Consolidated Statement of Income.</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Included in Gain (loss) on bank investment securities in the Company's Consolidated Statement of Income.</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(loss), net during the nine-month periods ended September 30, 2025 and 2024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Cash Flow Hedges</w:t>
            </w: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Defined Benefit Plans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
        </w:trPr>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January 1, 2025</w:t>
            </w:r>
          </w:p>
        </w:tc>
        <w:tc>
          <w:tcPr>
            <w:tcW w:w="52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3"/>
                <w:szCs w:val="13"/>
                <w:color w:val="auto"/>
              </w:rPr>
              <w:t>(8)</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184"/>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gain (loss) during period</w:t>
            </w:r>
          </w:p>
        </w:tc>
        <w:tc>
          <w:tcPr>
            <w:tcW w:w="52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left="7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r>
      <w:tr>
        <w:trPr>
          <w:trHeight w:val="20"/>
        </w:trPr>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 September 30, 2025</w:t>
            </w:r>
          </w:p>
        </w:tc>
        <w:tc>
          <w:tcPr>
            <w:tcW w:w="52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3"/>
                <w:szCs w:val="13"/>
                <w:color w:val="auto"/>
              </w:rPr>
              <w:t>(5)</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r>
      <w:tr>
        <w:trPr>
          <w:trHeight w:val="28"/>
        </w:trPr>
        <w:tc>
          <w:tcPr>
            <w:tcW w:w="3820" w:type="dxa"/>
            <w:vAlign w:val="bottom"/>
            <w:tcBorders>
              <w:top w:val="single" w:sz="8" w:color="CCEEFF"/>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r>
        <w:trPr>
          <w:trHeight w:val="192"/>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January 1, 2024</w:t>
            </w:r>
          </w:p>
        </w:tc>
        <w:tc>
          <w:tcPr>
            <w:tcW w:w="52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3"/>
                <w:szCs w:val="13"/>
                <w:color w:val="auto"/>
              </w:rPr>
              <w:t>(6)</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r>
      <w:tr>
        <w:trPr>
          <w:trHeight w:val="184"/>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gain (loss) during period</w:t>
            </w:r>
          </w:p>
        </w:tc>
        <w:tc>
          <w:tcPr>
            <w:tcW w:w="52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left="7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r>
      <w:tr>
        <w:trPr>
          <w:trHeight w:val="20"/>
        </w:trPr>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September 30, 2024</w:t>
            </w:r>
          </w:p>
        </w:tc>
        <w:tc>
          <w:tcPr>
            <w:tcW w:w="52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3"/>
                <w:szCs w:val="13"/>
                <w:color w:val="auto"/>
              </w:rPr>
              <w:t>(4)</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w:t>
      </w:r>
    </w:p>
    <w:p>
      <w:pPr>
        <w:spacing w:after="0" w:line="3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w:t>
      </w:r>
    </w:p>
    <w:p>
      <w:pPr>
        <w:spacing w:after="0" w:line="6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Information about interest rate swap agreements entered into for interest rate risk management purposes summarized by the type of financial instrument the swap agreements were intended to hedge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2300" w:type="dxa"/>
            <w:vAlign w:val="bottom"/>
            <w:gridSpan w:val="2"/>
          </w:tcPr>
          <w:p>
            <w:pPr>
              <w:ind w:left="86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3"/>
                <w:szCs w:val="13"/>
                <w:color w:val="auto"/>
              </w:rPr>
            </w:pPr>
          </w:p>
        </w:tc>
        <w:tc>
          <w:tcPr>
            <w:tcW w:w="1060" w:type="dxa"/>
            <w:vAlign w:val="bottom"/>
            <w:vMerge w:val="restart"/>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3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Average Rate</w:t>
            </w: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80" w:type="dxa"/>
            <w:vAlign w:val="bottom"/>
          </w:tcPr>
          <w:p>
            <w:pPr>
              <w:spacing w:after="0"/>
              <w:rPr>
                <w:sz w:val="15"/>
                <w:szCs w:val="15"/>
                <w:color w:val="auto"/>
              </w:rPr>
            </w:pP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12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Fixed</w:t>
            </w:r>
          </w:p>
        </w:tc>
        <w:tc>
          <w:tcPr>
            <w:tcW w:w="10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Variable</w:t>
            </w:r>
          </w:p>
        </w:tc>
        <w:tc>
          <w:tcPr>
            <w:tcW w:w="120" w:type="dxa"/>
            <w:vAlign w:val="bottom"/>
          </w:tcPr>
          <w:p>
            <w:pPr>
              <w:spacing w:after="0"/>
              <w:rPr>
                <w:sz w:val="15"/>
                <w:szCs w:val="15"/>
                <w:color w:val="auto"/>
              </w:rPr>
            </w:pPr>
          </w:p>
        </w:tc>
        <w:tc>
          <w:tcPr>
            <w:tcW w:w="106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Gain (Loss) (a)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Fair value hedges: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7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Fixed rate long-term borrowings (b) (d)</w:t>
            </w:r>
          </w:p>
        </w:tc>
        <w:tc>
          <w:tcPr>
            <w:tcW w:w="18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3.56%</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4.26%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Cash flow hedges: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4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Interest payments on variable rate commercial real estate and commercial</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47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and industrial loans (b) (e)</w:t>
            </w: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3.65</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4.28</w:t>
            </w:r>
          </w:p>
        </w:tc>
        <w:tc>
          <w:tcPr>
            <w:tcW w:w="1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3680" w:type="dxa"/>
            <w:vAlign w:val="bottom"/>
            <w:tcBorders>
              <w:bottom w:val="single" w:sz="8" w:color="CCEEFF"/>
            </w:tcBorders>
            <w:gridSpan w:val="2"/>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Fair value hedges: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7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Fixed rate long-term borrowings (b) (f)</w:t>
            </w:r>
          </w:p>
        </w:tc>
        <w:tc>
          <w:tcPr>
            <w:tcW w:w="18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3.55%</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4.71%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Fixed rate investment securities available for sale (c)</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4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4.84</w:t>
            </w:r>
          </w:p>
        </w:tc>
        <w:tc>
          <w:tcPr>
            <w:tcW w:w="10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4.36</w:t>
            </w:r>
          </w:p>
        </w:tc>
        <w:tc>
          <w:tcPr>
            <w:tcW w:w="120" w:type="dxa"/>
            <w:vAlign w:val="bottom"/>
          </w:tcPr>
          <w:p>
            <w:pPr>
              <w:spacing w:after="0"/>
              <w:rPr>
                <w:sz w:val="16"/>
                <w:szCs w:val="16"/>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 hedges:</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6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Interest payments on variable rate commercial real estate and commercial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and industrial loans (b) (g)</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4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3.41</w:t>
            </w:r>
          </w:p>
        </w:tc>
        <w:tc>
          <w:tcPr>
            <w:tcW w:w="10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4.47</w:t>
            </w:r>
          </w:p>
        </w:tc>
        <w:tc>
          <w:tcPr>
            <w:tcW w:w="12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36,184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-1028065</wp:posOffset>
            </wp:positionV>
            <wp:extent cx="5334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-1028065</wp:posOffset>
            </wp:positionV>
            <wp:extent cx="5334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-29845</wp:posOffset>
            </wp:positionV>
            <wp:extent cx="5334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-29845</wp:posOffset>
            </wp:positionV>
            <wp:extent cx="5334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jc w:val="both"/>
        <w:ind w:left="400" w:right="40" w:hanging="394"/>
        <w:spacing w:after="0" w:line="250" w:lineRule="auto"/>
        <w:tabs>
          <w:tab w:leader="none" w:pos="412" w:val="left"/>
        </w:tabs>
        <w:numPr>
          <w:ilvl w:val="0"/>
          <w:numId w:val="1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Certain clearinghouse exchanges consider payments by counterparties for variation margin on derivative instruments to be settlements of those positions. The impact of such payments for interest rate swap agreements designated as fair value hedges was a net settlement of gains of $1 million and of losses of $153 million at September 30, 2025 and December 31, 2024, respectively. The impact of such payments on interest rate swap agreements designated as cash flow hedges was a net settlement of gains of $83 million and of losses of $136 million at September 30, 2025 and December 31, 2024, respectively.</w:t>
      </w:r>
    </w:p>
    <w:p>
      <w:pPr>
        <w:spacing w:after="0" w:line="1"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Under the terms of these agreements, the Company receives settlement amounts at a fixed rate and pays at a variable rate.</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Under the terms of these agreements, the Company receives settlement amounts at a variable rate and pays at a fixed rate.</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notional amount and terms of $2.8 billion of forward-starting interest rate swap agreements that become effective in 2025 and 2026.</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notional amount and terms of $10.4 billion of forward-starting interest rate swap agreements that become effective in 2025, 2026 and 2027.</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notional amount and terms of $3.4 billion of forward-starting interest rate swap agreements that become effective in 2025 and 2026.</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notional amount and terms of $10.0 billion of forward-starting interest rate swap agreements that become effective in 2025 and 2026.</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commitments to sell residential and commercial real estate loans to hedge the exposure to changes in fair value of real estate loans held for sale. Such commitments have generally been designated as fair value hedges. The Company also utilizes commitments to sell real estate loans to offset the exposure to changes in the fair value of certain commitments to originate real estate loans for sale. Changes in unrealized gains and losses as a result of such activities are included in Mortgage banking revenues in the Company's Consolidated Statement of Income and, in general, are realized in subsequent periods as the related loans are sold and commitments satisfied.</w:t>
      </w:r>
    </w:p>
    <w:p>
      <w:pPr>
        <w:spacing w:after="0" w:line="6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Other derivative financial instruments not designated as hedging instruments included interest rate contracts, foreign exchange and other option and futures contracts. Interest rate contracts not designated as hedging instruments had notional values of $44.8 billion and $40.5 billion at September 30, 2025 and December 31, 2024, respectively. The notional amounts of foreign currency and other option and futures contracts not designated as hedging instruments aggregated $2.0 billion and $1.6 billion at September 30, 2025 and December 31, 2024, respectively.</w:t>
      </w: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97" w:right="6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 continued</w:t>
      </w:r>
    </w:p>
    <w:p>
      <w:pPr>
        <w:spacing w:after="0" w:line="3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about the fair values of derivative instruments in the Company’s Consolidated Balance Sheet and Consolidated Statement of Income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Asset Derivatives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4"/>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Liability Derivatives</w:t>
            </w:r>
          </w:p>
        </w:tc>
      </w:t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4"/>
          </w:tcPr>
          <w:p>
            <w:pPr>
              <w:jc w:val="right"/>
              <w:ind w:right="8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4"/>
          </w:tcPr>
          <w:p>
            <w:pPr>
              <w:jc w:val="right"/>
              <w:ind w:right="854"/>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6"/>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40" w:type="dxa"/>
            <w:vAlign w:val="bottom"/>
          </w:tcPr>
          <w:p>
            <w:pPr>
              <w:spacing w:after="0"/>
              <w:rPr>
                <w:sz w:val="15"/>
                <w:szCs w:val="15"/>
                <w:color w:val="auto"/>
              </w:rPr>
            </w:pPr>
          </w:p>
        </w:tc>
        <w:tc>
          <w:tcPr>
            <w:tcW w:w="106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4"/>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designated and qualifying as hedging instruments (a)</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swap agreements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4"/>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to sell real estate loans</w:t>
            </w: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4"/>
        </w:trPr>
        <w:tc>
          <w:tcPr>
            <w:tcW w:w="5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not designated and qualifying as hedging instruments (a)</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 banking:</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84"/>
        </w:trPr>
        <w:tc>
          <w:tcPr>
            <w:tcW w:w="55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Commitments to originate real estate loans for sale</w:t>
            </w: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32</w:t>
            </w: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Commitments to sell real estate loans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32</w:t>
            </w: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84"/>
        </w:trPr>
        <w:tc>
          <w:tcPr>
            <w:tcW w:w="55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rate contracts (b)</w:t>
            </w: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Foreign exchange and other option and futures contracts</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w:t>
            </w:r>
          </w:p>
        </w:tc>
      </w:tr>
      <w:tr>
        <w:trPr>
          <w:trHeight w:val="18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253</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255</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1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Asset derivatives are included in Accrued interest and other assets and liability derivatives are included in Accrued interest and other liabilities in the Company's Consolidated Balance Sheet.</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line="263" w:lineRule="auto"/>
        <w:tabs>
          <w:tab w:leader="none" w:pos="412" w:val="left"/>
        </w:tabs>
        <w:numPr>
          <w:ilvl w:val="0"/>
          <w:numId w:val="1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impact of variation margin payments at September 30, 2025 and December 31, 2024 was a reduction of the estimated fair value of interest rate contracts not designated as hedging instruments in an asset position of $379 million and $686 million, respectively, and in a liability position of $33 million and $15 million, respectively.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Amount of Gain (Loss) Recognized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00" w:type="dxa"/>
            <w:vAlign w:val="bottom"/>
          </w:tcPr>
          <w:p>
            <w:pPr>
              <w:spacing w:after="0"/>
              <w:rPr>
                <w:sz w:val="17"/>
                <w:szCs w:val="17"/>
                <w:color w:val="auto"/>
              </w:rPr>
            </w:pPr>
          </w:p>
        </w:tc>
        <w:tc>
          <w:tcPr>
            <w:tcW w:w="10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Hedged Item</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Hedged Item</w:t>
            </w: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fair value hedging relationships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rate swap agreements: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Fixed rate long-term borrowings (a)</w:t>
            </w:r>
          </w:p>
        </w:tc>
        <w:tc>
          <w:tcPr>
            <w:tcW w:w="20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0" w:type="dxa"/>
            <w:vAlign w:val="bottom"/>
            <w:tcBorders>
              <w:bottom w:val="single" w:sz="8" w:color="CCEEFF"/>
            </w:tcBorders>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2"/>
              </w:rPr>
              <w:t>130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84"/>
        </w:trPr>
        <w:tc>
          <w:tcPr>
            <w:tcW w:w="56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Fixed rate investment securities available for sale (b)</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0" w:type="dxa"/>
            <w:vAlign w:val="bottom"/>
            <w:tcBorders>
              <w:bottom w:val="single" w:sz="8" w:color="CCEEFF"/>
            </w:tcBorders>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2"/>
              </w:rPr>
              <w:t>130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not designated as hedging instruments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5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contracts (c)</w:t>
            </w:r>
          </w:p>
        </w:tc>
        <w:tc>
          <w:tcPr>
            <w:tcW w:w="20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exchange and other option and futures contracts (c)</w:t>
            </w:r>
          </w:p>
        </w:tc>
        <w:tc>
          <w:tcPr>
            <w:tcW w:w="20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spacing w:after="0" w:line="29" w:lineRule="exact"/>
        <w:rPr>
          <w:sz w:val="20"/>
          <w:szCs w:val="20"/>
          <w:color w:val="auto"/>
        </w:rPr>
      </w:pPr>
    </w:p>
    <w:p>
      <w:pPr>
        <w:ind w:left="400" w:hanging="394"/>
        <w:spacing w:after="0"/>
        <w:tabs>
          <w:tab w:leader="none" w:pos="400" w:val="left"/>
        </w:tabs>
        <w:numPr>
          <w:ilvl w:val="0"/>
          <w:numId w:val="1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Reported as an adjustment to Interest expense in the Company's Consolidated Statement of Income.</w:t>
      </w:r>
    </w:p>
    <w:p>
      <w:pPr>
        <w:spacing w:after="0" w:line="22"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Reported as an adjustment to Interest income in the Company's Consolidated Statement of Income.</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Included in Trading account and other non-hedging derivative gains in the Company's Consolidated Statement of Income.</w:t>
      </w:r>
    </w:p>
    <w:p>
      <w:pPr>
        <w:spacing w:after="0" w:line="291" w:lineRule="exact"/>
        <w:rPr>
          <w:rFonts w:ascii="Times New Roman" w:cs="Times New Roman" w:eastAsia="Times New Roman" w:hAnsi="Times New Roman"/>
          <w:sz w:val="13"/>
          <w:szCs w:val="13"/>
          <w:i w:val="1"/>
          <w:iCs w:val="1"/>
          <w:color w:val="auto"/>
        </w:rPr>
      </w:pPr>
    </w:p>
    <w:p>
      <w:pPr>
        <w:ind w:left="5220" w:hanging="95"/>
        <w:spacing w:after="0"/>
        <w:tabs>
          <w:tab w:leader="none" w:pos="522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7" w:right="68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 continued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 of Gain (Loss) Recognized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00" w:type="dxa"/>
            <w:vAlign w:val="bottom"/>
          </w:tcPr>
          <w:p>
            <w:pPr>
              <w:spacing w:after="0"/>
              <w:rPr>
                <w:sz w:val="17"/>
                <w:szCs w:val="17"/>
                <w:color w:val="auto"/>
              </w:rPr>
            </w:pPr>
          </w:p>
        </w:tc>
        <w:tc>
          <w:tcPr>
            <w:tcW w:w="10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Hedged Item</w:t>
            </w:r>
          </w:p>
        </w:tc>
        <w:tc>
          <w:tcPr>
            <w:tcW w:w="80" w:type="dxa"/>
            <w:vAlign w:val="bottom"/>
          </w:tcPr>
          <w:p>
            <w:pPr>
              <w:spacing w:after="0"/>
              <w:rPr>
                <w:sz w:val="17"/>
                <w:szCs w:val="17"/>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Hedged Item</w:t>
            </w: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fair value hedging relationships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rate swap agreements: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Fixed rate long-term borrowings (a)</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80" w:type="dxa"/>
            <w:vAlign w:val="bottom"/>
            <w:tcBorders>
              <w:bottom w:val="single" w:sz="8" w:color="CCEEFF"/>
            </w:tcBorders>
            <w:gridSpan w:val="2"/>
            <w:shd w:val="clear" w:color="auto" w:fill="CCEEFF"/>
          </w:tcPr>
          <w:p>
            <w:pPr>
              <w:jc w:val="right"/>
              <w:ind w:right="85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52</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84"/>
        </w:trPr>
        <w:tc>
          <w:tcPr>
            <w:tcW w:w="56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Fixed rate investment securities available for sale (b)</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80" w:type="dxa"/>
            <w:vAlign w:val="bottom"/>
            <w:tcBorders>
              <w:bottom w:val="single" w:sz="8" w:color="CCEEFF"/>
            </w:tcBorders>
            <w:gridSpan w:val="2"/>
            <w:shd w:val="clear" w:color="auto" w:fill="CCEEFF"/>
          </w:tcPr>
          <w:p>
            <w:pPr>
              <w:jc w:val="right"/>
              <w:ind w:right="85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52</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not designated as hedging instruments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contracts (c)</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85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11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exchange and other option and futures contracts (c)</w:t>
            </w:r>
          </w:p>
        </w:tc>
        <w:tc>
          <w:tcPr>
            <w:tcW w:w="200" w:type="dxa"/>
            <w:vAlign w:val="bottom"/>
          </w:tcPr>
          <w:p>
            <w:pPr>
              <w:spacing w:after="0"/>
              <w:rPr>
                <w:sz w:val="16"/>
                <w:szCs w:val="16"/>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85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24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1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Reported as an adjustment to Interest expense in the Company's Consolidated Statement of Income.</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Reported as an adjustment to Interest income in the Company's Consolidated Statement of Income.</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Included in Trading account and other non-hedging derivative gains in the Company's Consolidated Statement of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3"/>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Cumulative Amount of Fair Value Hedging</w:t>
            </w:r>
          </w:p>
        </w:tc>
      </w:tr>
      <w:tr>
        <w:trPr>
          <w:trHeight w:val="156"/>
        </w:trPr>
        <w:tc>
          <w:tcPr>
            <w:tcW w:w="3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3"/>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Adjustment Increasing (Decreasing) the</w:t>
            </w:r>
          </w:p>
        </w:tc>
      </w:tr>
      <w:tr>
        <w:trPr>
          <w:trHeight w:val="156"/>
        </w:trPr>
        <w:tc>
          <w:tcPr>
            <w:tcW w:w="3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3"/>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Carrying</w:t>
            </w:r>
          </w:p>
        </w:tc>
      </w:tr>
      <w:tr>
        <w:trPr>
          <w:trHeight w:val="174"/>
        </w:trPr>
        <w:tc>
          <w:tcPr>
            <w:tcW w:w="3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Carrying Amount of the Hedged Item</w:t>
            </w:r>
          </w:p>
        </w:tc>
        <w:tc>
          <w:tcPr>
            <w:tcW w:w="180" w:type="dxa"/>
            <w:vAlign w:val="bottom"/>
          </w:tcPr>
          <w:p>
            <w:pPr>
              <w:spacing w:after="0"/>
              <w:rPr>
                <w:sz w:val="15"/>
                <w:szCs w:val="15"/>
                <w:color w:val="auto"/>
              </w:rPr>
            </w:pPr>
          </w:p>
        </w:tc>
        <w:tc>
          <w:tcPr>
            <w:tcW w:w="2620" w:type="dxa"/>
            <w:vAlign w:val="bottom"/>
            <w:gridSpan w:val="3"/>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Amount of the Hedged Item</w:t>
            </w:r>
          </w:p>
        </w:tc>
      </w:tr>
      <w:tr>
        <w:trPr>
          <w:trHeight w:val="186"/>
        </w:trPr>
        <w:tc>
          <w:tcPr>
            <w:tcW w:w="3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4"/>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480" w:type="dxa"/>
            <w:vAlign w:val="bottom"/>
          </w:tcPr>
          <w:p>
            <w:pPr>
              <w:spacing w:after="0"/>
              <w:rPr>
                <w:sz w:val="15"/>
                <w:szCs w:val="15"/>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5"/>
                <w:szCs w:val="15"/>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5"/>
                <w:szCs w:val="15"/>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6"/>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Location in the Consolidated Balance Sheet</w:t>
            </w:r>
          </w:p>
        </w:tc>
        <w:tc>
          <w:tcPr>
            <w:tcW w:w="1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4"/>
        </w:trPr>
        <w:tc>
          <w:tcPr>
            <w:tcW w:w="38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of the Hedged Items in Fair Value Hedges</w:t>
            </w:r>
          </w:p>
        </w:tc>
        <w:tc>
          <w:tcPr>
            <w:tcW w:w="1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3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borrowings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6,092</w:t>
            </w: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5,184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84"/>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 for sale</w:t>
            </w:r>
          </w:p>
        </w:tc>
        <w:tc>
          <w:tcPr>
            <w:tcW w:w="1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381</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bl>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net effect of interest rate swap agreements was to decrease net interest income by $33 million and $139 million during the three-month and nine-month periods ended September 30, 2025, respectively, and to decrease net interest income by $115 million and $328 million during the three-month and nine-month periods ended September 30, 2024, respectively. The amount of interest income recognized in the Company's Consolidated Statement of Income associated with derivatives designated as cash flow hedges was a decrease of $22 million and $102 million for the three months ended September 30, 2025 and 2024, respectively, and a decrease of $108 million and $288 million for the nine-month periods ended September 30, 2025 and 2024, respectively. As of September 30, 2025, the unrealized gain recognized in other comprehensive income related to cash flow hedges was $91 million, of which gains of $6 million, $56 million and $29 million relate to interest rate swap agreements maturing in 2026, 2027 and 2028, respectively.</w:t>
      </w:r>
    </w:p>
    <w:p>
      <w:pPr>
        <w:spacing w:after="0" w:line="6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predominantly clears non-customer derivative transactions through a clearinghouse, rather than directly with counterparties. The transactions cleared through a clearinghouse require initial margin collateral and variation margin payments depending on the contracts being in a net asset or liability position. The amount of initial margin collateral posted by the Company was $237 million and $257 million at September 30, 2025 and December 31, 2024,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does not offset derivative asset and liability positions in its consolidated financial statements. The Company’s exposure to credit risk by entering into derivative contracts is oftentimes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 The aggregate fair value of derivative financial instruments in a liability position, which are subject to enforceable master netting arrangements, and the related collateral posted, was not material at each of September 30, 2025 and December 31, 2024. The aggregate fair value</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 continued</w:t>
      </w:r>
    </w:p>
    <w:p>
      <w:pPr>
        <w:spacing w:after="0" w:line="3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of derivative financial instruments in an asset position with counterparties, which are subject to enforceable master netting arrangements was $57 million and $157 million at September 30, 2025 and December 31, 2024, respectively. Counterparties posted collateral relating to those positions of $58 million and $157 million at September 30, 2025 and December 31, 2024, respectively. Interest rate swap agreements entered into with customers are subject to the Company’s credit risk standards and often contain collateral provisions.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Variable interest entities and asset securitizations</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securitization activities include securitizing loans originated for sale into government-issued or guaranteed mortgage-backed securities. Additionally, M&amp;T Bank and its subsidiaries have issued asset-backed notes secured by either equipment finance loans and leases or by automobile loans. Those loans and leases were sold into special purpose trusts which in turn issued asset-backed notes to investors. The loans and leases continue to be serviced by the Company. The senior-most notes in those securitizations were purchased by third parties whereas the residual interests of the trusts were retained by the Company. As a result of the retention of the residual interests and its continued role as servicer of the loans and leases, the Company is considered to be the primary beneficiary of the securitization trusts and, accordingly, the trusts have been included in the Company's consolidated financial statements. Assets held in each special purpose trust may only be used to settle the respective obligations of the asset-backed notes issued by that trust and the holders of the asset-backed notes have no recourse to the Company. The outstanding balances of those asset-backed notes issued to third party investors are included in Long-term borrowings in the Company's Consolidated Balance Sheet. Information about the asset-backed notes issued to investors and the respective special purpose trust at September 30, 2025 and December 31, 2024 are included in the following table.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2"/>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3"/>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6"/>
        </w:trPr>
        <w:tc>
          <w:tcPr>
            <w:tcW w:w="1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32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Remaining Loan</w:t>
            </w:r>
          </w:p>
        </w:tc>
        <w:tc>
          <w:tcPr>
            <w:tcW w:w="8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Asset-Backed</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 Loan</w:t>
            </w:r>
          </w:p>
        </w:tc>
        <w:tc>
          <w:tcPr>
            <w:tcW w:w="10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Asset-Backed</w:t>
            </w:r>
          </w:p>
        </w:tc>
      </w:tr>
      <w:tr>
        <w:trPr>
          <w:trHeight w:val="156"/>
        </w:trPr>
        <w:tc>
          <w:tcPr>
            <w:tcW w:w="13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Collateral</w:t>
            </w:r>
          </w:p>
        </w:tc>
        <w:tc>
          <w:tcPr>
            <w:tcW w:w="80" w:type="dxa"/>
            <w:vAlign w:val="bottom"/>
          </w:tcPr>
          <w:p>
            <w:pPr>
              <w:spacing w:after="0"/>
              <w:rPr>
                <w:sz w:val="13"/>
                <w:szCs w:val="13"/>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Notes to</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24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200" w:type="dxa"/>
            <w:vAlign w:val="bottom"/>
          </w:tcPr>
          <w:p>
            <w:pPr>
              <w:spacing w:after="0"/>
              <w:rPr>
                <w:sz w:val="13"/>
                <w:szCs w:val="13"/>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Collateral</w:t>
            </w:r>
          </w:p>
        </w:tc>
        <w:tc>
          <w:tcPr>
            <w:tcW w:w="100" w:type="dxa"/>
            <w:vAlign w:val="bottom"/>
          </w:tcPr>
          <w:p>
            <w:pPr>
              <w:spacing w:after="0"/>
              <w:rPr>
                <w:sz w:val="13"/>
                <w:szCs w:val="13"/>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Notes to</w:t>
            </w:r>
          </w:p>
        </w:tc>
      </w:tr>
      <w:tr>
        <w:trPr>
          <w:trHeight w:val="174"/>
        </w:trPr>
        <w:tc>
          <w:tcPr>
            <w:tcW w:w="13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Issue Date</w:t>
            </w:r>
          </w:p>
        </w:tc>
        <w:tc>
          <w:tcPr>
            <w:tcW w:w="226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Collateral Type</w:t>
            </w:r>
          </w:p>
        </w:tc>
        <w:tc>
          <w:tcPr>
            <w:tcW w:w="360" w:type="dxa"/>
            <w:vAlign w:val="bottom"/>
          </w:tcPr>
          <w:p>
            <w:pPr>
              <w:spacing w:after="0"/>
              <w:rPr>
                <w:sz w:val="15"/>
                <w:szCs w:val="15"/>
                <w:color w:val="auto"/>
              </w:rPr>
            </w:pPr>
          </w:p>
        </w:tc>
        <w:tc>
          <w:tcPr>
            <w:tcW w:w="96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5"/>
                <w:szCs w:val="15"/>
                <w:color w:val="auto"/>
              </w:rPr>
            </w:pP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Investors</w:t>
            </w: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Life (In years)</w:t>
            </w: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Rate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00" w:type="dxa"/>
            <w:vAlign w:val="bottom"/>
          </w:tcPr>
          <w:p>
            <w:pPr>
              <w:spacing w:after="0"/>
              <w:rPr>
                <w:sz w:val="15"/>
                <w:szCs w:val="15"/>
                <w:color w:val="auto"/>
              </w:rPr>
            </w:pP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Investors</w:t>
            </w:r>
          </w:p>
        </w:tc>
      </w:tr>
      <w:tr>
        <w:trPr>
          <w:trHeight w:val="20"/>
        </w:trPr>
        <w:tc>
          <w:tcPr>
            <w:tcW w:w="1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August 2023</w:t>
            </w:r>
          </w:p>
        </w:tc>
        <w:tc>
          <w:tcPr>
            <w:tcW w:w="2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Equipment finance loans and leases</w:t>
            </w: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284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0.7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184"/>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March 2024</w:t>
            </w:r>
          </w:p>
        </w:tc>
        <w:tc>
          <w:tcPr>
            <w:tcW w:w="2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Automobile loans</w:t>
            </w:r>
          </w:p>
        </w:tc>
        <w:tc>
          <w:tcPr>
            <w:tcW w:w="360" w:type="dxa"/>
            <w:vAlign w:val="bottom"/>
          </w:tcPr>
          <w:p>
            <w:pPr>
              <w:spacing w:after="0"/>
              <w:rPr>
                <w:sz w:val="16"/>
                <w:szCs w:val="16"/>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r>
      <w:tr>
        <w:trPr>
          <w:trHeight w:val="20"/>
        </w:trPr>
        <w:tc>
          <w:tcPr>
            <w:tcW w:w="1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August 2024</w:t>
            </w:r>
          </w:p>
        </w:tc>
        <w:tc>
          <w:tcPr>
            <w:tcW w:w="2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Equipment finance loans and leases</w:t>
            </w: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691</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r>
      <w:tr>
        <w:trPr>
          <w:trHeight w:val="184"/>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February 2025</w:t>
            </w:r>
          </w:p>
        </w:tc>
        <w:tc>
          <w:tcPr>
            <w:tcW w:w="2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Automobile loans</w:t>
            </w:r>
          </w:p>
        </w:tc>
        <w:tc>
          <w:tcPr>
            <w:tcW w:w="360" w:type="dxa"/>
            <w:vAlign w:val="bottom"/>
          </w:tcPr>
          <w:p>
            <w:pPr>
              <w:spacing w:after="0"/>
              <w:rPr>
                <w:sz w:val="16"/>
                <w:szCs w:val="16"/>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May 2025</w:t>
            </w:r>
          </w:p>
        </w:tc>
        <w:tc>
          <w:tcPr>
            <w:tcW w:w="2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Equipment finance loans and leases</w:t>
            </w: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591</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1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1,929</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1,229</w:t>
            </w:r>
          </w:p>
        </w:tc>
      </w:tr>
      <w:tr>
        <w:trPr>
          <w:trHeight w:val="20"/>
        </w:trPr>
        <w:tc>
          <w:tcPr>
            <w:tcW w:w="1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M&amp;T has issued Junior Subordinated Debentures payable to various trusts that have issued Preferred Capital Securities and Common Securities. M&amp;T owns the Common Securities of those trust entities. The Company is not considered to be the primary beneficiary of those entities and, accordingly, the trusts are not included in the Company’s consolidated financial statements. At each of September 30, 2025 and December 31, 2024, the Company included the Junior Subordinated Debentures in Long-term borrowings in the Company's Consolidated Balance Sheet and included $16 million and $17 million, respectively, in Accrued interest and other assets for its “investment” in the Common Securities of the trusts that will be concomitantly repaid to M&amp;T by the respective trust from the proceeds of M&amp;T’s repayment of the Junior Subordinated Debentures associated with the Preferred Capital Securities.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invested as a limited partner in various partnerships that collectively had total assets of approximately $10.6 billion and $10.5 billion at September 30, 2025 and December 31, 2024, respectively. Those partnerships generally construct or acquire properties, including properties and facilities that produce renewable energy,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The Company, in its position as a limited partner, does not direct the activities that most significantly impact the economic performance of the partnerships and, therefore, the partnership entities are not included in the Company's consolidated financial</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12. Variable interest entities and asset securitizations, continued</w:t>
      </w:r>
    </w:p>
    <w:p>
      <w:pPr>
        <w:spacing w:after="0" w:line="200" w:lineRule="exact"/>
        <w:rPr>
          <w:sz w:val="20"/>
          <w:szCs w:val="20"/>
          <w:color w:val="auto"/>
        </w:rPr>
      </w:pPr>
    </w:p>
    <w:p>
      <w:pPr>
        <w:spacing w:after="0" w:line="2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The Company’s investments in qualified affordable housing projects are accounted for using the proportional amortization method whereby those investments are amortized to Income taxes in the Company's Consolidated Statement of Income as tax credits and other tax benefits resulting from deductible losses associated with the projects are received. The Company has elected to apply the proportional amortization method to eligible renewable energy and certain other tax credit investments in addition to the low income housing tax credit investments for which the proportional amortization method had previously been applied. Information on the Company's carrying amount of its investments in tax equity partnerships and its related future funding commitments are presented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580" w:type="dxa"/>
            <w:vAlign w:val="bottom"/>
          </w:tcPr>
          <w:p>
            <w:pPr>
              <w:spacing w:after="0"/>
              <w:rPr>
                <w:sz w:val="15"/>
                <w:szCs w:val="15"/>
                <w:color w:val="auto"/>
              </w:rPr>
            </w:pPr>
          </w:p>
        </w:tc>
        <w:tc>
          <w:tcPr>
            <w:tcW w:w="16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00" w:type="dxa"/>
            <w:vAlign w:val="bottom"/>
          </w:tcPr>
          <w:p>
            <w:pPr>
              <w:spacing w:after="0"/>
              <w:rPr>
                <w:sz w:val="15"/>
                <w:szCs w:val="15"/>
                <w:color w:val="auto"/>
              </w:rPr>
            </w:pPr>
          </w:p>
        </w:tc>
        <w:tc>
          <w:tcPr>
            <w:tcW w:w="16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Affordable housing projects:</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4"/>
        </w:trPr>
        <w:tc>
          <w:tcPr>
            <w:tcW w:w="5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Carrying amount (a)</w:t>
            </w: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1,598</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1,384</w:t>
            </w:r>
          </w:p>
        </w:tc>
      </w:tr>
      <w:tr>
        <w:trPr>
          <w:trHeight w:val="184"/>
        </w:trPr>
        <w:tc>
          <w:tcPr>
            <w:tcW w:w="5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Amount of future funding commitments included in carrying amount (b)</w:t>
            </w:r>
          </w:p>
        </w:tc>
        <w:tc>
          <w:tcPr>
            <w:tcW w:w="1580" w:type="dxa"/>
            <w:vAlign w:val="bottom"/>
          </w:tcPr>
          <w:p>
            <w:pPr>
              <w:spacing w:after="0"/>
              <w:rPr>
                <w:sz w:val="16"/>
                <w:szCs w:val="16"/>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658</w:t>
            </w: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w:t>
            </w:r>
          </w:p>
        </w:tc>
      </w:tr>
      <w:tr>
        <w:trPr>
          <w:trHeight w:val="20"/>
        </w:trPr>
        <w:tc>
          <w:tcPr>
            <w:tcW w:w="5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4"/>
        </w:trPr>
        <w:tc>
          <w:tcPr>
            <w:tcW w:w="5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Contingent commitments</w:t>
            </w:r>
          </w:p>
        </w:tc>
        <w:tc>
          <w:tcPr>
            <w:tcW w:w="15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88</w:t>
            </w:r>
          </w:p>
        </w:tc>
        <w:tc>
          <w:tcPr>
            <w:tcW w:w="3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69</w:t>
            </w:r>
          </w:p>
        </w:tc>
      </w:tr>
      <w:tr>
        <w:trPr>
          <w:trHeight w:val="184"/>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Renewable energy:</w:t>
            </w:r>
          </w:p>
        </w:tc>
        <w:tc>
          <w:tcPr>
            <w:tcW w:w="1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5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4"/>
        </w:trPr>
        <w:tc>
          <w:tcPr>
            <w:tcW w:w="5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Carrying amount (a)</w:t>
            </w:r>
          </w:p>
        </w:tc>
        <w:tc>
          <w:tcPr>
            <w:tcW w:w="15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115</w:t>
            </w:r>
          </w:p>
        </w:tc>
        <w:tc>
          <w:tcPr>
            <w:tcW w:w="3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184"/>
        </w:trPr>
        <w:tc>
          <w:tcPr>
            <w:tcW w:w="5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Amount of future funding commitments included in carrying amount (b)</w:t>
            </w:r>
          </w:p>
        </w:tc>
        <w:tc>
          <w:tcPr>
            <w:tcW w:w="1580" w:type="dxa"/>
            <w:vAlign w:val="bottom"/>
          </w:tcPr>
          <w:p>
            <w:pPr>
              <w:spacing w:after="0"/>
              <w:rPr>
                <w:sz w:val="16"/>
                <w:szCs w:val="16"/>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w:t>
            </w:r>
          </w:p>
        </w:tc>
        <w:tc>
          <w:tcPr>
            <w:tcW w:w="300" w:type="dxa"/>
            <w:vAlign w:val="bottom"/>
          </w:tcPr>
          <w:p>
            <w:pPr>
              <w:spacing w:after="0"/>
              <w:rPr>
                <w:sz w:val="16"/>
                <w:szCs w:val="16"/>
                <w:color w:val="auto"/>
              </w:rPr>
            </w:pP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46</w:t>
            </w:r>
          </w:p>
        </w:tc>
      </w:tr>
      <w:tr>
        <w:trPr>
          <w:trHeight w:val="20"/>
        </w:trPr>
        <w:tc>
          <w:tcPr>
            <w:tcW w:w="5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4"/>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5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r>
      <w:tr>
        <w:trPr>
          <w:trHeight w:val="184"/>
        </w:trPr>
        <w:tc>
          <w:tcPr>
            <w:tcW w:w="5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Carrying amount (a)</w:t>
            </w:r>
          </w:p>
        </w:tc>
        <w:tc>
          <w:tcPr>
            <w:tcW w:w="1580" w:type="dxa"/>
            <w:vAlign w:val="bottom"/>
          </w:tcPr>
          <w:p>
            <w:pPr>
              <w:spacing w:after="0"/>
              <w:rPr>
                <w:sz w:val="16"/>
                <w:szCs w:val="16"/>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w:t>
            </w:r>
          </w:p>
        </w:tc>
        <w:tc>
          <w:tcPr>
            <w:tcW w:w="300" w:type="dxa"/>
            <w:vAlign w:val="bottom"/>
          </w:tcPr>
          <w:p>
            <w:pPr>
              <w:spacing w:after="0"/>
              <w:rPr>
                <w:sz w:val="16"/>
                <w:szCs w:val="16"/>
                <w:color w:val="auto"/>
              </w:rPr>
            </w:pP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w:t>
            </w:r>
          </w:p>
        </w:tc>
      </w:tr>
      <w:tr>
        <w:trPr>
          <w:trHeight w:val="20"/>
        </w:trPr>
        <w:tc>
          <w:tcPr>
            <w:tcW w:w="5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4"/>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Amount of future funding commitments included in carrying amount</w:t>
            </w:r>
          </w:p>
        </w:tc>
        <w:tc>
          <w:tcPr>
            <w:tcW w:w="15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1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Included in Accrued interest and other assets in the Company's Consolidated Balance Sheet.</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1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Included in Accrued interest and other liabilities in the Company's Consolidated Balance Sheet.</w:t>
      </w:r>
    </w:p>
    <w:p>
      <w:pPr>
        <w:spacing w:after="0" w:line="22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reduction to income tax expense recognized from the Company's investments in partnerships accounted for using the proportional amortization method was $9 million (net of $49 million of investment amortization) and $10 million (net of $47 million of investment amortization) for the three months ended September 30, 2025 and 2024, respectively, and $29 million (net of $138 million of investment amortization) and $25 million (net of $135 million of investment amortization) for the nine months ended September 30, 2025 and 2024, respectively. The net reduction to income tax expense has been reported in Net change in other accrued income and expense in the Company's Consolidated Statement of Cash Flows. While the Company has elected to apply the proportional amortization method for renewable energy credit investments, at September 30, 2025 no such investments met the eligibility criteria for application of that method. The reduction to income tax expense recognized from renewable energy credit investments was $1 million and $13 million for the three-month and nine-month periods ended September 30, 2025, respectively, and $8 million and $28 million for the three-month and nine-month periods ended September 30, 2024, respectively.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 has not provided financial or other support to the partnerships that was not contractually required. Although the Company currently estimates that no material losses are probable, its maximum exposure to loss from its investments in such partnerships as of September 30, 2025 was $2.2 billion, including possible recapture of certain tax credits.</w:t>
      </w:r>
    </w:p>
    <w:p>
      <w:pPr>
        <w:spacing w:after="0" w:line="7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01" w:right="6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GAAP permits an entity to choose to measure eligible financial instruments and other items at fair value. The Company has not made any fair value elections at September 30, 2025.</w:t>
      </w:r>
    </w:p>
    <w:p>
      <w:pPr>
        <w:spacing w:after="0" w:line="4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56" w:lineRule="exact"/>
        <w:rPr>
          <w:sz w:val="20"/>
          <w:szCs w:val="20"/>
          <w:color w:val="auto"/>
        </w:rPr>
      </w:pPr>
    </w:p>
    <w:p>
      <w:pPr>
        <w:ind w:left="780" w:hanging="378"/>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on quoted prices in active markets for identical assets and liabilities.</w:t>
      </w:r>
    </w:p>
    <w:p>
      <w:pPr>
        <w:spacing w:after="0" w:line="105" w:lineRule="exact"/>
        <w:rPr>
          <w:rFonts w:ascii="Times New Roman" w:cs="Times New Roman" w:eastAsia="Times New Roman" w:hAnsi="Times New Roman"/>
          <w:sz w:val="18"/>
          <w:szCs w:val="18"/>
          <w:color w:val="auto"/>
        </w:rPr>
      </w:pPr>
    </w:p>
    <w:p>
      <w:pPr>
        <w:jc w:val="both"/>
        <w:ind w:left="780" w:right="20" w:hanging="378"/>
        <w:spacing w:after="0" w:line="266"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55" w:lineRule="exact"/>
        <w:rPr>
          <w:rFonts w:ascii="Times New Roman" w:cs="Times New Roman" w:eastAsia="Times New Roman" w:hAnsi="Times New Roman"/>
          <w:sz w:val="18"/>
          <w:szCs w:val="18"/>
          <w:color w:val="auto"/>
        </w:rPr>
      </w:pPr>
    </w:p>
    <w:p>
      <w:pPr>
        <w:jc w:val="both"/>
        <w:ind w:left="780" w:hanging="378"/>
        <w:spacing w:after="0" w:line="266"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A description of the valuation methodologies used for the Company's assets and liabilities that are measured at estimated fair value on a recurring basis and on a nonrecurring basis is included in note 19 of Notes to Financial Statements in M&amp;T's 2024 Annual Report.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05" w:right="66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13. Fair value measurements, continued</w:t>
      </w:r>
    </w:p>
    <w:p>
      <w:pPr>
        <w:spacing w:after="0" w:line="200" w:lineRule="exact"/>
        <w:rPr>
          <w:sz w:val="20"/>
          <w:szCs w:val="20"/>
          <w:color w:val="auto"/>
        </w:rPr>
      </w:pPr>
    </w:p>
    <w:p>
      <w:pPr>
        <w:spacing w:after="0" w:line="26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assets and liabilities at September 30, 2025 and December 31, 2024 measured at estimated fair value on a recurring basis: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60" w:type="dxa"/>
            <w:vAlign w:val="bottom"/>
          </w:tcPr>
          <w:p>
            <w:pPr>
              <w:spacing w:after="0"/>
              <w:rPr>
                <w:sz w:val="15"/>
                <w:szCs w:val="15"/>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Measurements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Level 3 (a)</w:t>
            </w:r>
          </w:p>
        </w:tc>
        <w:tc>
          <w:tcPr>
            <w:tcW w:w="0" w:type="dxa"/>
            <w:vAlign w:val="bottom"/>
          </w:tcPr>
          <w:p>
            <w:pPr>
              <w:spacing w:after="0"/>
              <w:rPr>
                <w:sz w:val="1"/>
                <w:szCs w:val="1"/>
                <w:color w:val="auto"/>
              </w:rPr>
            </w:pPr>
          </w:p>
        </w:tc>
      </w:tr>
      <w:tr>
        <w:trPr>
          <w:trHeight w:val="176"/>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Trading account</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95</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 for sale:</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4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U.S. Treasury</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6,620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44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44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Government issued or guaranteed:</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44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Commercial</w:t>
            </w: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4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Residential</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11,680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44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23,163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23,163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Equity securities</w:t>
            </w:r>
          </w:p>
        </w:tc>
        <w:tc>
          <w:tcPr>
            <w:tcW w:w="160" w:type="dxa"/>
            <w:vAlign w:val="bottom"/>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 loans held for sale</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605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Other assets (b)</w:t>
            </w:r>
          </w:p>
        </w:tc>
        <w:tc>
          <w:tcPr>
            <w:tcW w:w="160" w:type="dxa"/>
            <w:vAlign w:val="bottom"/>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24,374</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24,016</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3"/>
                <w:szCs w:val="13"/>
                <w:color w:val="auto"/>
              </w:rPr>
              <w:t>Other liabilities (b)</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60" w:type="dxa"/>
            <w:vAlign w:val="bottom"/>
            <w:gridSpan w:val="4"/>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480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480</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5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Trading account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 for sale:</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44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U.S. Treasury</w:t>
            </w: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7,931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4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44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Government issued or guaranteed: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44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Commercial</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3,702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44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Residential</w:t>
            </w:r>
          </w:p>
        </w:tc>
        <w:tc>
          <w:tcPr>
            <w:tcW w:w="16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7,214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4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18,849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Real estate loans held for sale</w:t>
            </w:r>
          </w:p>
        </w:tc>
        <w:tc>
          <w:tcPr>
            <w:tcW w:w="160" w:type="dxa"/>
            <w:vAlign w:val="bottom"/>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 (b)</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4"/>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19,961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 (b)</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822</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84"/>
        </w:trPr>
        <w:tc>
          <w:tcPr>
            <w:tcW w:w="54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822</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jc w:val="both"/>
        <w:ind w:left="400" w:hanging="394"/>
        <w:spacing w:after="0" w:line="250" w:lineRule="auto"/>
        <w:tabs>
          <w:tab w:leader="none" w:pos="412" w:val="left"/>
        </w:tabs>
        <w:numPr>
          <w:ilvl w:val="0"/>
          <w:numId w:val="1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Significant unobservable inputs used in the fair value measurement of certain commitments to originate real estate loans held for sale included weighted-average commitment expirations of 26% at September 30, 2025 and 6% at December 31, 2024. 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ind w:left="400" w:hanging="394"/>
        <w:spacing w:after="0" w:line="263" w:lineRule="auto"/>
        <w:tabs>
          <w:tab w:leader="none" w:pos="412" w:val="left"/>
        </w:tabs>
        <w:numPr>
          <w:ilvl w:val="0"/>
          <w:numId w:val="1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Comprised predominantly of interest rate swap agreements used for interest rate risk management (Level 2), interest rate and foreign exchange contracts not designated as hedging instruments (Level 2), commitments to sell real estate loans (Level 2) and commitments to originate real estate loans to be held for sale (Level 2 and Level 3).</w:t>
      </w:r>
    </w:p>
    <w:p>
      <w:pPr>
        <w:spacing w:after="0" w:line="200" w:lineRule="exact"/>
        <w:rPr>
          <w:rFonts w:ascii="Times New Roman" w:cs="Times New Roman" w:eastAsia="Times New Roman" w:hAnsi="Times New Roman"/>
          <w:sz w:val="13"/>
          <w:szCs w:val="13"/>
          <w:i w:val="1"/>
          <w:iCs w:val="1"/>
          <w:color w:val="auto"/>
        </w:rPr>
      </w:pPr>
    </w:p>
    <w:p>
      <w:pPr>
        <w:spacing w:after="0" w:line="393" w:lineRule="exact"/>
        <w:rPr>
          <w:rFonts w:ascii="Times New Roman" w:cs="Times New Roman" w:eastAsia="Times New Roman" w:hAnsi="Times New Roman"/>
          <w:sz w:val="13"/>
          <w:szCs w:val="13"/>
          <w:i w:val="1"/>
          <w:iCs w:val="1"/>
          <w:color w:val="auto"/>
        </w:rPr>
      </w:pPr>
    </w:p>
    <w:p>
      <w:pPr>
        <w:ind w:left="5220" w:hanging="95"/>
        <w:spacing w:after="0"/>
        <w:tabs>
          <w:tab w:leader="none" w:pos="52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01" w:right="66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13. Fair value measurements, continued</w:t>
      </w:r>
    </w:p>
    <w:p>
      <w:pPr>
        <w:spacing w:after="0" w:line="200" w:lineRule="exact"/>
        <w:rPr>
          <w:sz w:val="20"/>
          <w:szCs w:val="20"/>
          <w:color w:val="auto"/>
        </w:rPr>
      </w:pPr>
    </w:p>
    <w:p>
      <w:pPr>
        <w:spacing w:after="0" w:line="26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Loans subject to nonrecurring fair value measurement were $577 million at September 30, 2025 ($283 million and $294 million of which were classified as Level 2 and Level 3, respectively), $847 million at December 31, 2024 ($187 million and $660 million of which were classified as Level 2 and Level 3, respectively) and $805 million at September 30, 2024 ($159 million and $646 million of which were classified as Level 2 and Level 3, respectively). Changes in fair value recognized for partial charge-offs of loans and loan impairment reserves on loans held by the Company on September 30, 2025 were decreases of $67 million and $154 million for the three-month and nine-month periods ended September 30, 2025, respectively. Changes in fair value recognized for partial charge-offs of loans and loan impairment reserves on loans held by the Company on September 30, 2024 were decreases of $81 million and $204 million for the three-month and nine-month periods ended September 30, 2024,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servicing rights</w:t>
      </w:r>
    </w:p>
    <w:p>
      <w:pPr>
        <w:spacing w:after="0" w:line="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Capitalized servicing rights related to mortgage loans required no valuation allowance at each of September 30, 2025, December 31, 2024 and September 30,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Disclosures of fair value of financial instruments</w:t>
      </w:r>
    </w:p>
    <w:p>
      <w:pPr>
        <w:spacing w:after="0" w:line="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carrying amounts and estimated fair value for certain financial instruments that are not recorded at fair value in the Company's Consolidated Balance Sheet are presented in the following table: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Pr>
          <w:p>
            <w:pPr>
              <w:spacing w:after="0"/>
              <w:rPr>
                <w:sz w:val="13"/>
                <w:szCs w:val="13"/>
                <w:color w:val="auto"/>
              </w:rPr>
            </w:pP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580" w:type="dxa"/>
            <w:vAlign w:val="bottom"/>
          </w:tcPr>
          <w:p>
            <w:pPr>
              <w:spacing w:after="0"/>
              <w:rPr>
                <w:sz w:val="15"/>
                <w:szCs w:val="15"/>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5"/>
                <w:szCs w:val="15"/>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tcPr>
          <w:p>
            <w:pPr>
              <w:spacing w:after="0"/>
              <w:rPr>
                <w:sz w:val="15"/>
                <w:szCs w:val="15"/>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80" w:type="dxa"/>
            <w:vAlign w:val="bottom"/>
          </w:tcPr>
          <w:p>
            <w:pPr>
              <w:spacing w:after="0"/>
              <w:rPr>
                <w:sz w:val="15"/>
                <w:szCs w:val="15"/>
                <w:color w:val="auto"/>
              </w:rPr>
            </w:pPr>
          </w:p>
        </w:tc>
        <w:tc>
          <w:tcPr>
            <w:tcW w:w="8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76"/>
        </w:trPr>
        <w:tc>
          <w:tcPr>
            <w:tcW w:w="20" w:type="dxa"/>
            <w:vAlign w:val="bottom"/>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Financial assets: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1,950</w:t>
            </w:r>
          </w:p>
        </w:tc>
        <w:tc>
          <w:tcPr>
            <w:tcW w:w="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1,811</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0" w:type="dxa"/>
            <w:vAlign w:val="bottom"/>
          </w:tcPr>
          <w:p>
            <w:pPr>
              <w:spacing w:after="0"/>
              <w:rPr>
                <w:sz w:val="16"/>
                <w:szCs w:val="16"/>
                <w:color w:val="auto"/>
              </w:rPr>
            </w:pP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Interest-bearing deposits at banks</w:t>
            </w:r>
          </w:p>
        </w:tc>
        <w:tc>
          <w:tcPr>
            <w:tcW w:w="1580" w:type="dxa"/>
            <w:vAlign w:val="bottom"/>
          </w:tcPr>
          <w:p>
            <w:pPr>
              <w:spacing w:after="0"/>
              <w:rPr>
                <w:sz w:val="16"/>
                <w:szCs w:val="16"/>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16,751</w:t>
            </w:r>
          </w:p>
        </w:tc>
        <w:tc>
          <w:tcPr>
            <w:tcW w:w="22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16,751</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16,751</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 securities held to maturity</w:t>
            </w:r>
          </w:p>
        </w:tc>
        <w:tc>
          <w:tcPr>
            <w:tcW w:w="15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12,711</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11,924</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11,879</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84"/>
        </w:trPr>
        <w:tc>
          <w:tcPr>
            <w:tcW w:w="20" w:type="dxa"/>
            <w:vAlign w:val="bottom"/>
          </w:tcPr>
          <w:p>
            <w:pPr>
              <w:spacing w:after="0"/>
              <w:rPr>
                <w:sz w:val="16"/>
                <w:szCs w:val="16"/>
                <w:color w:val="auto"/>
              </w:rPr>
            </w:pP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Loans, net</w:t>
            </w:r>
          </w:p>
        </w:tc>
        <w:tc>
          <w:tcPr>
            <w:tcW w:w="1580" w:type="dxa"/>
            <w:vAlign w:val="bottom"/>
          </w:tcPr>
          <w:p>
            <w:pPr>
              <w:spacing w:after="0"/>
              <w:rPr>
                <w:sz w:val="16"/>
                <w:szCs w:val="16"/>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134,813</w:t>
            </w:r>
          </w:p>
        </w:tc>
        <w:tc>
          <w:tcPr>
            <w:tcW w:w="22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134,595</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7,113</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127,482</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Financial liabilities:</w:t>
            </w:r>
          </w:p>
        </w:tc>
        <w:tc>
          <w:tcPr>
            <w:tcW w:w="15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Time deposits</w:t>
            </w:r>
          </w:p>
        </w:tc>
        <w:tc>
          <w:tcPr>
            <w:tcW w:w="1580" w:type="dxa"/>
            <w:vAlign w:val="bottom"/>
          </w:tcPr>
          <w:p>
            <w:pPr>
              <w:spacing w:after="0"/>
              <w:rPr>
                <w:sz w:val="16"/>
                <w:szCs w:val="16"/>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13,620</w:t>
            </w:r>
          </w:p>
        </w:tc>
        <w:tc>
          <w:tcPr>
            <w:tcW w:w="22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13,591</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13,591</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Short-term borrowings</w:t>
            </w:r>
          </w:p>
        </w:tc>
        <w:tc>
          <w:tcPr>
            <w:tcW w:w="15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2,059</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2,059</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2,059</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0" w:type="dxa"/>
            <w:vAlign w:val="bottom"/>
          </w:tcPr>
          <w:p>
            <w:pPr>
              <w:spacing w:after="0"/>
              <w:rPr>
                <w:sz w:val="16"/>
                <w:szCs w:val="16"/>
                <w:color w:val="auto"/>
              </w:rPr>
            </w:pP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Long-term borrowings</w:t>
            </w:r>
          </w:p>
        </w:tc>
        <w:tc>
          <w:tcPr>
            <w:tcW w:w="1580" w:type="dxa"/>
            <w:vAlign w:val="bottom"/>
          </w:tcPr>
          <w:p>
            <w:pPr>
              <w:spacing w:after="0"/>
              <w:rPr>
                <w:sz w:val="16"/>
                <w:szCs w:val="16"/>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12,928</w:t>
            </w:r>
          </w:p>
        </w:tc>
        <w:tc>
          <w:tcPr>
            <w:tcW w:w="22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13,163</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13,163</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Financial assets:</w:t>
            </w:r>
          </w:p>
        </w:tc>
        <w:tc>
          <w:tcPr>
            <w:tcW w:w="15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580" w:type="dxa"/>
            <w:vAlign w:val="bottom"/>
          </w:tcPr>
          <w:p>
            <w:pPr>
              <w:spacing w:after="0"/>
              <w:rPr>
                <w:sz w:val="16"/>
                <w:szCs w:val="16"/>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1,909</w:t>
            </w:r>
          </w:p>
        </w:tc>
        <w:tc>
          <w:tcPr>
            <w:tcW w:w="22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1,909</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Interest-bearing deposits at banks</w:t>
            </w:r>
          </w:p>
        </w:tc>
        <w:tc>
          <w:tcPr>
            <w:tcW w:w="15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18,873</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18,873</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18,873</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0" w:type="dxa"/>
            <w:vAlign w:val="bottom"/>
          </w:tcPr>
          <w:p>
            <w:pPr>
              <w:spacing w:after="0"/>
              <w:rPr>
                <w:sz w:val="16"/>
                <w:szCs w:val="16"/>
                <w:color w:val="auto"/>
              </w:rPr>
            </w:pP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Investment securities held to maturity</w:t>
            </w:r>
          </w:p>
        </w:tc>
        <w:tc>
          <w:tcPr>
            <w:tcW w:w="1580" w:type="dxa"/>
            <w:vAlign w:val="bottom"/>
          </w:tcPr>
          <w:p>
            <w:pPr>
              <w:spacing w:after="0"/>
              <w:rPr>
                <w:sz w:val="16"/>
                <w:szCs w:val="16"/>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14,195</w:t>
            </w:r>
          </w:p>
        </w:tc>
        <w:tc>
          <w:tcPr>
            <w:tcW w:w="22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12,955</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12,909</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Loans, net</w:t>
            </w:r>
          </w:p>
        </w:tc>
        <w:tc>
          <w:tcPr>
            <w:tcW w:w="15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133,397</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131,334</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6,806</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124,528</w:t>
            </w:r>
          </w:p>
        </w:tc>
      </w:tr>
      <w:tr>
        <w:trPr>
          <w:trHeight w:val="184"/>
        </w:trPr>
        <w:tc>
          <w:tcPr>
            <w:tcW w:w="2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Financial liabilities:</w:t>
            </w:r>
          </w:p>
        </w:tc>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Time deposits</w:t>
            </w:r>
          </w:p>
        </w:tc>
        <w:tc>
          <w:tcPr>
            <w:tcW w:w="15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14,476</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14,463</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14,463</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0" w:type="dxa"/>
            <w:vAlign w:val="bottom"/>
          </w:tcPr>
          <w:p>
            <w:pPr>
              <w:spacing w:after="0"/>
              <w:rPr>
                <w:sz w:val="16"/>
                <w:szCs w:val="16"/>
                <w:color w:val="auto"/>
              </w:rPr>
            </w:pPr>
          </w:p>
        </w:tc>
        <w:tc>
          <w:tcPr>
            <w:tcW w:w="35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Short-term borrowings</w:t>
            </w:r>
          </w:p>
        </w:tc>
        <w:tc>
          <w:tcPr>
            <w:tcW w:w="1580" w:type="dxa"/>
            <w:vAlign w:val="bottom"/>
          </w:tcPr>
          <w:p>
            <w:pPr>
              <w:spacing w:after="0"/>
              <w:rPr>
                <w:sz w:val="16"/>
                <w:szCs w:val="16"/>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1,060</w:t>
            </w:r>
          </w:p>
        </w:tc>
        <w:tc>
          <w:tcPr>
            <w:tcW w:w="22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1,060</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1,060</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Long-term borrowings</w:t>
            </w:r>
          </w:p>
        </w:tc>
        <w:tc>
          <w:tcPr>
            <w:tcW w:w="15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12,605</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12,754</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12,754</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01" w:right="6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13. Fair value measurements, continued</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With the exception of marketable securities and mortgage loans originated for sale, the Company’s financial instruments presented in the preceding tables are not readily marketable and market prices do not exist. Generally, the Company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various commitments and contingent liabilities are outstanding. The following table presents the Company's significant credit-related commitments. Certain of these commitments are not included in the Company's Consolidated Balance Sheet.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3"/>
                <w:szCs w:val="13"/>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4"/>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780" w:type="dxa"/>
            <w:vAlign w:val="bottom"/>
          </w:tcPr>
          <w:p>
            <w:pPr>
              <w:spacing w:after="0"/>
              <w:rPr>
                <w:sz w:val="15"/>
                <w:szCs w:val="15"/>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5"/>
                <w:szCs w:val="15"/>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4"/>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to extend credit:</w:t>
            </w:r>
          </w:p>
        </w:tc>
        <w:tc>
          <w:tcPr>
            <w:tcW w:w="2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35,781</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31,521</w:t>
            </w:r>
          </w:p>
        </w:tc>
      </w:tr>
      <w:tr>
        <w:trPr>
          <w:trHeight w:val="184"/>
        </w:trPr>
        <w:tc>
          <w:tcPr>
            <w:tcW w:w="5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Commercial real estate loans to be sold</w:t>
            </w:r>
          </w:p>
        </w:tc>
        <w:tc>
          <w:tcPr>
            <w:tcW w:w="2780" w:type="dxa"/>
            <w:vAlign w:val="bottom"/>
          </w:tcPr>
          <w:p>
            <w:pPr>
              <w:spacing w:after="0"/>
              <w:rPr>
                <w:sz w:val="16"/>
                <w:szCs w:val="16"/>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1,074</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r>
      <w:tr>
        <w:trPr>
          <w:trHeight w:val="20"/>
        </w:trPr>
        <w:tc>
          <w:tcPr>
            <w:tcW w:w="5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commercial real estate</w:t>
            </w:r>
          </w:p>
        </w:tc>
        <w:tc>
          <w:tcPr>
            <w:tcW w:w="27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1,956</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w:t>
            </w:r>
          </w:p>
        </w:tc>
      </w:tr>
      <w:tr>
        <w:trPr>
          <w:trHeight w:val="184"/>
        </w:trPr>
        <w:tc>
          <w:tcPr>
            <w:tcW w:w="5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Residential real estate loans to be sold</w:t>
            </w:r>
          </w:p>
        </w:tc>
        <w:tc>
          <w:tcPr>
            <w:tcW w:w="278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329</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20"/>
        </w:trPr>
        <w:tc>
          <w:tcPr>
            <w:tcW w:w="5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residential real estate</w:t>
            </w:r>
          </w:p>
        </w:tc>
        <w:tc>
          <w:tcPr>
            <w:tcW w:w="27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757</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r>
      <w:tr>
        <w:trPr>
          <w:trHeight w:val="184"/>
        </w:trPr>
        <w:tc>
          <w:tcPr>
            <w:tcW w:w="5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2780" w:type="dxa"/>
            <w:vAlign w:val="bottom"/>
          </w:tcPr>
          <w:p>
            <w:pPr>
              <w:spacing w:after="0"/>
              <w:rPr>
                <w:sz w:val="16"/>
                <w:szCs w:val="16"/>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7,906</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7,933</w:t>
            </w:r>
          </w:p>
        </w:tc>
      </w:tr>
      <w:tr>
        <w:trPr>
          <w:trHeight w:val="20"/>
        </w:trPr>
        <w:tc>
          <w:tcPr>
            <w:tcW w:w="5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Credit cards</w:t>
            </w:r>
          </w:p>
        </w:tc>
        <w:tc>
          <w:tcPr>
            <w:tcW w:w="27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6,486</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6,087</w:t>
            </w:r>
          </w:p>
        </w:tc>
      </w:tr>
      <w:tr>
        <w:trPr>
          <w:trHeight w:val="184"/>
        </w:trPr>
        <w:tc>
          <w:tcPr>
            <w:tcW w:w="5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278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364</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r>
      <w:tr>
        <w:trPr>
          <w:trHeight w:val="20"/>
        </w:trPr>
        <w:tc>
          <w:tcPr>
            <w:tcW w:w="5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Standby letters of credit</w:t>
            </w:r>
          </w:p>
        </w:tc>
        <w:tc>
          <w:tcPr>
            <w:tcW w:w="27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2,271</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2,260</w:t>
            </w:r>
          </w:p>
        </w:tc>
      </w:tr>
      <w:tr>
        <w:trPr>
          <w:trHeight w:val="184"/>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letters of credit</w:t>
            </w:r>
          </w:p>
        </w:tc>
        <w:tc>
          <w:tcPr>
            <w:tcW w:w="2780" w:type="dxa"/>
            <w:vAlign w:val="bottom"/>
          </w:tcPr>
          <w:p>
            <w:pPr>
              <w:spacing w:after="0"/>
              <w:rPr>
                <w:sz w:val="16"/>
                <w:szCs w:val="16"/>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75</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20"/>
        </w:trPr>
        <w:tc>
          <w:tcPr>
            <w:tcW w:w="5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guarantees and indemnification contracts</w:t>
            </w:r>
          </w:p>
        </w:tc>
        <w:tc>
          <w:tcPr>
            <w:tcW w:w="27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4,552</w:t>
            </w: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4,335</w:t>
            </w:r>
          </w:p>
        </w:tc>
      </w:tr>
      <w:tr>
        <w:trPr>
          <w:trHeight w:val="184"/>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to sell real estate loans</w:t>
            </w:r>
          </w:p>
        </w:tc>
        <w:tc>
          <w:tcPr>
            <w:tcW w:w="2780" w:type="dxa"/>
            <w:vAlign w:val="bottom"/>
          </w:tcPr>
          <w:p>
            <w:pPr>
              <w:spacing w:after="0"/>
              <w:rPr>
                <w:sz w:val="16"/>
                <w:szCs w:val="16"/>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1,868</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w:t>
            </w:r>
          </w:p>
        </w:tc>
      </w:tr>
    </w:tbl>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Commitments to extend credit are agreements to lend to customers and generally have fixed expiration dates or other termination clauses that may require payment of a fee. In addition to the amounts presented in the preceding table, the Company had discretionary funding commitments to commercial customers of $12.8 billion and $12.7 billion at September 30, 2025 and December 31, 2024,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01" w:right="66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 continued</w:t>
      </w:r>
    </w:p>
    <w:p>
      <w:pPr>
        <w:spacing w:after="0" w:line="3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$4.4 billion and $4.2 billion at September 30, 2025 and December 31, 2024, respectively.</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many loan commitments, standby letters of credit, and guarantees and indemnification contracts expire without being funded in whole or in part, the contract amounts are not necessarily indicative of future cash flows. As disclosed in note 4, the Company maintains a reserve for unfunded credit commitments, which is included in Accrued interest and other liabilities in its Consolidated Balance Sheet, for estimated credit losses related to such contracts.</w:t>
      </w:r>
    </w:p>
    <w:p>
      <w:pPr>
        <w:spacing w:after="0" w:line="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utilizes commitments to sell real estate loans to hedge exposure to changes in the fair value of real estate loans held for sale. Such commitments are accounted for as derivatives and along with commitments to originate real estate loans to be held for sale are recorded in the Company's Consolidated Balance Sheet at estimated fair market value.</w:t>
      </w:r>
    </w:p>
    <w:p>
      <w:pPr>
        <w:spacing w:after="0" w:line="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September 30, 2025, the Company's estimated obligation to loan purchasers was not material to the Company’s consolidated financial position.</w:t>
      </w:r>
    </w:p>
    <w:p>
      <w:pPr>
        <w:spacing w:after="0" w:line="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At September 30, 2025 and December 31, 2024, the Company's remaining liability related to the FDIC special assessment was $75 million and $157 million, respectively. Such amounts are classified as Accrued interest and other liabilities in the Company's Consolidated Balance Sheet. During the third quarter of 2025, the Company recorded a reduction of FDIC special assessment expense of $8 million related to the FDIC's updated loss estimates associated with certain failed banks. For the nine months ended September 30, 2024, the Company recognized $34 million of FDIC special assessment expense. The FDIC has indicated that the amount of the special assessment may be adjusted in the future as its loss estimates change.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matters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Although not considered probable, the range of reasonably possible losses for pending or threatened litigation that can be estimated in the aggregate, beyond the existing recorded liability, was between $0 and $25 million at September 30, 2025.</w:t>
      </w:r>
    </w:p>
    <w:p>
      <w:pPr>
        <w:spacing w:after="0" w:line="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following matter the Company does not believe an estimate of loss can be made at the date of this filing and, therefore, has not included any amount related thereto in its consolidated financial statements or in the estimated range of reasonably possible losses provided in the preceding paragraph.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Wilmington Trust, N.A.</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September 10, 2025, Tricolor Holdings, LLC, a subprime auto lender and used vehicle retailer which packaged loans into asset-backed securitizations, filed for Chapter 7 bankruptcy seeking to liquidate its business. Certain financial institutions have reported credit impairments in the third quarter of 2025 related to alleged fraudulent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 continued</w:t>
      </w:r>
    </w:p>
    <w:p>
      <w:pPr>
        <w:spacing w:after="0" w:line="2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activity with respect to Tricolor Holdings, LLC asset-backed financing arrangements. It has also been reported that the U.S. Department of Justice is investigating the conduct of Tricolor Holdings, LLC, including potential double pledging of collateral. Neither Wilmington Trust, N.A. nor M&amp;T Bank have any loans or loan commitments outstanding to Tricolor Holdings, LLC.</w:t>
      </w:r>
    </w:p>
    <w:p>
      <w:pPr>
        <w:spacing w:after="0" w:line="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Wilmington Trust, N.A. served in certain corporate custodian and trust capacities for multiple Tricolor Holdings, LLC warehouse facilities and asset-backed securitization transactions from 2018 through 2025. Such capacities varied from transaction to transaction and were generally service provider roles performed under the relevant transaction documents. In response to recent events, Wilmington Trust, N.A. is in the process of reviewing the transactions.</w:t>
      </w:r>
    </w:p>
    <w:p>
      <w:pPr>
        <w:spacing w:after="0" w:line="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facts and circumstances of the Tricolor Holdings, LLC bankruptcy and its alleged fraudulent activities are still being learned and the extent of damages, if any, to parties participating in the warehouse facilities and asset-backed securitization transactions are not known. </w:t>
      </w:r>
      <w:r>
        <w:rPr>
          <w:rFonts w:ascii="Times New Roman" w:cs="Times New Roman" w:eastAsia="Times New Roman" w:hAnsi="Times New Roman"/>
          <w:sz w:val="19"/>
          <w:szCs w:val="19"/>
          <w:color w:val="auto"/>
        </w:rPr>
        <w:t>T</w:t>
      </w:r>
      <w:r>
        <w:rPr>
          <w:rFonts w:ascii="Times New Roman" w:cs="Times New Roman" w:eastAsia="Times New Roman" w:hAnsi="Times New Roman"/>
          <w:sz w:val="18"/>
          <w:szCs w:val="18"/>
          <w:color w:val="auto"/>
        </w:rPr>
        <w:t>he Company believes it is probable that litigation will arise as a result of these events, but at the current time it is not possible to estimate any potential legal or other liability of Wilmington Trust, N.A. as a result of its capacities in the warehouse facilities and asset-backed securitization transactions.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Reportable segments have been determined based upon the Company’s organizational structure which is primarily arranged around the delivery of products and services to similar customer types. The Company's internal profitability reporting system produces financial information, inclusive of net interest income and income before taxes, for each segment. Such information is reviewed by the Company's Chief Executive Officer, who has been identified as the chief operating decision maker, in evaluating operating decisions, business performance and the allocation of resources. The Company's reportable segments are Commercial Bank, Retail Bank and Institutional Services and Wealth Management.</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information of the Company's segments was compiled utilizing the accounting policies described in note 21 of Notes to Financial Statements in M&amp;T's 2024 Annual Report. 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the Company's reportable segments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w w:val="98"/>
              </w:rPr>
              <w:t>Three Months Ended September 30,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6"/>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Institutional Services and Wealth</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Commercial Bank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Retail Bank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Management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Total (c)</w:t>
            </w:r>
          </w:p>
        </w:tc>
        <w:tc>
          <w:tcPr>
            <w:tcW w:w="560" w:type="dxa"/>
            <w:vAlign w:val="bottom"/>
          </w:tcPr>
          <w:p>
            <w:pPr>
              <w:spacing w:after="0"/>
              <w:rPr>
                <w:sz w:val="12"/>
                <w:szCs w:val="12"/>
                <w:color w:val="auto"/>
              </w:rPr>
            </w:pPr>
          </w:p>
        </w:tc>
      </w:tr>
      <w:tr>
        <w:trPr>
          <w:trHeight w:val="170"/>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6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income (a)</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551</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1,087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163</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1,761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1,726</w:t>
            </w:r>
          </w:p>
        </w:tc>
      </w:tr>
      <w:tr>
        <w:trPr>
          <w:trHeight w:val="16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 income</w:t>
            </w:r>
          </w:p>
        </w:tc>
        <w:tc>
          <w:tcPr>
            <w:tcW w:w="1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revenue</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1,292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2,332</w:t>
            </w:r>
          </w:p>
        </w:tc>
      </w:tr>
      <w:tr>
        <w:trPr>
          <w:trHeight w:val="16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w:t>
            </w:r>
          </w:p>
        </w:tc>
      </w:tr>
      <w:tr>
        <w:trPr>
          <w:trHeight w:val="16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direct expenses</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w:t>
            </w:r>
          </w:p>
        </w:tc>
      </w:tr>
      <w:tr>
        <w:trPr>
          <w:trHeight w:val="16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Indirect expense (b)</w:t>
            </w:r>
          </w:p>
        </w:tc>
        <w:tc>
          <w:tcPr>
            <w:tcW w:w="1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(loss) before taxes</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909</w:t>
            </w:r>
          </w:p>
        </w:tc>
      </w:tr>
      <w:tr>
        <w:trPr>
          <w:trHeight w:val="16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r>
      <w:tr>
        <w:trPr>
          <w:trHeight w:val="19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446</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142</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Average total assets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78,227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80,434</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57,653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53,128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4,355</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3,898</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70,818</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72,121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211,053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209,581</w:t>
            </w:r>
          </w:p>
        </w:tc>
      </w:tr>
      <w:tr>
        <w:trPr>
          <w:trHeight w:val="20"/>
        </w:trPr>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7" w:right="66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15. Segment information,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w w:val="99"/>
              </w:rPr>
              <w:t>Nine Months Ended September 30,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6"/>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Institutional Services and Wealth</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Commercial Bank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Retail Bank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Management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Total (c)</w:t>
            </w:r>
          </w:p>
        </w:tc>
        <w:tc>
          <w:tcPr>
            <w:tcW w:w="560" w:type="dxa"/>
            <w:vAlign w:val="bottom"/>
          </w:tcPr>
          <w:p>
            <w:pPr>
              <w:spacing w:after="0"/>
              <w:rPr>
                <w:sz w:val="12"/>
                <w:szCs w:val="12"/>
                <w:color w:val="auto"/>
              </w:rPr>
            </w:pPr>
          </w:p>
        </w:tc>
      </w:tr>
      <w:tr>
        <w:trPr>
          <w:trHeight w:val="170"/>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6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income (a)</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1,599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1,652</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2,959</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3,248</w:t>
            </w:r>
          </w:p>
        </w:tc>
        <w:tc>
          <w:tcPr>
            <w:tcW w:w="2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500</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5,169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5,124</w:t>
            </w:r>
          </w:p>
        </w:tc>
      </w:tr>
      <w:tr>
        <w:trPr>
          <w:trHeight w:val="16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 income</w:t>
            </w:r>
          </w:p>
        </w:tc>
        <w:tc>
          <w:tcPr>
            <w:tcW w:w="1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1,770</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revenue</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2,186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2,139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1,178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6,894</w:t>
            </w:r>
          </w:p>
        </w:tc>
      </w:tr>
      <w:tr>
        <w:trPr>
          <w:trHeight w:val="16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1,037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2,372</w:t>
            </w:r>
          </w:p>
        </w:tc>
      </w:tr>
      <w:tr>
        <w:trPr>
          <w:trHeight w:val="16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direct expenses</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1,245</w:t>
            </w:r>
          </w:p>
        </w:tc>
      </w:tr>
      <w:tr>
        <w:trPr>
          <w:trHeight w:val="16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Indirect expense (b)</w:t>
            </w:r>
          </w:p>
        </w:tc>
        <w:tc>
          <w:tcPr>
            <w:tcW w:w="1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(loss) before taxes</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884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1,837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2,428</w:t>
            </w:r>
          </w:p>
        </w:tc>
      </w:tr>
      <w:tr>
        <w:trPr>
          <w:trHeight w:val="16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w:t>
            </w:r>
          </w:p>
        </w:tc>
      </w:tr>
      <w:tr>
        <w:trPr>
          <w:trHeight w:val="19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645</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1,364</w:t>
            </w:r>
          </w:p>
        </w:tc>
        <w:tc>
          <w:tcPr>
            <w:tcW w:w="2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391</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2,092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1,907</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Average total assets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78,691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80,903</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56,022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52,771</w:t>
            </w:r>
          </w:p>
        </w:tc>
        <w:tc>
          <w:tcPr>
            <w:tcW w:w="2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4,244</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3,735</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70,932</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73,599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209,889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211,008</w:t>
            </w:r>
          </w:p>
        </w:tc>
      </w:tr>
      <w:tr>
        <w:trPr>
          <w:trHeight w:val="20"/>
        </w:trPr>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spacing w:after="0" w:line="29" w:lineRule="exact"/>
        <w:rPr>
          <w:sz w:val="20"/>
          <w:szCs w:val="20"/>
          <w:color w:val="auto"/>
        </w:rPr>
      </w:pPr>
    </w:p>
    <w:p>
      <w:pPr>
        <w:jc w:val="both"/>
        <w:ind w:left="400" w:hanging="394"/>
        <w:spacing w:after="0" w:line="256" w:lineRule="auto"/>
        <w:tabs>
          <w:tab w:leader="none" w:pos="412" w:val="left"/>
        </w:tabs>
        <w:numPr>
          <w:ilvl w:val="0"/>
          <w:numId w:val="2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Net interest income is the difference between actual taxable-equivalent interest earned on assets and interest paid on liabilities by a segment and a funding charge (credit) based on the Company's internal funds transfer and pricing methodology. Segments are charged a cost to fund any assets (e.g. loans) and are paid a funding credit for any funds provided (e.g. deposits). The taxable-equivalent adjustment aggregated to $12 million and $13 million for the three-month periods ended September 30, 2025 and 2024, respectively, and $33 million and $38 million for the nine-month periods ended September 30, 2025 and 2024, respectively, and is eliminated in "All Other" total revenues.</w:t>
      </w:r>
    </w:p>
    <w:p>
      <w:pPr>
        <w:spacing w:after="0" w:line="2" w:lineRule="exact"/>
        <w:rPr>
          <w:rFonts w:ascii="Times New Roman" w:cs="Times New Roman" w:eastAsia="Times New Roman" w:hAnsi="Times New Roman"/>
          <w:sz w:val="13"/>
          <w:szCs w:val="13"/>
          <w:i w:val="1"/>
          <w:iCs w:val="1"/>
          <w:color w:val="auto"/>
        </w:rPr>
      </w:pPr>
    </w:p>
    <w:p>
      <w:pPr>
        <w:ind w:left="400" w:right="40" w:hanging="394"/>
        <w:spacing w:after="0" w:line="250" w:lineRule="auto"/>
        <w:tabs>
          <w:tab w:leader="none" w:pos="412" w:val="left"/>
        </w:tabs>
        <w:numPr>
          <w:ilvl w:val="0"/>
          <w:numId w:val="2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Indirect expense represents centrally-allocated costs associated with data processing, risk management and other support services provided by the "All Other" category to the Commercial Bank, Retail Bank and Institutional Services and Wealth Management segments.</w:t>
      </w:r>
    </w:p>
    <w:p>
      <w:pPr>
        <w:ind w:left="400" w:hanging="394"/>
        <w:spacing w:after="0"/>
        <w:tabs>
          <w:tab w:leader="none" w:pos="400" w:val="left"/>
        </w:tabs>
        <w:numPr>
          <w:ilvl w:val="0"/>
          <w:numId w:val="2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Intersegment revenues and expenses were not material for the three-month and nine-month periods ended September 30, 2025 and 2024.</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Relationship with BLG and Bayview Financial</w:t>
      </w:r>
    </w:p>
    <w:p>
      <w:pPr>
        <w:spacing w:after="0" w:line="10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M&amp;T holds a 20% minority interest in BLG, a privately-held commercial mortgage company. That investment had no remaining carrying value at September 30, 2025 as a result of cumulative losses recognized and cash distributions received in prior years. Cash distributions now received from BLG are recognized as income by M&amp;T and included in Other revenues from operations in the Company's Consolidated Statement of Income. That income totaled $20 million in each of the three-month and nine-month periods ended September 30, 2025 and $25 million for the nine-month period ended September 30, 2024. There were no cash distributions received from BLG for the three-month period ended September 30, 2024.</w:t>
      </w:r>
    </w:p>
    <w:p>
      <w:pPr>
        <w:spacing w:after="0" w:line="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$907 million at September 30, 2025 and $1.0 billion at December 31, 2024. Revenues from those servicing rights were $1 million in each of the three-month periods ended September 30, 2025 and 2024, and $3 million and $4 million in the nine-month periods ended September 30, 2025 and 2024, respectively. The Company sub-services residential mortgage loans for Bayview Financial having outstanding principal balances of $161.8 billion and $111.5 billion at September 30, 2025 and December 31, 2024, respectively. Revenues earned for sub-servicing loans for Bayview Financial were $64 million and $29 million for the three-month periods ended September 30, 2025 and 2024, respectively, and $159 million and $92 million for the nine-month periods ended September 30, 2025 and 2024, respectively.</w:t>
      </w:r>
    </w:p>
    <w:p>
      <w:pPr>
        <w:spacing w:after="0" w:line="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also held $33 million and $37 million of mortgage-backed securities in its held-to-maturity portfolio at September 30, 2025 and December 31, 2024, respectively, that were securitized by Bayview Financial. The Company had various lending commitments to Bayview Financial totaling $1.0 billion at September 30, 2025, with $635 million and $404 million of outstanding balances at September 30, 2025 and December 31, 2024, respectively. Bayview Financial also maintained $4.4 billion and $2.2 billion of deposit balances with the Company at September 30, 2025 and December 31, 2024, respectively, inclusive of deposits related to loan servicing relationships.</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97" w:right="6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the consolidated financial statements and other information included in this Quarterly Report on Form 10-Q as well as with M&amp;T's 2024 Annual Report. Information regarding the Company's business, its supervision and regulation and potential risks and uncertainties that may affect the Company's business, financial condition, liquidity and results of operations are also included in the 2024 Annual Report.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results for the Company is provided 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FINANCIAL RESULTS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3"/>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00" w:type="dxa"/>
            <w:vAlign w:val="bottom"/>
          </w:tcPr>
          <w:p>
            <w:pPr>
              <w:spacing w:after="0"/>
              <w:rPr>
                <w:sz w:val="15"/>
                <w:szCs w:val="15"/>
                <w:color w:val="auto"/>
              </w:rPr>
            </w:pPr>
          </w:p>
        </w:tc>
        <w:tc>
          <w:tcPr>
            <w:tcW w:w="2160" w:type="dxa"/>
            <w:vAlign w:val="bottom"/>
            <w:gridSpan w:val="3"/>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tcPr>
          <w:p>
            <w:pPr>
              <w:spacing w:after="0"/>
              <w:rPr>
                <w:sz w:val="15"/>
                <w:szCs w:val="15"/>
                <w:color w:val="auto"/>
              </w:rPr>
            </w:pPr>
          </w:p>
        </w:tc>
      </w:tr>
      <w:tr>
        <w:trPr>
          <w:trHeight w:val="186"/>
        </w:trPr>
        <w:tc>
          <w:tcPr>
            <w:tcW w:w="2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6"/>
                <w:szCs w:val="16"/>
                <w:color w:val="auto"/>
              </w:rPr>
            </w:pPr>
          </w:p>
        </w:tc>
        <w:tc>
          <w:tcPr>
            <w:tcW w:w="9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6"/>
                <w:szCs w:val="16"/>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74"/>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320" w:type="dxa"/>
            <w:vAlign w:val="bottom"/>
          </w:tcPr>
          <w:p>
            <w:pPr>
              <w:spacing w:after="0"/>
              <w:rPr>
                <w:sz w:val="15"/>
                <w:szCs w:val="15"/>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5"/>
                <w:szCs w:val="15"/>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5"/>
                <w:szCs w:val="15"/>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5"/>
                <w:szCs w:val="15"/>
                <w:color w:val="auto"/>
              </w:rPr>
            </w:pPr>
          </w:p>
        </w:tc>
        <w:tc>
          <w:tcPr>
            <w:tcW w:w="100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5"/>
                <w:szCs w:val="15"/>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1,713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48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  $</w:t>
            </w: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5,169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5,124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45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84"/>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Taxable-equivalent adjustment (a)</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0" w:type="dxa"/>
            <w:vAlign w:val="bottom"/>
          </w:tcPr>
          <w:p>
            <w:pPr>
              <w:spacing w:after="0"/>
              <w:rPr>
                <w:sz w:val="16"/>
                <w:szCs w:val="16"/>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6"/>
                <w:szCs w:val="16"/>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3</w:t>
            </w:r>
          </w:p>
        </w:tc>
        <w:tc>
          <w:tcPr>
            <w:tcW w:w="6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40</w:t>
            </w: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33</w:t>
            </w:r>
          </w:p>
        </w:tc>
        <w:tc>
          <w:tcPr>
            <w:tcW w:w="16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38</w:t>
            </w:r>
          </w:p>
        </w:tc>
        <w:tc>
          <w:tcPr>
            <w:tcW w:w="160" w:type="dxa"/>
            <w:vAlign w:val="bottom"/>
          </w:tcPr>
          <w:p>
            <w:pPr>
              <w:spacing w:after="0"/>
              <w:rPr>
                <w:sz w:val="16"/>
                <w:szCs w:val="16"/>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(5)</w:t>
            </w: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w:t>
            </w: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 (taxable-equivalent basis) (a)</w:t>
            </w: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1,722</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51</w:t>
            </w:r>
          </w:p>
        </w:tc>
        <w:tc>
          <w:tcPr>
            <w:tcW w:w="6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3</w:t>
            </w: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5,202</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5,162</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40</w:t>
            </w: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r>
      <w:tr>
        <w:trPr>
          <w:trHeight w:val="184"/>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400" w:type="dxa"/>
            <w:vAlign w:val="bottom"/>
          </w:tcPr>
          <w:p>
            <w:pPr>
              <w:spacing w:after="0"/>
              <w:rPr>
                <w:sz w:val="16"/>
                <w:szCs w:val="16"/>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125</w:t>
            </w:r>
          </w:p>
        </w:tc>
        <w:tc>
          <w:tcPr>
            <w:tcW w:w="160" w:type="dxa"/>
            <w:vAlign w:val="bottom"/>
          </w:tcPr>
          <w:p>
            <w:pPr>
              <w:spacing w:after="0"/>
              <w:rPr>
                <w:sz w:val="16"/>
                <w:szCs w:val="16"/>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380</w:t>
            </w:r>
          </w:p>
        </w:tc>
        <w:tc>
          <w:tcPr>
            <w:tcW w:w="16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470</w:t>
            </w:r>
          </w:p>
        </w:tc>
        <w:tc>
          <w:tcPr>
            <w:tcW w:w="160" w:type="dxa"/>
            <w:vAlign w:val="bottom"/>
          </w:tcPr>
          <w:p>
            <w:pPr>
              <w:spacing w:after="0"/>
              <w:rPr>
                <w:sz w:val="16"/>
                <w:szCs w:val="16"/>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(90)</w:t>
            </w: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w:t>
            </w: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683</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69</w:t>
            </w:r>
          </w:p>
        </w:tc>
        <w:tc>
          <w:tcPr>
            <w:tcW w:w="6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10</w:t>
            </w: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2,046</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1,770</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276</w:t>
            </w: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16</w:t>
            </w:r>
          </w:p>
        </w:tc>
      </w:tr>
      <w:tr>
        <w:trPr>
          <w:trHeight w:val="184"/>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400" w:type="dxa"/>
            <w:vAlign w:val="bottom"/>
          </w:tcPr>
          <w:p>
            <w:pPr>
              <w:spacing w:after="0"/>
              <w:rPr>
                <w:sz w:val="16"/>
                <w:szCs w:val="16"/>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1,336</w:t>
            </w:r>
          </w:p>
        </w:tc>
        <w:tc>
          <w:tcPr>
            <w:tcW w:w="160" w:type="dxa"/>
            <w:vAlign w:val="bottom"/>
          </w:tcPr>
          <w:p>
            <w:pPr>
              <w:spacing w:after="0"/>
              <w:rPr>
                <w:sz w:val="16"/>
                <w:szCs w:val="16"/>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27</w:t>
            </w:r>
          </w:p>
        </w:tc>
        <w:tc>
          <w:tcPr>
            <w:tcW w:w="6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2</w:t>
            </w: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4,114</w:t>
            </w:r>
          </w:p>
        </w:tc>
        <w:tc>
          <w:tcPr>
            <w:tcW w:w="16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3,996</w:t>
            </w:r>
          </w:p>
        </w:tc>
        <w:tc>
          <w:tcPr>
            <w:tcW w:w="160" w:type="dxa"/>
            <w:vAlign w:val="bottom"/>
          </w:tcPr>
          <w:p>
            <w:pPr>
              <w:spacing w:after="0"/>
              <w:rPr>
                <w:sz w:val="16"/>
                <w:szCs w:val="16"/>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118</w:t>
            </w: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716</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76</w:t>
            </w:r>
          </w:p>
        </w:tc>
        <w:tc>
          <w:tcPr>
            <w:tcW w:w="6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11</w:t>
            </w: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2,092</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1,907</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185</w:t>
            </w: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10</w:t>
            </w:r>
          </w:p>
        </w:tc>
      </w:tr>
      <w:tr>
        <w:trPr>
          <w:trHeight w:val="184"/>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common share data:</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Basic earnings</w:t>
            </w: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4.26</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.59</w:t>
            </w:r>
          </w:p>
        </w:tc>
        <w:tc>
          <w:tcPr>
            <w:tcW w:w="60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14</w:t>
            </w: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12.41</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10.83</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1.58</w:t>
            </w: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15</w:t>
            </w:r>
          </w:p>
        </w:tc>
      </w:tr>
      <w:tr>
        <w:trPr>
          <w:trHeight w:val="184"/>
        </w:trPr>
        <w:tc>
          <w:tcPr>
            <w:tcW w:w="2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Diluted earnings</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400" w:type="dxa"/>
            <w:vAlign w:val="bottom"/>
          </w:tcPr>
          <w:p>
            <w:pPr>
              <w:spacing w:after="0"/>
              <w:rPr>
                <w:sz w:val="16"/>
                <w:szCs w:val="16"/>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4.24</w:t>
            </w:r>
          </w:p>
        </w:tc>
        <w:tc>
          <w:tcPr>
            <w:tcW w:w="160" w:type="dxa"/>
            <w:vAlign w:val="bottom"/>
          </w:tcPr>
          <w:p>
            <w:pPr>
              <w:spacing w:after="0"/>
              <w:rPr>
                <w:sz w:val="16"/>
                <w:szCs w:val="16"/>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.58</w:t>
            </w:r>
          </w:p>
        </w:tc>
        <w:tc>
          <w:tcPr>
            <w:tcW w:w="60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14</w:t>
            </w: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12.34</w:t>
            </w:r>
          </w:p>
        </w:tc>
        <w:tc>
          <w:tcPr>
            <w:tcW w:w="16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10.78</w:t>
            </w:r>
          </w:p>
        </w:tc>
        <w:tc>
          <w:tcPr>
            <w:tcW w:w="160" w:type="dxa"/>
            <w:vAlign w:val="bottom"/>
          </w:tcPr>
          <w:p>
            <w:pPr>
              <w:spacing w:after="0"/>
              <w:rPr>
                <w:sz w:val="16"/>
                <w:szCs w:val="16"/>
                <w:color w:val="auto"/>
              </w:rPr>
            </w:pPr>
          </w:p>
        </w:tc>
        <w:tc>
          <w:tcPr>
            <w:tcW w:w="8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1.56</w:t>
            </w: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w:t>
            </w: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ratios, annualized</w:t>
            </w: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r>
      <w:tr>
        <w:trPr>
          <w:trHeight w:val="184"/>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Return on:</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Average assets</w:t>
            </w: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r>
      <w:tr>
        <w:trPr>
          <w:trHeight w:val="184"/>
        </w:trPr>
        <w:tc>
          <w:tcPr>
            <w:tcW w:w="2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Average common shareholders’ equity</w:t>
            </w: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400" w:type="dxa"/>
            <w:vAlign w:val="bottom"/>
          </w:tcPr>
          <w:p>
            <w:pPr>
              <w:spacing w:after="0"/>
              <w:rPr>
                <w:sz w:val="16"/>
                <w:szCs w:val="16"/>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10.39</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10.07</w:t>
            </w:r>
          </w:p>
        </w:tc>
        <w:tc>
          <w:tcPr>
            <w:tcW w:w="16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9.47</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margin</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3.62</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3.66</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3.58</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jc w:val="both"/>
        <w:ind w:left="400" w:hanging="394"/>
        <w:spacing w:after="0" w:line="257" w:lineRule="auto"/>
        <w:tabs>
          <w:tab w:leader="none" w:pos="412" w:val="left"/>
        </w:tabs>
        <w:numPr>
          <w:ilvl w:val="0"/>
          <w:numId w:val="2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Net interest income data are presented on a taxable-equivalent basis which is a non-GAAP measure.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income in the recent quarter as compared with the second quarter of 2025 resulted from the following:</w:t>
      </w:r>
    </w:p>
    <w:p>
      <w:pPr>
        <w:spacing w:after="0" w:line="57" w:lineRule="exact"/>
        <w:rPr>
          <w:sz w:val="20"/>
          <w:szCs w:val="20"/>
          <w:color w:val="auto"/>
        </w:rPr>
      </w:pPr>
    </w:p>
    <w:p>
      <w:pPr>
        <w:jc w:val="both"/>
        <w:ind w:left="780" w:right="20" w:hanging="378"/>
        <w:spacing w:after="0" w:line="261"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on a taxable-equivalent basis increased $51 million reflecting an additional day of earnings, favorable earning assets and interest-bearing liabilities repricing and the impact of $20 million of lower taxable-equivalent interest income in the second quarter of 2025 resulting from an alignment of amortization periods for certain municipal bonds obtained from the acquisition of People’s United. Reflecting those factors the net interest margin expanded 6 basis points.</w:t>
      </w:r>
    </w:p>
    <w:p>
      <w:pPr>
        <w:spacing w:after="0" w:line="11" w:lineRule="exact"/>
        <w:rPr>
          <w:rFonts w:ascii="Times New Roman" w:cs="Times New Roman" w:eastAsia="Times New Roman" w:hAnsi="Times New Roman"/>
          <w:sz w:val="18"/>
          <w:szCs w:val="18"/>
          <w:color w:val="auto"/>
        </w:rPr>
      </w:pPr>
    </w:p>
    <w:p>
      <w:pPr>
        <w:jc w:val="both"/>
        <w:ind w:left="780" w:hanging="378"/>
        <w:spacing w:after="0" w:line="258"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increased $69 million reflecting higher residential mortgage banking revenues and a rise in other revenues from operations resulting from a $28 million distribution of an earnout payment related to the Company's 2023 sale of its CIT business, a $20 million distribution from M&amp;T's investment in BLG and a $12 million gain on the sale of equipment leases each in the recent quarter, partially offset by gains on the sales of an out-of-footprint loan portfolio of $15 million and a subsidiary that specialized in institutional services of $10 million each in the second quarter of 2025.</w:t>
      </w:r>
    </w:p>
    <w:p>
      <w:pPr>
        <w:spacing w:after="0" w:line="63" w:lineRule="exact"/>
        <w:rPr>
          <w:rFonts w:ascii="Times New Roman" w:cs="Times New Roman" w:eastAsia="Times New Roman" w:hAnsi="Times New Roman"/>
          <w:sz w:val="18"/>
          <w:szCs w:val="18"/>
          <w:color w:val="auto"/>
        </w:rPr>
      </w:pPr>
    </w:p>
    <w:p>
      <w:pPr>
        <w:jc w:val="both"/>
        <w:ind w:left="780" w:right="20" w:hanging="378"/>
        <w:spacing w:after="0" w:line="266"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increased $27 million reflecting higher severance-related expense, an impairment of a renewable energy tax-credit investment and an increase in expenses associated with M&amp;T's supplemental executive retirement savings plan, partially offset by lower FDIC assessments.</w:t>
      </w:r>
    </w:p>
    <w:p>
      <w:pPr>
        <w:spacing w:after="0" w:line="200" w:lineRule="exact"/>
        <w:rPr>
          <w:rFonts w:ascii="Times New Roman" w:cs="Times New Roman" w:eastAsia="Times New Roman" w:hAnsi="Times New Roman"/>
          <w:sz w:val="18"/>
          <w:szCs w:val="18"/>
          <w:color w:val="auto"/>
        </w:rPr>
      </w:pPr>
    </w:p>
    <w:p>
      <w:pPr>
        <w:spacing w:after="0" w:line="383" w:lineRule="exact"/>
        <w:rPr>
          <w:rFonts w:ascii="Times New Roman" w:cs="Times New Roman" w:eastAsia="Times New Roman" w:hAnsi="Times New Roman"/>
          <w:sz w:val="18"/>
          <w:szCs w:val="18"/>
          <w:color w:val="auto"/>
        </w:rPr>
      </w:pPr>
    </w:p>
    <w:p>
      <w:pPr>
        <w:ind w:left="5220" w:hanging="95"/>
        <w:spacing w:after="0"/>
        <w:tabs>
          <w:tab w:leader="none" w:pos="522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increase in net income for the nine months ended September 30, 2025 as compared with the same 2024 period reflected the following:</w:t>
      </w:r>
    </w:p>
    <w:p>
      <w:pPr>
        <w:spacing w:after="0" w:line="57" w:lineRule="exact"/>
        <w:rPr>
          <w:sz w:val="20"/>
          <w:szCs w:val="20"/>
          <w:color w:val="auto"/>
        </w:rPr>
      </w:pPr>
    </w:p>
    <w:p>
      <w:pPr>
        <w:jc w:val="both"/>
        <w:ind w:left="780" w:right="40" w:hanging="378"/>
        <w:spacing w:after="0" w:line="266"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on a taxable-equivalent basis increased $40 million reflecting a widening of the net interest margin by 8 basis points. The higher net interest margin reflects favorable earning assets and interest-bearing liabilities repricing that improved the Company's net interest spread, partially offset by a decline in the contribution of net interest-free funds.</w:t>
      </w:r>
    </w:p>
    <w:p>
      <w:pPr>
        <w:spacing w:after="0" w:line="7"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credit losses declined $90 million mainly reflecting improved levels of criticized loans.</w:t>
      </w:r>
    </w:p>
    <w:p>
      <w:pPr>
        <w:spacing w:after="0" w:line="57" w:lineRule="exact"/>
        <w:rPr>
          <w:rFonts w:ascii="Times New Roman" w:cs="Times New Roman" w:eastAsia="Times New Roman" w:hAnsi="Times New Roman"/>
          <w:sz w:val="18"/>
          <w:szCs w:val="18"/>
          <w:color w:val="auto"/>
        </w:rPr>
      </w:pPr>
    </w:p>
    <w:p>
      <w:pPr>
        <w:ind w:left="780" w:right="60" w:hanging="378"/>
        <w:spacing w:after="0" w:line="278"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increased $276 million reflecting higher mortgage banking revenues, trust income, service charges on deposit accounts and other revenues from operations.</w:t>
      </w:r>
    </w:p>
    <w:p>
      <w:pPr>
        <w:jc w:val="both"/>
        <w:ind w:left="780" w:right="60" w:hanging="378"/>
        <w:spacing w:after="0" w:line="266"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rose $118 million reflecting higher levels of salaries and employee benefits expense and outside data processing and software costs, partially offset by lower FDIC assessments, which included $34 million of FDIC special assessment expense in the first nine months of 2024.</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rates were 22.8% and 23.4% for the third and second quarters of 2025, respectively, and 23.1% and 21.5% for the nine months ended September 30, 2025 and 2024, respectively. Income tax expense for the first nine months of 2024 reflected $31 million of net discrete tax benefits.</w:t>
      </w:r>
    </w:p>
    <w:p>
      <w:pPr>
        <w:spacing w:after="0" w:line="5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Under approved capital plans and programs authorized by the Board of Directors, M&amp;T repurchased 2.1 million shares of its common stock during the recent quarter at a total cost of $409 million, compared with 6.1 million shares at a total cost of $1.1 billion in the second quarter of 2025. During the first nine months of 2025, M&amp;T repurchased 11.6 million shares of its common stock at a total cost of $2.2 billion, compared with 1.2 million shares at a total cost of $200 million during the first nine months of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Reporting of Non-GAAP Results of Operations</w:t>
      </w:r>
    </w:p>
    <w:p>
      <w:pPr>
        <w:spacing w:after="0" w:line="10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REPORTING OF NON-GAAP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20" w:type="dxa"/>
            <w:vAlign w:val="bottom"/>
            <w:gridSpan w:val="3"/>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tcPr>
          <w:p>
            <w:pPr>
              <w:jc w:val="right"/>
              <w:ind w:right="495"/>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560" w:type="dxa"/>
            <w:vAlign w:val="bottom"/>
          </w:tcPr>
          <w:p>
            <w:pPr>
              <w:spacing w:after="0"/>
              <w:rPr>
                <w:sz w:val="15"/>
                <w:szCs w:val="15"/>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40" w:type="dxa"/>
            <w:vAlign w:val="bottom"/>
          </w:tcPr>
          <w:p>
            <w:pPr>
              <w:spacing w:after="0"/>
              <w:rPr>
                <w:sz w:val="15"/>
                <w:szCs w:val="15"/>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40" w:type="dxa"/>
            <w:vAlign w:val="bottom"/>
          </w:tcPr>
          <w:p>
            <w:pPr>
              <w:spacing w:after="0"/>
              <w:rPr>
                <w:sz w:val="15"/>
                <w:szCs w:val="15"/>
                <w:color w:val="auto"/>
              </w:rPr>
            </w:pPr>
          </w:p>
        </w:tc>
        <w:tc>
          <w:tcPr>
            <w:tcW w:w="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60" w:type="dxa"/>
            <w:vAlign w:val="bottom"/>
          </w:tcPr>
          <w:p>
            <w:pPr>
              <w:spacing w:after="0"/>
              <w:rPr>
                <w:sz w:val="15"/>
                <w:szCs w:val="15"/>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3"/>
        </w:trPr>
        <w:tc>
          <w:tcPr>
            <w:tcW w:w="26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375"/>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Pr>
          <w:p>
            <w:pPr>
              <w:spacing w:after="0"/>
              <w:rPr>
                <w:sz w:val="14"/>
                <w:szCs w:val="14"/>
                <w:color w:val="auto"/>
              </w:rPr>
            </w:pPr>
          </w:p>
        </w:tc>
        <w:tc>
          <w:tcPr>
            <w:tcW w:w="900" w:type="dxa"/>
            <w:vAlign w:val="bottom"/>
          </w:tcPr>
          <w:p>
            <w:pPr>
              <w:jc w:val="right"/>
              <w:ind w:right="395"/>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Pr>
          <w:p>
            <w:pPr>
              <w:spacing w:after="0"/>
              <w:rPr>
                <w:sz w:val="14"/>
                <w:szCs w:val="14"/>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14"/>
                <w:szCs w:val="14"/>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operating income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798</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724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color w:val="auto"/>
              </w:rPr>
              <w:t>74</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2,116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1,939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rPr>
              <w:t>177</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0" w:type="dxa"/>
            <w:vAlign w:val="bottom"/>
          </w:tcPr>
          <w:p>
            <w:pPr>
              <w:spacing w:after="0"/>
              <w:rPr>
                <w:sz w:val="1"/>
                <w:szCs w:val="1"/>
                <w:color w:val="auto"/>
              </w:rPr>
            </w:pPr>
          </w:p>
        </w:tc>
      </w:tr>
      <w:tr>
        <w:trPr>
          <w:trHeight w:val="184"/>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net operating earnings per share</w:t>
            </w:r>
          </w:p>
        </w:tc>
        <w:tc>
          <w:tcPr>
            <w:tcW w:w="560" w:type="dxa"/>
            <w:vAlign w:val="bottom"/>
          </w:tcPr>
          <w:p>
            <w:pPr>
              <w:spacing w:after="0"/>
              <w:rPr>
                <w:sz w:val="16"/>
                <w:szCs w:val="16"/>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4.87</w:t>
            </w:r>
          </w:p>
        </w:tc>
        <w:tc>
          <w:tcPr>
            <w:tcW w:w="240" w:type="dxa"/>
            <w:vAlign w:val="bottom"/>
          </w:tcPr>
          <w:p>
            <w:pPr>
              <w:spacing w:after="0"/>
              <w:rPr>
                <w:sz w:val="16"/>
                <w:szCs w:val="16"/>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4.28</w:t>
            </w:r>
          </w:p>
        </w:tc>
        <w:tc>
          <w:tcPr>
            <w:tcW w:w="140" w:type="dxa"/>
            <w:vAlign w:val="bottom"/>
          </w:tcPr>
          <w:p>
            <w:pPr>
              <w:spacing w:after="0"/>
              <w:rPr>
                <w:sz w:val="16"/>
                <w:szCs w:val="16"/>
                <w:color w:val="auto"/>
              </w:rPr>
            </w:pPr>
          </w:p>
        </w:tc>
        <w:tc>
          <w:tcPr>
            <w:tcW w:w="90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.59</w:t>
            </w:r>
          </w:p>
        </w:tc>
        <w:tc>
          <w:tcPr>
            <w:tcW w:w="4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Pr>
          <w:p>
            <w:pPr>
              <w:spacing w:after="0"/>
              <w:rPr>
                <w:sz w:val="16"/>
                <w:szCs w:val="16"/>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12.49</w:t>
            </w:r>
          </w:p>
        </w:tc>
        <w:tc>
          <w:tcPr>
            <w:tcW w:w="160" w:type="dxa"/>
            <w:vAlign w:val="bottom"/>
          </w:tcPr>
          <w:p>
            <w:pPr>
              <w:spacing w:after="0"/>
              <w:rPr>
                <w:sz w:val="16"/>
                <w:szCs w:val="16"/>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10.97</w:t>
            </w:r>
          </w:p>
        </w:tc>
        <w:tc>
          <w:tcPr>
            <w:tcW w:w="140" w:type="dxa"/>
            <w:vAlign w:val="bottom"/>
          </w:tcPr>
          <w:p>
            <w:pPr>
              <w:spacing w:after="0"/>
              <w:rPr>
                <w:sz w:val="16"/>
                <w:szCs w:val="16"/>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3"/>
                <w:szCs w:val="13"/>
                <w:color w:val="auto"/>
              </w:rPr>
              <w:t>1.52</w:t>
            </w: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Annualized return on:</w:t>
            </w:r>
          </w:p>
        </w:tc>
        <w:tc>
          <w:tcPr>
            <w:tcW w:w="5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Average tangible assets</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1.56 %</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1.44 %</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1.28 %</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Average tangible common equity</w:t>
            </w:r>
          </w:p>
        </w:tc>
        <w:tc>
          <w:tcPr>
            <w:tcW w:w="5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17.13</w:t>
            </w: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15.54</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15.07</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14.51</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Efficiency ratio</w:t>
            </w:r>
          </w:p>
        </w:tc>
        <w:tc>
          <w:tcPr>
            <w:tcW w:w="560" w:type="dxa"/>
            <w:vAlign w:val="bottom"/>
          </w:tcPr>
          <w:p>
            <w:pPr>
              <w:spacing w:after="0"/>
              <w:rPr>
                <w:sz w:val="16"/>
                <w:szCs w:val="16"/>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53.6</w:t>
            </w:r>
          </w:p>
        </w:tc>
        <w:tc>
          <w:tcPr>
            <w:tcW w:w="240" w:type="dxa"/>
            <w:vAlign w:val="bottom"/>
          </w:tcPr>
          <w:p>
            <w:pPr>
              <w:spacing w:after="0"/>
              <w:rPr>
                <w:sz w:val="16"/>
                <w:szCs w:val="16"/>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55.2</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56.3</w:t>
            </w:r>
          </w:p>
        </w:tc>
        <w:tc>
          <w:tcPr>
            <w:tcW w:w="160" w:type="dxa"/>
            <w:vAlign w:val="bottom"/>
          </w:tcPr>
          <w:p>
            <w:pPr>
              <w:spacing w:after="0"/>
              <w:rPr>
                <w:sz w:val="16"/>
                <w:szCs w:val="16"/>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rPr>
              <w:t>57.0</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Tangible equity per common share (a)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115.31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112.48</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2.83</w:t>
            </w:r>
          </w:p>
        </w:tc>
        <w:tc>
          <w:tcPr>
            <w:tcW w:w="4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115.31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rPr>
              <w:t>107.97</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rPr>
              <w:t>7.34</w:t>
            </w:r>
          </w:p>
        </w:tc>
        <w:tc>
          <w:tcPr>
            <w:tcW w:w="4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2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At the period end.</w:t>
      </w:r>
    </w:p>
    <w:p>
      <w:pPr>
        <w:spacing w:after="0" w:line="8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efficiency ratio measures the relationship of noninterest operating expenses, which exclude expenses M&amp;T considers to be "nonoperating" in nature consisting of amortization of core deposit and other intangible assets and merger-related expenses, to revenues. The calculations of the Company’s efficiency ratio, or noninterest operating expenses divided by the sum of taxable-equivalent net interest income and noninterest income (exclusive of gains and losses from bank investment securities), and reconciliations of GAAP amounts with corresponding non-GAAP amounts are presented in Table 2.</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325" w:right="62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Taxable-equivalent Net Interest Income</w:t>
      </w:r>
    </w:p>
    <w:p>
      <w:pPr>
        <w:spacing w:after="0" w:line="1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income earned on certain of the Company's assets is exempt from federal income tax. Taxable-equivalent net interest income is a non-GAAP measure that adjusts income earned on a tax-exempt asset to present it on an equivalent basis to interest income earned on a fully taxable asset.</w:t>
      </w:r>
    </w:p>
    <w:p>
      <w:pPr>
        <w:spacing w:after="0" w:line="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average balance sheets accompanied by the annualized taxable-equivalent interest income and expense and the average rate on the Company's earning assets and interest-bearing liabilities are presented as follows.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BALANCE SHEETS AND ANNUALIZED TAXABLE-EQUIVALENT RATES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8"/>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September 30, 2025</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2"/>
                <w:szCs w:val="12"/>
                <w:color w:val="auto"/>
              </w:rPr>
            </w:pPr>
          </w:p>
        </w:tc>
      </w:tr>
      <w:tr>
        <w:trPr>
          <w:trHeight w:val="142"/>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8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9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Rate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2"/>
                <w:szCs w:val="12"/>
                <w:color w:val="auto"/>
              </w:rPr>
            </w:pP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Rate</w:t>
            </w:r>
          </w:p>
        </w:tc>
        <w:tc>
          <w:tcPr>
            <w:tcW w:w="120" w:type="dxa"/>
            <w:vAlign w:val="bottom"/>
          </w:tcPr>
          <w:p>
            <w:pPr>
              <w:spacing w:after="0"/>
              <w:rPr>
                <w:sz w:val="12"/>
                <w:szCs w:val="12"/>
                <w:color w:val="auto"/>
              </w:rPr>
            </w:pPr>
          </w:p>
        </w:tc>
      </w:tr>
      <w:tr>
        <w:trPr>
          <w:trHeight w:val="168"/>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 assets: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Loans (a):</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61,716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1,004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61,036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6"/>
        </w:trPr>
        <w:tc>
          <w:tcPr>
            <w:tcW w:w="4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Real estate - commercial</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24,353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Real estate - residential</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24,359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Consumer</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26,099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loans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136,527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2,113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135,407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6.11</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 deposits at banks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17,739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Trading account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 securities (b):</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U.S. Treasury</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7,599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Mortgage-backed securities (c)</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25,728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State and political subdivisions (d)</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2,190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investment securities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36,559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earning assets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190,920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2,692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190,535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8,465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Core deposit and other intangible assets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11,589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211,053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210,261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3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 liabilities: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Interest-bearing deposits: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Savings and interest-checking deposits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104,660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103,963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Time deposits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13,990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118,650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118,253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Short-term borrowings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2,844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borrowings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12,789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5.72</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134,283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132,516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896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44,056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4,131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182,470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181,595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28,583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28,666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liabilities and shareholders’ equity</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211,053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210,261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3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spread</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120" w:type="dxa"/>
            <w:vAlign w:val="bottom"/>
            <w:shd w:val="clear" w:color="auto" w:fill="CCEEFF"/>
          </w:tcPr>
          <w:p>
            <w:pPr>
              <w:spacing w:after="0"/>
              <w:rPr>
                <w:sz w:val="11"/>
                <w:szCs w:val="11"/>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Contribution of interest-free funds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20" w:type="dxa"/>
            <w:vAlign w:val="bottom"/>
          </w:tcPr>
          <w:p>
            <w:pPr>
              <w:spacing w:after="0"/>
              <w:rPr>
                <w:sz w:val="14"/>
                <w:szCs w:val="14"/>
                <w:color w:val="auto"/>
              </w:rPr>
            </w:pPr>
          </w:p>
        </w:tc>
      </w:tr>
      <w:tr>
        <w:trPr>
          <w:trHeight w:val="18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income/margin on earning assets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1,773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r>
        <w:trPr>
          <w:trHeight w:val="114"/>
        </w:trPr>
        <w:tc>
          <w:tcPr>
            <w:tcW w:w="4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6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Memo:</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4"/>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deposits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162,706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163,406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2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nonaccrual loans.</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2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available-for-sale securities at amortized cost.</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2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Primarily government issued or guaranteed.</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line="263" w:lineRule="auto"/>
        <w:tabs>
          <w:tab w:leader="none" w:pos="412" w:val="left"/>
        </w:tabs>
        <w:numPr>
          <w:ilvl w:val="0"/>
          <w:numId w:val="2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yield on state and political subdivision investment securities for the three-month period ended June 30, 2025 reflects $20 million of lower taxable-equivalent interest income resulting from an alignment of amortization periods for certain municipal bonds obtained from the acquisition of People's United.</w:t>
      </w:r>
    </w:p>
    <w:p>
      <w:pPr>
        <w:spacing w:after="0" w:line="269" w:lineRule="exact"/>
        <w:rPr>
          <w:rFonts w:ascii="Times New Roman" w:cs="Times New Roman" w:eastAsia="Times New Roman" w:hAnsi="Times New Roman"/>
          <w:sz w:val="13"/>
          <w:szCs w:val="13"/>
          <w:i w:val="1"/>
          <w:iCs w:val="1"/>
          <w:color w:val="auto"/>
        </w:rPr>
      </w:pPr>
    </w:p>
    <w:p>
      <w:pPr>
        <w:ind w:left="5220" w:hanging="95"/>
        <w:spacing w:after="0"/>
        <w:tabs>
          <w:tab w:leader="none" w:pos="522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1" w:right="66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AVERAGE BALANCE SHEETS AND ANNUALIZED TAXABLE-EQUIVALENT RATES (CONTINUED)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8"/>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September 30, 2025</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12"/>
                <w:szCs w:val="12"/>
                <w:color w:val="auto"/>
              </w:rPr>
            </w:pPr>
          </w:p>
        </w:tc>
      </w:tr>
      <w:tr>
        <w:trPr>
          <w:trHeight w:val="142"/>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8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9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Rate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Rate</w:t>
            </w:r>
          </w:p>
        </w:tc>
        <w:tc>
          <w:tcPr>
            <w:tcW w:w="120" w:type="dxa"/>
            <w:vAlign w:val="bottom"/>
          </w:tcPr>
          <w:p>
            <w:pPr>
              <w:spacing w:after="0"/>
              <w:rPr>
                <w:sz w:val="12"/>
                <w:szCs w:val="12"/>
                <w:color w:val="auto"/>
              </w:rPr>
            </w:pPr>
          </w:p>
        </w:tc>
      </w:tr>
      <w:tr>
        <w:trPr>
          <w:trHeight w:val="168"/>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 assets: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Loans (a):</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61,271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2,936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58,256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3,059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6"/>
        </w:trPr>
        <w:tc>
          <w:tcPr>
            <w:tcW w:w="4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Real estate - commercial</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25,308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1,498</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Real estate - residential</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23,744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749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Consumer</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25,275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1,244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1,092</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loans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135,598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6,188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134,379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6,398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 deposits at banks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19,037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1,167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Trading account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 securities (b):</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U.S. Treasury</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8,210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Mortgage-backed securities (c)</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23,933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444</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State and political subdivisions (d)</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2,259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investment securities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35,466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earning assets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190,197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7,882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192,721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8,357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8,465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8,465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Core deposit and other intangible assets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11,141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9,696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209,889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211,008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3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 liabilities: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Interest-bearing deposits: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Savings and interest-checking deposits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103,407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1,720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96,379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1,888</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Time deposits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14,166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117,573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2,086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115,517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2,510</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Short-term borrowings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3,013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borrowings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11,675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475</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w:t>
            </w: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132,261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131,475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3,195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44,877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4,003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181,141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183,175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28,748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liabilities and shareholders’ equity</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209,889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211,008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3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spread</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120" w:type="dxa"/>
            <w:vAlign w:val="bottom"/>
            <w:shd w:val="clear" w:color="auto" w:fill="CCEEFF"/>
          </w:tcPr>
          <w:p>
            <w:pPr>
              <w:spacing w:after="0"/>
              <w:rPr>
                <w:sz w:val="11"/>
                <w:szCs w:val="11"/>
                <w:color w:val="auto"/>
              </w:rPr>
            </w:pPr>
          </w:p>
        </w:tc>
      </w:tr>
      <w:tr>
        <w:trPr>
          <w:trHeight w:val="166"/>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Contribution of interest-free funds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tcPr>
          <w:p>
            <w:pPr>
              <w:spacing w:after="0"/>
              <w:rPr>
                <w:sz w:val="14"/>
                <w:szCs w:val="14"/>
                <w:color w:val="auto"/>
              </w:rPr>
            </w:pPr>
          </w:p>
        </w:tc>
      </w:tr>
      <w:tr>
        <w:trPr>
          <w:trHeight w:val="18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income/margin on earning assets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5,202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5,162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r>
        <w:trPr>
          <w:trHeight w:val="114"/>
        </w:trPr>
        <w:tc>
          <w:tcPr>
            <w:tcW w:w="4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6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Memo:</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4"/>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deposits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162,450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2,086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163,015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2,510</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nonaccrual loans.</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available-for-sale securities at amortized cost.</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Primarily government issued or guaranteed.</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line="263" w:lineRule="auto"/>
        <w:tabs>
          <w:tab w:leader="none" w:pos="412"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yield on state and political subdivision investment securities for the nine-month period ended September 30, 2025 reflects $18 million of lower taxable-equivalent interest income resulting from an alignment of amortization periods for certain municipal bonds obtained from the acquisition of People's United.</w:t>
      </w:r>
    </w:p>
    <w:p>
      <w:pPr>
        <w:spacing w:after="0" w:line="200" w:lineRule="exact"/>
        <w:rPr>
          <w:rFonts w:ascii="Times New Roman" w:cs="Times New Roman" w:eastAsia="Times New Roman" w:hAnsi="Times New Roman"/>
          <w:sz w:val="13"/>
          <w:szCs w:val="13"/>
          <w:i w:val="1"/>
          <w:iCs w:val="1"/>
          <w:color w:val="auto"/>
        </w:rPr>
      </w:pPr>
    </w:p>
    <w:p>
      <w:pPr>
        <w:spacing w:after="0" w:line="393" w:lineRule="exact"/>
        <w:rPr>
          <w:rFonts w:ascii="Times New Roman" w:cs="Times New Roman" w:eastAsia="Times New Roman" w:hAnsi="Times New Roman"/>
          <w:sz w:val="13"/>
          <w:szCs w:val="13"/>
          <w:i w:val="1"/>
          <w:iCs w:val="1"/>
          <w:color w:val="auto"/>
        </w:rPr>
      </w:pPr>
    </w:p>
    <w:p>
      <w:pPr>
        <w:ind w:left="5220" w:hanging="95"/>
        <w:spacing w:after="0"/>
        <w:tabs>
          <w:tab w:leader="none" w:pos="522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5" w:right="680"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Taxable-equivalent net interest income can be impacted by changes in the composition of the Company's earning assets and interest-bearing liabilities, as discussed herein, as well as changes in interest rates and spreads. The FOMC lowered its federal funds target interest rate by a total of 100 basis points in the last four months of 2024 and by 25 basis points in September 2025.</w:t>
      </w:r>
    </w:p>
    <w:p>
      <w:pPr>
        <w:spacing w:after="0" w:line="5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Taxable-equivalent net interest income increased $51 million in the recent quarter as compared with the second quarter of 2025 reflecting an additional day of earnings, favorable earning assets and interest-bearing liabilities repricing and the impact of $20 million of lower taxable-equivalent interest income in the second quarter of 2025 resulting from an alignment of amortization periods for certain municipal bonds obtained from the acquisition of People’s United. The net interest margin increased 6 basis points over that same time period. The FOMC reduction in its federal funds target interest rate in September 2025 had little impact on the Company's taxable-equivalent net interest income for the three months ended September 30, 2025.</w:t>
      </w:r>
    </w:p>
    <w:p>
      <w:pPr>
        <w:spacing w:after="0" w:line="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Taxable-equivalent net interest income for the first nine months of 2025 increased $40 million as compared with the same 2024 period. That increase reflects an 8 basis-point widening of the net interest margin driven by a decrease of 53 basis points in the cost of interest-bearing liabilities, partially offset by a 25 basis-point decline in the yield received on earning assets and a 20 basis-point reduction in the contribution of net interest-free funds. Contributing to lower yields on earning assets and rates paid on interest-bearing liabilities in the first nine months of 2025 as compared with the similar 2024 period was the impact of the FOMC's cumulative 100 basis-point reduction in its federal funds target interest rate during the last four months of 2024. Partially offsetting the decline in yields received on earning assets was an increase in the yields received on investment securities from the deployment of liquidity into fixed rate investment securities from early 2024 through September 2025 that yielded higher rates than maturing investment securities.</w:t>
      </w:r>
    </w:p>
    <w:p>
      <w:pPr>
        <w:spacing w:after="0" w:line="6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Future changes in market interest rates or spreads, as well as changes in the composition of the Company’s portfolios of earning assets and interest-bearing liabilities that result in changes to spreads, could impact the Company’s net interest income and net interest margin. Future changes in the levels of net interest-free funds and the interest rates used to value such funds could also impact the Company's net interest margin.</w:t>
      </w: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25" w:right="6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agreements</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Under the terms of those interest rate swap agreements, the Company generally received payments based on the outstanding notional amount at fixed rates and made payments at variable rates. Periodic settlement amounts arising from these agreements are reflected in either the yields received on earning assets or the rates paid on interest-bearing liabilities. The Company enters into forward-starting interest rate swap agreements predominantly to hedge interest rate exposures expected in future periods. The following table summarizes information about interest rate swap agreements entered into for interest rate risk management purposes at September 30, 2025 and December 31,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SWAP AGREEMENTS - DESIGNATED AS HEDGES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gridSpan w:val="3"/>
            <w:vMerge w:val="restart"/>
          </w:tcPr>
          <w:p>
            <w:pPr>
              <w:jc w:val="center"/>
              <w:ind w:right="834"/>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88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40" w:type="dxa"/>
            <w:vAlign w:val="bottom"/>
            <w:gridSpan w:val="3"/>
            <w:vMerge w:val="continue"/>
          </w:tcPr>
          <w:p>
            <w:pPr>
              <w:spacing w:after="0"/>
              <w:rPr>
                <w:sz w:val="4"/>
                <w:szCs w:val="4"/>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Average Rate</w:t>
            </w: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6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Notional Amount</w:t>
            </w:r>
          </w:p>
        </w:tc>
        <w:tc>
          <w:tcPr>
            <w:tcW w:w="80" w:type="dxa"/>
            <w:vAlign w:val="bottom"/>
          </w:tcPr>
          <w:p>
            <w:pPr>
              <w:spacing w:after="0"/>
              <w:rPr>
                <w:sz w:val="15"/>
                <w:szCs w:val="15"/>
                <w:color w:val="auto"/>
              </w:rPr>
            </w:pPr>
          </w:p>
        </w:tc>
        <w:tc>
          <w:tcPr>
            <w:tcW w:w="1000" w:type="dxa"/>
            <w:vAlign w:val="bottom"/>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340" w:type="dxa"/>
            <w:vAlign w:val="bottom"/>
          </w:tcPr>
          <w:p>
            <w:pPr>
              <w:spacing w:after="0"/>
              <w:rPr>
                <w:sz w:val="15"/>
                <w:szCs w:val="15"/>
                <w:color w:val="auto"/>
              </w:rPr>
            </w:pPr>
          </w:p>
        </w:tc>
        <w:tc>
          <w:tcPr>
            <w:tcW w:w="9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Fixed</w:t>
            </w:r>
          </w:p>
        </w:tc>
        <w:tc>
          <w:tcPr>
            <w:tcW w:w="880" w:type="dxa"/>
            <w:vAlign w:val="bottom"/>
          </w:tcPr>
          <w:p>
            <w:pPr>
              <w:spacing w:after="0"/>
              <w:rPr>
                <w:sz w:val="15"/>
                <w:szCs w:val="15"/>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Variable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4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Fair value hedges:</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Fixed rate long-term borrowings — active</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4.5</w:t>
            </w: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3.33%</w:t>
            </w:r>
          </w:p>
        </w:tc>
        <w:tc>
          <w:tcPr>
            <w:tcW w:w="9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4.25%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Fixed rate long-term borrowings — forward-starting</w:t>
            </w: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5.8</w:t>
            </w:r>
          </w:p>
        </w:tc>
        <w:tc>
          <w:tcPr>
            <w:tcW w:w="90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3.84</w:t>
            </w: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fair value hedges</w:t>
            </w: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5.1</w:t>
            </w: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Cash flow hedges:</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Variable rate commercial real estate and commercial and industrial loans:</w:t>
            </w: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Active</w:t>
            </w: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w:t>
            </w:r>
          </w:p>
        </w:tc>
        <w:tc>
          <w:tcPr>
            <w:tcW w:w="90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3.79</w:t>
            </w: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Forward-starting</w:t>
            </w: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2.3</w:t>
            </w: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3.46</w:t>
            </w:r>
          </w:p>
        </w:tc>
        <w:tc>
          <w:tcPr>
            <w:tcW w:w="9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cash flow hedges</w:t>
            </w: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31,100</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2.2</w:t>
            </w:r>
          </w:p>
        </w:tc>
        <w:tc>
          <w:tcPr>
            <w:tcW w:w="9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300" w:type="dxa"/>
            <w:vAlign w:val="bottom"/>
            <w:tcBorders>
              <w:top w:val="single" w:sz="8" w:color="CCEEFF"/>
              <w:bottom w:val="single" w:sz="8" w:color="CCEEFF"/>
            </w:tcBorders>
            <w:gridSpan w:val="3"/>
            <w:vMerge w:val="restart"/>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continue"/>
          </w:tcPr>
          <w:p>
            <w:pPr>
              <w:spacing w:after="0"/>
              <w:rPr>
                <w:sz w:val="8"/>
                <w:szCs w:val="8"/>
                <w:color w:val="auto"/>
              </w:rPr>
            </w:pPr>
          </w:p>
        </w:tc>
        <w:tc>
          <w:tcPr>
            <w:tcW w:w="53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hedges:</w:t>
            </w: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Fixed rate long-term borrowings — active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5.4</w:t>
            </w:r>
          </w:p>
        </w:tc>
        <w:tc>
          <w:tcPr>
            <w:tcW w:w="90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3.11%</w:t>
            </w: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Fixed rate long-term borrowings — forward-starting</w:t>
            </w: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6.2</w:t>
            </w: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3.81</w:t>
            </w:r>
          </w:p>
        </w:tc>
        <w:tc>
          <w:tcPr>
            <w:tcW w:w="9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4.49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Fixed rate available for sale securities — active</w:t>
            </w: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0.1</w:t>
            </w:r>
          </w:p>
        </w:tc>
        <w:tc>
          <w:tcPr>
            <w:tcW w:w="90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4.84</w:t>
            </w: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fair value hedges</w:t>
            </w: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5.8</w:t>
            </w: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Cash flow hedges:</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Variable rate commercial real estate and commercial and industrial loans:</w:t>
            </w: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Active</w:t>
            </w: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20,819</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0.9</w:t>
            </w:r>
          </w:p>
        </w:tc>
        <w:tc>
          <w:tcPr>
            <w:tcW w:w="90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3.26</w:t>
            </w: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53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Forward-starting</w:t>
            </w: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3.0</w:t>
            </w:r>
          </w:p>
        </w:tc>
        <w:tc>
          <w:tcPr>
            <w:tcW w:w="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3.72</w:t>
            </w:r>
          </w:p>
        </w:tc>
        <w:tc>
          <w:tcPr>
            <w:tcW w:w="9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4.49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cash flow hedges</w:t>
            </w: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30,819</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5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36,184</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2.2</w:t>
            </w:r>
          </w:p>
        </w:tc>
        <w:tc>
          <w:tcPr>
            <w:tcW w:w="9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-1600200</wp:posOffset>
            </wp:positionV>
            <wp:extent cx="5334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-1600200</wp:posOffset>
            </wp:positionV>
            <wp:extent cx="5334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-29845</wp:posOffset>
            </wp:positionV>
            <wp:extent cx="5334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-29845</wp:posOffset>
            </wp:positionV>
            <wp:extent cx="5334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regarding the fair value of interest rate swap agreements designated as fair value hedges and cash flow hedges is presented in note 11 of Notes to Financial Statements. The average notional amounts of interest rate swap agreements entered into for interest rate risk management purposes (excluding forward-starting interest rate swap agreements not in effect during the quarter), the related effect on net interest income and margin, and the weighted-average interest rates paid or received on those swap agreements are presented in the table that follows.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1" w:right="66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INTEREST RATE SWAP AGREEMENTS - EFFECT ON NET INTEREST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0" w:type="dxa"/>
            <w:vAlign w:val="bottom"/>
            <w:gridSpan w:val="5"/>
          </w:tcPr>
          <w:p>
            <w:pPr>
              <w:ind w:left="8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7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20" w:type="dxa"/>
            <w:vAlign w:val="bottom"/>
          </w:tcPr>
          <w:p>
            <w:pPr>
              <w:spacing w:after="0"/>
              <w:rPr>
                <w:sz w:val="17"/>
                <w:szCs w:val="17"/>
                <w:color w:val="auto"/>
              </w:rPr>
            </w:pPr>
          </w:p>
        </w:tc>
        <w:tc>
          <w:tcPr>
            <w:tcW w:w="9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Rate (a)</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Rate (a)</w:t>
            </w:r>
          </w:p>
        </w:tc>
        <w:tc>
          <w:tcPr>
            <w:tcW w:w="0" w:type="dxa"/>
            <w:vAlign w:val="bottom"/>
          </w:tcPr>
          <w:p>
            <w:pPr>
              <w:spacing w:after="0"/>
              <w:rPr>
                <w:sz w:val="1"/>
                <w:szCs w:val="1"/>
                <w:color w:val="auto"/>
              </w:rPr>
            </w:pPr>
          </w:p>
        </w:tc>
      </w:tr>
      <w:tr>
        <w:trPr>
          <w:trHeight w:val="204"/>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-.04 %</w:t>
            </w:r>
          </w:p>
        </w:tc>
        <w:tc>
          <w:tcPr>
            <w:tcW w:w="22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5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84"/>
        </w:trPr>
        <w:tc>
          <w:tcPr>
            <w:tcW w:w="52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0" w:type="dxa"/>
            <w:vAlign w:val="bottom"/>
          </w:tcPr>
          <w:p>
            <w:pPr>
              <w:spacing w:after="0"/>
              <w:rPr>
                <w:sz w:val="16"/>
                <w:szCs w:val="16"/>
                <w:color w:val="auto"/>
              </w:rPr>
            </w:pPr>
          </w:p>
        </w:tc>
        <w:tc>
          <w:tcPr>
            <w:tcW w:w="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.03</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500" w:type="dxa"/>
            <w:vAlign w:val="bottom"/>
          </w:tcPr>
          <w:p>
            <w:pPr>
              <w:spacing w:after="0"/>
              <w:rPr>
                <w:sz w:val="16"/>
                <w:szCs w:val="16"/>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income/margin</w:t>
            </w: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-.07 %</w:t>
            </w: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5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Average notional amount (b)</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0" w:type="dxa"/>
            <w:vAlign w:val="bottom"/>
            <w:vMerge w:val="continue"/>
          </w:tcPr>
          <w:p>
            <w:pPr>
              <w:spacing w:after="0"/>
              <w:rPr>
                <w:sz w:val="13"/>
                <w:szCs w:val="13"/>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17,744</w:t>
            </w: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20,347</w:t>
            </w: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20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Rate received (c)</w:t>
            </w: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3.68 %</w:t>
            </w: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3.51 %</w:t>
            </w:r>
          </w:p>
        </w:tc>
        <w:tc>
          <w:tcPr>
            <w:tcW w:w="0" w:type="dxa"/>
            <w:vAlign w:val="bottom"/>
          </w:tcPr>
          <w:p>
            <w:pPr>
              <w:spacing w:after="0"/>
              <w:rPr>
                <w:sz w:val="1"/>
                <w:szCs w:val="1"/>
                <w:color w:val="auto"/>
              </w:rPr>
            </w:pPr>
          </w:p>
        </w:tc>
      </w:tr>
      <w:tr>
        <w:trPr>
          <w:trHeight w:val="184"/>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Rate paid (c)</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4.41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4.37</w:t>
            </w:r>
          </w:p>
        </w:tc>
        <w:tc>
          <w:tcPr>
            <w:tcW w:w="0" w:type="dxa"/>
            <w:vAlign w:val="bottom"/>
          </w:tcPr>
          <w:p>
            <w:pPr>
              <w:spacing w:after="0"/>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00" w:type="dxa"/>
            <w:vAlign w:val="bottom"/>
            <w:gridSpan w:val="4"/>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2"/>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204"/>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20" w:type="dxa"/>
            <w:vAlign w:val="bottom"/>
          </w:tcPr>
          <w:p>
            <w:pPr>
              <w:spacing w:after="0"/>
              <w:rPr>
                <w:sz w:val="17"/>
                <w:szCs w:val="17"/>
                <w:color w:val="auto"/>
              </w:rPr>
            </w:pPr>
          </w:p>
        </w:tc>
        <w:tc>
          <w:tcPr>
            <w:tcW w:w="9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Rate (a)</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Rate (a)</w:t>
            </w:r>
          </w:p>
        </w:tc>
        <w:tc>
          <w:tcPr>
            <w:tcW w:w="0" w:type="dxa"/>
            <w:vAlign w:val="bottom"/>
          </w:tcPr>
          <w:p>
            <w:pPr>
              <w:spacing w:after="0"/>
              <w:rPr>
                <w:sz w:val="1"/>
                <w:szCs w:val="1"/>
                <w:color w:val="auto"/>
              </w:rPr>
            </w:pPr>
          </w:p>
        </w:tc>
      </w:tr>
      <w:tr>
        <w:trPr>
          <w:trHeight w:val="204"/>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-.08 %</w:t>
            </w:r>
          </w:p>
        </w:tc>
        <w:tc>
          <w:tcPr>
            <w:tcW w:w="22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0" w:type="dxa"/>
            <w:vAlign w:val="bottom"/>
          </w:tcPr>
          <w:p>
            <w:pPr>
              <w:spacing w:after="0"/>
              <w:rPr>
                <w:sz w:val="1"/>
                <w:szCs w:val="1"/>
                <w:color w:val="auto"/>
              </w:rPr>
            </w:pPr>
          </w:p>
        </w:tc>
      </w:tr>
      <w:tr>
        <w:trPr>
          <w:trHeight w:val="184"/>
        </w:trPr>
        <w:tc>
          <w:tcPr>
            <w:tcW w:w="52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0" w:type="dxa"/>
            <w:vAlign w:val="bottom"/>
          </w:tcPr>
          <w:p>
            <w:pPr>
              <w:spacing w:after="0"/>
              <w:rPr>
                <w:sz w:val="16"/>
                <w:szCs w:val="16"/>
                <w:color w:val="auto"/>
              </w:rPr>
            </w:pPr>
          </w:p>
        </w:tc>
        <w:tc>
          <w:tcPr>
            <w:tcW w:w="5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.03</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income/margin</w:t>
            </w: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-.10 %</w:t>
            </w: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Average notional amount (b)</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0" w:type="dxa"/>
            <w:vAlign w:val="bottom"/>
            <w:vMerge w:val="continue"/>
          </w:tcPr>
          <w:p>
            <w:pPr>
              <w:spacing w:after="0"/>
              <w:rPr>
                <w:sz w:val="13"/>
                <w:szCs w:val="13"/>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20,614</w:t>
            </w: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20,454</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20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Rate received (c)</w:t>
            </w: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3.50 %</w:t>
            </w: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3.25 %</w:t>
            </w:r>
          </w:p>
        </w:tc>
        <w:tc>
          <w:tcPr>
            <w:tcW w:w="0" w:type="dxa"/>
            <w:vAlign w:val="bottom"/>
          </w:tcPr>
          <w:p>
            <w:pPr>
              <w:spacing w:after="0"/>
              <w:rPr>
                <w:sz w:val="1"/>
                <w:szCs w:val="1"/>
                <w:color w:val="auto"/>
              </w:rPr>
            </w:pPr>
          </w:p>
        </w:tc>
      </w:tr>
      <w:tr>
        <w:trPr>
          <w:trHeight w:val="184"/>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Rate paid (c)</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4.40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5.35</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spacing w:after="0" w:line="29" w:lineRule="exact"/>
        <w:rPr>
          <w:sz w:val="20"/>
          <w:szCs w:val="20"/>
          <w:color w:val="auto"/>
        </w:rPr>
      </w:pPr>
    </w:p>
    <w:p>
      <w:pPr>
        <w:ind w:left="400" w:hanging="394"/>
        <w:spacing w:after="0"/>
        <w:tabs>
          <w:tab w:leader="none" w:pos="400" w:val="left"/>
        </w:tabs>
        <w:numPr>
          <w:ilvl w:val="0"/>
          <w:numId w:val="2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Computed as an annualized percentage of average earning assets or interest-bearing liabilities.</w:t>
      </w:r>
    </w:p>
    <w:p>
      <w:pPr>
        <w:spacing w:after="0" w:line="22"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2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forward-starting interest rate swap agreements not in effect during the period.</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2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Weighted-average rate paid or received on interest rate swap agreements in effect during the period.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lending activities reflect a shift in portfolio composition as the Company executed various strategies to lessen its relative concentration of commercial real estate loans throughout 2024 and to reduce the amount of criticized loans in this category through 2025. The following table summarizes changes in the components of average loans.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LOANS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4"/>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6"/>
        </w:trPr>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60" w:type="dxa"/>
            <w:vAlign w:val="bottom"/>
          </w:tcPr>
          <w:p>
            <w:pPr>
              <w:spacing w:after="0"/>
              <w:rPr>
                <w:sz w:val="16"/>
                <w:szCs w:val="16"/>
                <w:color w:val="auto"/>
              </w:rPr>
            </w:pPr>
          </w:p>
        </w:tc>
      </w:tr>
      <w:tr>
        <w:trPr>
          <w:trHeight w:val="174"/>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80" w:type="dxa"/>
            <w:vAlign w:val="bottom"/>
          </w:tcPr>
          <w:p>
            <w:pPr>
              <w:spacing w:after="0"/>
              <w:rPr>
                <w:sz w:val="15"/>
                <w:szCs w:val="15"/>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5"/>
                <w:szCs w:val="15"/>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61,716</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61,036</w:t>
            </w:r>
          </w:p>
        </w:tc>
        <w:tc>
          <w:tcPr>
            <w:tcW w:w="100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61,271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58,256</w:t>
            </w:r>
          </w:p>
        </w:tc>
        <w:tc>
          <w:tcPr>
            <w:tcW w:w="9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 - commercial</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25,333</w:t>
            </w:r>
          </w:p>
        </w:tc>
        <w:tc>
          <w:tcPr>
            <w:tcW w:w="10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31,069</w:t>
            </w:r>
          </w:p>
        </w:tc>
        <w:tc>
          <w:tcPr>
            <w:tcW w:w="9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spacing w:after="0"/>
              <w:rPr>
                <w:sz w:val="16"/>
                <w:szCs w:val="16"/>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 - residential</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24,359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23,684</w:t>
            </w:r>
          </w:p>
        </w:tc>
        <w:tc>
          <w:tcPr>
            <w:tcW w:w="100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23,744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23,045</w:t>
            </w:r>
          </w:p>
        </w:tc>
        <w:tc>
          <w:tcPr>
            <w:tcW w:w="9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4,598</w:t>
            </w:r>
          </w:p>
        </w:tc>
        <w:tc>
          <w:tcPr>
            <w:tcW w:w="100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4,613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4,571</w:t>
            </w:r>
          </w:p>
        </w:tc>
        <w:tc>
          <w:tcPr>
            <w:tcW w:w="9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Recreational finance</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13,295</w:t>
            </w:r>
          </w:p>
        </w:tc>
        <w:tc>
          <w:tcPr>
            <w:tcW w:w="10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10,949</w:t>
            </w:r>
          </w:p>
        </w:tc>
        <w:tc>
          <w:tcPr>
            <w:tcW w:w="9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tcPr>
          <w:p>
            <w:pPr>
              <w:spacing w:after="0"/>
              <w:rPr>
                <w:sz w:val="16"/>
                <w:szCs w:val="16"/>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Automobile</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5,225</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5,120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4,408</w:t>
            </w:r>
          </w:p>
        </w:tc>
        <w:tc>
          <w:tcPr>
            <w:tcW w:w="9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2,236</w:t>
            </w:r>
          </w:p>
        </w:tc>
        <w:tc>
          <w:tcPr>
            <w:tcW w:w="80" w:type="dxa"/>
            <w:vAlign w:val="bottom"/>
          </w:tcPr>
          <w:p>
            <w:pPr>
              <w:spacing w:after="0"/>
              <w:rPr>
                <w:sz w:val="16"/>
                <w:szCs w:val="16"/>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2,081</w:t>
            </w:r>
          </w:p>
        </w:tc>
        <w:tc>
          <w:tcPr>
            <w:tcW w:w="9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spacing w:after="0"/>
              <w:rPr>
                <w:sz w:val="16"/>
                <w:szCs w:val="16"/>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consumer</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25,354</w:t>
            </w:r>
          </w:p>
        </w:tc>
        <w:tc>
          <w:tcPr>
            <w:tcW w:w="100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22,009</w:t>
            </w:r>
          </w:p>
        </w:tc>
        <w:tc>
          <w:tcPr>
            <w:tcW w:w="9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136,527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135,407</w:t>
            </w:r>
          </w:p>
        </w:tc>
        <w:tc>
          <w:tcPr>
            <w:tcW w:w="10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135,598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134,379</w:t>
            </w:r>
          </w:p>
        </w:tc>
        <w:tc>
          <w:tcPr>
            <w:tcW w:w="9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loans totaled $136.5 billion in the third quarter of 2025, up $1.1 billion from the second quarter of 2025.</w:t>
      </w:r>
    </w:p>
    <w:p>
      <w:pPr>
        <w:spacing w:after="0" w:line="105" w:lineRule="exact"/>
        <w:rPr>
          <w:sz w:val="20"/>
          <w:szCs w:val="20"/>
          <w:color w:val="auto"/>
        </w:rPr>
      </w:pPr>
    </w:p>
    <w:p>
      <w:pPr>
        <w:jc w:val="both"/>
        <w:ind w:left="780" w:hanging="378"/>
        <w:spacing w:after="0" w:line="266"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commercial and industrial loans grew $680 million reflecting growth in loans to the financial and insurance industry. Loans to that industry include credit facilities to investment funds, mortgage lenders, real estate investment trusts and corporate and institutional borrowers.</w:t>
      </w:r>
    </w:p>
    <w:p>
      <w:pPr>
        <w:spacing w:after="0" w:line="259" w:lineRule="exact"/>
        <w:rPr>
          <w:rFonts w:ascii="Times New Roman" w:cs="Times New Roman" w:eastAsia="Times New Roman" w:hAnsi="Times New Roman"/>
          <w:sz w:val="18"/>
          <w:szCs w:val="18"/>
          <w:color w:val="auto"/>
        </w:rPr>
      </w:pPr>
    </w:p>
    <w:p>
      <w:pPr>
        <w:ind w:left="5220" w:hanging="95"/>
        <w:spacing w:after="0"/>
        <w:tabs>
          <w:tab w:leader="none" w:pos="522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5" w:right="680" w:bottom="1440" w:gutter="0" w:footer="0" w:header="0"/>
        </w:sectPr>
      </w:pPr>
    </w:p>
    <w:bookmarkStart w:id="50" w:name="page51"/>
    <w:bookmarkEnd w:id="50"/>
    <w:p>
      <w:pPr>
        <w:jc w:val="both"/>
        <w:ind w:left="780" w:hanging="378"/>
        <w:spacing w:after="0" w:line="261"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decreased $980 million, reflecting a reduction of $1.1 billion of average construction commercial real estate loans, partially offset by a modest increase of average permanent commercial real estate loans. Contributing to the decline in average commercial real estate construction loans were payoffs and the full quarter impact of the sale of $661 million of out-of-footprint residential builder and developer loans in June 2025.</w:t>
      </w:r>
    </w:p>
    <w:p>
      <w:pPr>
        <w:spacing w:after="0" w:line="59" w:lineRule="exact"/>
        <w:rPr>
          <w:rFonts w:ascii="Times New Roman" w:cs="Times New Roman" w:eastAsia="Times New Roman" w:hAnsi="Times New Roman"/>
          <w:sz w:val="18"/>
          <w:szCs w:val="18"/>
          <w:color w:val="auto"/>
        </w:rPr>
      </w:pPr>
    </w:p>
    <w:p>
      <w:pPr>
        <w:ind w:left="780" w:right="20" w:hanging="37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residential real estate loans increased $675 million reflecting the retention of originated residential mortgage loans and purchases.</w:t>
      </w:r>
    </w:p>
    <w:p>
      <w:pPr>
        <w:spacing w:after="0" w:line="41" w:lineRule="exact"/>
        <w:rPr>
          <w:rFonts w:ascii="Times New Roman" w:cs="Times New Roman" w:eastAsia="Times New Roman" w:hAnsi="Times New Roman"/>
          <w:sz w:val="18"/>
          <w:szCs w:val="18"/>
          <w:color w:val="auto"/>
        </w:rPr>
      </w:pPr>
    </w:p>
    <w:p>
      <w:pPr>
        <w:ind w:left="780" w:right="20" w:hanging="37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consumer loans increased $745 million reflecting higher average balances of recreational finance loans of $663 million and home equity loans and lines of credit of $76 million.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nine months of 2025, average loans increased $1.2 billion from the corresponding 2024 period.</w:t>
      </w:r>
    </w:p>
    <w:p>
      <w:pPr>
        <w:spacing w:after="0" w:line="105" w:lineRule="exact"/>
        <w:rPr>
          <w:sz w:val="20"/>
          <w:szCs w:val="20"/>
          <w:color w:val="auto"/>
        </w:rPr>
      </w:pPr>
    </w:p>
    <w:p>
      <w:pPr>
        <w:ind w:left="780" w:right="20" w:hanging="378"/>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commercial and industrial loans increased $3.0 billion reflecting higher average balances of loans to financial and insurance companies and motor vehicle and recreational finance dealers.</w:t>
      </w:r>
    </w:p>
    <w:p>
      <w:pPr>
        <w:spacing w:after="0" w:line="41" w:lineRule="exact"/>
        <w:rPr>
          <w:rFonts w:ascii="Times New Roman" w:cs="Times New Roman" w:eastAsia="Times New Roman" w:hAnsi="Times New Roman"/>
          <w:sz w:val="18"/>
          <w:szCs w:val="18"/>
          <w:color w:val="auto"/>
        </w:rPr>
      </w:pPr>
    </w:p>
    <w:p>
      <w:pPr>
        <w:jc w:val="both"/>
        <w:ind w:left="780" w:right="20" w:hanging="378"/>
        <w:spacing w:after="0" w:line="266"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commercial real estate loans declined $5.8 billion as the Company executed various strategies to reduce its relative concentration of such loans. Average permanent and construction commercial real estate loans decreased by $3.8 billion and $1.9 billion, respectively.</w:t>
      </w:r>
    </w:p>
    <w:p>
      <w:pPr>
        <w:spacing w:after="0" w:line="55"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residential real estate loans grew $699 million reflecting the retention of originated residential mortgage loans and purchases.</w:t>
      </w:r>
    </w:p>
    <w:p>
      <w:pPr>
        <w:spacing w:after="0" w:line="105" w:lineRule="exact"/>
        <w:rPr>
          <w:rFonts w:ascii="Times New Roman" w:cs="Times New Roman" w:eastAsia="Times New Roman" w:hAnsi="Times New Roman"/>
          <w:sz w:val="18"/>
          <w:szCs w:val="18"/>
          <w:color w:val="auto"/>
        </w:rPr>
      </w:pPr>
    </w:p>
    <w:p>
      <w:pPr>
        <w:ind w:left="780" w:right="20" w:hanging="378"/>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consumer loans increased $3.3 billion reflecting recreational finance and automobile average loan growth of $2.4 billion and $712 million,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securities portfolio is largely comprised of government-issued or guaranteed residential and commercial mortgage-backed securities and U.S. Treasury securities, but also includes municipal and other securities. When purchasing investment securities, the Company considers its liquidity position and its overall interest rate risk profile as well as the adequacy of expected returns relative to risks assumed, including prepayments. The Company may occasionally sell investment securities as a result of movements in interest rates and spreads, changes in liquidity needs, actual or anticipated prepayments, credit risk associated with a particular security, or as a result of restructuring its investment securities portfolio.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 Information about the Company's average investment securities portfolio is presented in the following table.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INVESTMENT SECURITIES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4"/>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6"/>
        </w:trPr>
        <w:tc>
          <w:tcPr>
            <w:tcW w:w="3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60" w:type="dxa"/>
            <w:vAlign w:val="bottom"/>
          </w:tcPr>
          <w:p>
            <w:pPr>
              <w:spacing w:after="0"/>
              <w:rPr>
                <w:sz w:val="16"/>
                <w:szCs w:val="16"/>
                <w:color w:val="auto"/>
              </w:rPr>
            </w:pPr>
          </w:p>
        </w:tc>
      </w:tr>
      <w:tr>
        <w:trPr>
          <w:trHeight w:val="174"/>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8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5"/>
                <w:szCs w:val="15"/>
                <w:color w:val="auto"/>
              </w:rPr>
            </w:pPr>
          </w:p>
        </w:tc>
      </w:tr>
      <w:tr>
        <w:trPr>
          <w:trHeight w:val="204"/>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securities available for sale:</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Treasury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7,155</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7,966</w:t>
            </w:r>
          </w:p>
        </w:tc>
        <w:tc>
          <w:tcPr>
            <w:tcW w:w="9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7,702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8,040</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Mortgage-backed securities (a)</w:t>
            </w: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15,481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13,079</w:t>
            </w:r>
          </w:p>
        </w:tc>
        <w:tc>
          <w:tcPr>
            <w:tcW w:w="9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5,419</w:t>
            </w:r>
          </w:p>
        </w:tc>
        <w:tc>
          <w:tcPr>
            <w:tcW w:w="10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148</w:t>
            </w:r>
          </w:p>
        </w:tc>
        <w:tc>
          <w:tcPr>
            <w:tcW w:w="160" w:type="dxa"/>
            <w:vAlign w:val="bottom"/>
          </w:tcPr>
          <w:p>
            <w:pPr>
              <w:spacing w:after="0"/>
              <w:rPr>
                <w:sz w:val="16"/>
                <w:szCs w:val="16"/>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debt securities</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9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-32</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-98</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available for sale</w:t>
            </w: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22,638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21,048</w:t>
            </w:r>
          </w:p>
        </w:tc>
        <w:tc>
          <w:tcPr>
            <w:tcW w:w="9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13,603</w:t>
            </w: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55</w:t>
            </w:r>
          </w:p>
        </w:tc>
        <w:tc>
          <w:tcPr>
            <w:tcW w:w="160" w:type="dxa"/>
            <w:vAlign w:val="bottom"/>
          </w:tcPr>
          <w:p>
            <w:pPr>
              <w:spacing w:after="0"/>
              <w:rPr>
                <w:sz w:val="16"/>
                <w:szCs w:val="16"/>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securities held to maturity:</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Treasury</w:t>
            </w: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16"/>
                <w:szCs w:val="16"/>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1,009</w:t>
            </w: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-50</w:t>
            </w:r>
          </w:p>
        </w:tc>
        <w:tc>
          <w:tcPr>
            <w:tcW w:w="160" w:type="dxa"/>
            <w:vAlign w:val="bottom"/>
          </w:tcPr>
          <w:p>
            <w:pPr>
              <w:spacing w:after="0"/>
              <w:rPr>
                <w:sz w:val="16"/>
                <w:szCs w:val="16"/>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Mortgage-backed securities (a)</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10,247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10,504</w:t>
            </w:r>
          </w:p>
        </w:tc>
        <w:tc>
          <w:tcPr>
            <w:tcW w:w="9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11,490</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w:t>
            </w:r>
          </w:p>
        </w:tc>
        <w:tc>
          <w:tcPr>
            <w:tcW w:w="9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2,448</w:t>
            </w: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6"/>
                <w:szCs w:val="16"/>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debt securities</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held to maturity</w:t>
            </w: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12,882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13,222</w:t>
            </w:r>
          </w:p>
        </w:tc>
        <w:tc>
          <w:tcPr>
            <w:tcW w:w="9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14,948</w:t>
            </w: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6"/>
                <w:szCs w:val="16"/>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1,039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9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1,060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1,222</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204"/>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36,559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35,335</w:t>
            </w:r>
          </w:p>
        </w:tc>
        <w:tc>
          <w:tcPr>
            <w:tcW w:w="9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35,466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29,773</w:t>
            </w: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3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Primarily government issued or guaranteed.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51" w:name="page52"/>
    <w:bookmarkEnd w:id="51"/>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investment securities portfolio averaged $36.6 billion in the third quarter of 2025, up $1.2 billion from the second quarter of 2025, and $35.5 billion for the nine months ended September 30, 2025, an increase of $5.7 billion from the similar 2024 period. Those increases reflect the deployment of liquidity into primarily fixed rate mortgage-backed investment securities classified in the Company's available-for-sale investment securities portfolio. As a result of the purchases of higher-yielding securities and the maturities of lower-yielding securities, the weighted-average current yield for total investment securities available for sale increased to 4.65% at September 30, 2025 and 4.50% at June 30, 2025 as compared with 4.08% at September 30, 2024. The weighted-average duration of the available-for-sale investment securities portfolio was 2.5 years at September 30, 2025 as compared with 2.6 years and 2.3 years at June 30, 2025 and September 30, 2024, respectively. The Company routinely adjusts its holdings of capital stock of the FHLB of New York and the FRB of New York based on amounts of outstanding borrowings and available lines of credit with those entities.</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debt investment securities for declines in value below amortized cost that might be indicative of credit-related losses. There were no credit-related losses on debt investment securities recognized in each of the nine months ended September 30, 2025 and 2024. A further discussion of fair values of investment securities is included herein under the heading "Capital." Additional information about the investment securities portfolio is included in notes 3 and 13 of Notes to Financial Statements.</w:t>
      </w:r>
    </w:p>
    <w:p>
      <w:pPr>
        <w:spacing w:after="0" w:line="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Other earning assets include interest-bearing deposits at banks and trading account assets. Those other earning assets in the aggregate averaged $17.8 billion and $19.8 billion for the three-month periods ended September 30, 2025 and June 30, 2025, respectively, and $19.1 billion and $28.6 billion for the nine months ended September 30, 2025 and 2024, respectively. The amounts of other earning assets at those respective dates were primarily comprised of deposits held at the FRB of New York. In general, the levels of those deposits often fluctuate due to changes in deposits of retail and commercial customers, trust-related deposits, brokered deposits and additions to or maturities of investment securities or borrowings.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 - deposits</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most significant source of funding for the Company is core deposits. The Company considers noninterest-bearing deposits, savings and interest-checking deposits and time deposits of $250,000 or less as core deposits. The Company’s branch network is its principal source of core deposits, which generally carry lower interest rates than wholesale funds of comparable maturities. Average core deposits represented 78% and 79% of average earning assets for the quarters ended September 30, 2025 and June 30, 2025, respectively, and 78% and 77% for the nine months ended September 30, 2025 and 2024, respectively. The Company also includes brokered deposits as a component of its wholesale funding strategy. Depending on market conditions, including demand by customers and other investors, and the cost of funds available from alternative sources, the Company may change the amount or composition of brokered deposits in the future. The following table provides an analysis of changes in the components of average deposits.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DEPOSITS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4"/>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6"/>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60" w:type="dxa"/>
            <w:vAlign w:val="bottom"/>
          </w:tcPr>
          <w:p>
            <w:pPr>
              <w:spacing w:after="0"/>
              <w:rPr>
                <w:sz w:val="16"/>
                <w:szCs w:val="16"/>
                <w:color w:val="auto"/>
              </w:rPr>
            </w:pPr>
          </w:p>
        </w:tc>
      </w:tr>
      <w:tr>
        <w:trPr>
          <w:trHeight w:val="174"/>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8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9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5"/>
                <w:szCs w:val="15"/>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5"/>
                <w:szCs w:val="15"/>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44,056</w:t>
            </w:r>
          </w:p>
        </w:tc>
        <w:tc>
          <w:tcPr>
            <w:tcW w:w="34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45,153</w:t>
            </w:r>
          </w:p>
        </w:tc>
        <w:tc>
          <w:tcPr>
            <w:tcW w:w="9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44,877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47,498</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Savings and interest-checking deposits</w:t>
            </w: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94,452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94,042</w:t>
            </w:r>
          </w:p>
        </w:tc>
        <w:tc>
          <w:tcPr>
            <w:tcW w:w="80" w:type="dxa"/>
            <w:vAlign w:val="bottom"/>
          </w:tcPr>
          <w:p>
            <w:pPr>
              <w:spacing w:after="0"/>
              <w:rPr>
                <w:sz w:val="16"/>
                <w:szCs w:val="16"/>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88,026</w:t>
            </w: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tcPr>
          <w:p>
            <w:pPr>
              <w:spacing w:after="0"/>
              <w:rPr>
                <w:sz w:val="16"/>
                <w:szCs w:val="16"/>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deposits of $250,000 or less</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10,503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10,669</w:t>
            </w:r>
          </w:p>
        </w:tc>
        <w:tc>
          <w:tcPr>
            <w:tcW w:w="9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12,029</w:t>
            </w:r>
          </w:p>
        </w:tc>
        <w:tc>
          <w:tcPr>
            <w:tcW w:w="100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core deposits</w:t>
            </w: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149,011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149,864</w:t>
            </w:r>
          </w:p>
        </w:tc>
        <w:tc>
          <w:tcPr>
            <w:tcW w:w="9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148,797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147,553</w:t>
            </w: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6"/>
                <w:szCs w:val="16"/>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Time deposits greater than $250,000</w:t>
            </w: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3,053</w:t>
            </w:r>
          </w:p>
        </w:tc>
        <w:tc>
          <w:tcPr>
            <w:tcW w:w="9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3,404</w:t>
            </w:r>
          </w:p>
        </w:tc>
        <w:tc>
          <w:tcPr>
            <w:tcW w:w="100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6"/>
                <w:szCs w:val="16"/>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Brokered savings and interest-checking deposits</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10,208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9,921</w:t>
            </w:r>
          </w:p>
        </w:tc>
        <w:tc>
          <w:tcPr>
            <w:tcW w:w="9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8,353</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20</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Brokered time deposits</w:t>
            </w: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486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9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100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-84</w:t>
            </w:r>
          </w:p>
        </w:tc>
        <w:tc>
          <w:tcPr>
            <w:tcW w:w="160" w:type="dxa"/>
            <w:vAlign w:val="bottom"/>
          </w:tcPr>
          <w:p>
            <w:pPr>
              <w:spacing w:after="0"/>
              <w:rPr>
                <w:sz w:val="16"/>
                <w:szCs w:val="16"/>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deposits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162,706</w:t>
            </w:r>
          </w:p>
        </w:tc>
        <w:tc>
          <w:tcPr>
            <w:tcW w:w="3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163,406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162,450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163,015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Total deposits averaged $162.7 billion in the recent quarter, down $700 million from the second quarter of 2025.</w:t>
      </w:r>
    </w:p>
    <w:p>
      <w:pPr>
        <w:spacing w:after="0" w:line="105" w:lineRule="exact"/>
        <w:rPr>
          <w:sz w:val="20"/>
          <w:szCs w:val="20"/>
          <w:color w:val="auto"/>
        </w:rPr>
      </w:pPr>
    </w:p>
    <w:p>
      <w:pPr>
        <w:ind w:left="780" w:right="40" w:hanging="378"/>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core deposits decreased $853 million reflecting lower noninterest-bearing deposits largely driven by a single commercial customer, partially offset by higher average savings and interest-checking deposits.</w:t>
      </w:r>
    </w:p>
    <w:p>
      <w:pPr>
        <w:spacing w:after="0" w:line="41" w:lineRule="exact"/>
        <w:rPr>
          <w:rFonts w:ascii="Times New Roman" w:cs="Times New Roman" w:eastAsia="Times New Roman" w:hAnsi="Times New Roman"/>
          <w:sz w:val="18"/>
          <w:szCs w:val="18"/>
          <w:color w:val="auto"/>
        </w:rPr>
      </w:pPr>
    </w:p>
    <w:p>
      <w:pPr>
        <w:ind w:left="780" w:right="40" w:hanging="378"/>
        <w:spacing w:after="0" w:line="282"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brokered deposits increased $205 million reflecting an increase in brokered savings and interest-checking deposits, partially offset by maturities of brokered time deposits.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nine months of 2025, total average deposits decreased $565 million from the corresponding 2024 period.</w:t>
      </w:r>
    </w:p>
    <w:p>
      <w:pPr>
        <w:spacing w:after="0" w:line="105" w:lineRule="exact"/>
        <w:rPr>
          <w:sz w:val="20"/>
          <w:szCs w:val="20"/>
          <w:color w:val="auto"/>
        </w:rPr>
      </w:pPr>
    </w:p>
    <w:p>
      <w:pPr>
        <w:jc w:val="both"/>
        <w:ind w:left="780" w:hanging="378"/>
        <w:spacing w:after="0" w:line="266"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core deposits grew $1.2 billion due to higher average balances of savings and interest-checking deposits that reflected a shift in customer funds from noninterest-bearing accounts to interest-bearing products. Lower average balances of core time deposits reflected comparatively lower rates paid on those products.</w:t>
      </w:r>
    </w:p>
    <w:p>
      <w:pPr>
        <w:spacing w:after="0" w:line="55" w:lineRule="exact"/>
        <w:rPr>
          <w:rFonts w:ascii="Times New Roman" w:cs="Times New Roman" w:eastAsia="Times New Roman" w:hAnsi="Times New Roman"/>
          <w:sz w:val="18"/>
          <w:szCs w:val="18"/>
          <w:color w:val="auto"/>
        </w:rPr>
      </w:pPr>
    </w:p>
    <w:p>
      <w:pPr>
        <w:jc w:val="both"/>
        <w:ind w:left="780" w:hanging="378"/>
        <w:spacing w:after="0" w:line="266"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brokered deposits declined $1.4 billion reflecting a decrease in average brokered time deposits of $3.1 billion as those products matured. That decrease was partially offset by an increase in average brokered savings and interest-bearing transaction accounts of $1.7 billion reflecting changes in the Company's wholesale funding strategy.</w:t>
      </w:r>
    </w:p>
    <w:p>
      <w:pPr>
        <w:spacing w:after="0" w:line="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accompanying table summarizes the components of average total deposits by reportable segment for the three months ended September 30, 2025 and June 30, 2025 and the nine months ended September 30, 2025 and 2024.</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DEPOSITS BY REPORTABLE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Institutional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and Wealth</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4"/>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Commercial Bank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Retail Bank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6"/>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8"/>
        </w:trPr>
        <w:tc>
          <w:tcPr>
            <w:tcW w:w="20" w:type="dxa"/>
            <w:vAlign w:val="bottom"/>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4"/>
        </w:trPr>
        <w:tc>
          <w:tcPr>
            <w:tcW w:w="44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40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10,280</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24,356</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8,772</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44,056</w:t>
            </w:r>
          </w:p>
        </w:tc>
      </w:tr>
      <w:tr>
        <w:trPr>
          <w:trHeight w:val="184"/>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Savings and interest-checking deposits</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9,726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104,660</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4"/>
        </w:trPr>
        <w:tc>
          <w:tcPr>
            <w:tcW w:w="44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deposits</w:t>
            </w: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13,990</w:t>
            </w:r>
          </w:p>
        </w:tc>
      </w:tr>
      <w:tr>
        <w:trPr>
          <w:trHeight w:val="200"/>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46,029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90,443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18,546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56"/>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 30, 2025</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4"/>
        </w:trPr>
        <w:tc>
          <w:tcPr>
            <w:tcW w:w="44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40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11,337</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24,449</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8,868</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45,153</w:t>
            </w:r>
          </w:p>
        </w:tc>
      </w:tr>
      <w:tr>
        <w:trPr>
          <w:trHeight w:val="184"/>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Savings and interest-checking deposits</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10,268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103,963</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4"/>
        </w:trPr>
        <w:tc>
          <w:tcPr>
            <w:tcW w:w="44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deposits</w:t>
            </w: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14,290</w:t>
            </w:r>
          </w:p>
        </w:tc>
      </w:tr>
      <w:tr>
        <w:trPr>
          <w:trHeight w:val="200"/>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45,995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90,614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19,179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56"/>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4"/>
        </w:trPr>
        <w:tc>
          <w:tcPr>
            <w:tcW w:w="44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40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10,970</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24,342</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9,001</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44,877</w:t>
            </w:r>
          </w:p>
        </w:tc>
      </w:tr>
      <w:tr>
        <w:trPr>
          <w:trHeight w:val="184"/>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Savings and interest-checking deposits</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103,407</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4"/>
        </w:trPr>
        <w:tc>
          <w:tcPr>
            <w:tcW w:w="44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deposits</w:t>
            </w: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14,166</w:t>
            </w:r>
          </w:p>
        </w:tc>
      </w:tr>
      <w:tr>
        <w:trPr>
          <w:trHeight w:val="180"/>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45,836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18,764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162,450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6"/>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4"/>
        </w:trPr>
        <w:tc>
          <w:tcPr>
            <w:tcW w:w="44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40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12,648</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25,055</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9,094</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47,498</w:t>
            </w:r>
          </w:p>
        </w:tc>
      </w:tr>
      <w:tr>
        <w:trPr>
          <w:trHeight w:val="184"/>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Savings and interest-checking deposits</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7,769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96,379</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4"/>
        </w:trPr>
        <w:tc>
          <w:tcPr>
            <w:tcW w:w="44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deposits</w:t>
            </w: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19,138</w:t>
            </w:r>
          </w:p>
        </w:tc>
      </w:tr>
      <w:tr>
        <w:trPr>
          <w:trHeight w:val="200"/>
        </w:trPr>
        <w:tc>
          <w:tcPr>
            <w:tcW w:w="448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43,555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91,620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16,903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10,937</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163,015</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25" w:right="6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 - borrowings</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balances utilized from the Company's short-term and long-term borrowing facilities and note programs.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BORROWINGS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4"/>
          </w:tcPr>
          <w:p>
            <w:pPr>
              <w:jc w:val="right"/>
              <w:ind w:right="77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86"/>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4"/>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80" w:type="dxa"/>
            <w:vAlign w:val="bottom"/>
          </w:tcPr>
          <w:p>
            <w:pPr>
              <w:spacing w:after="0"/>
              <w:rPr>
                <w:sz w:val="15"/>
                <w:szCs w:val="15"/>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borrowings: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Federal funds purchased and repurchase agreements</w:t>
            </w:r>
          </w:p>
        </w:tc>
        <w:tc>
          <w:tcPr>
            <w:tcW w:w="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r>
      <w:tr>
        <w:trPr>
          <w:trHeight w:val="184"/>
        </w:trPr>
        <w:tc>
          <w:tcPr>
            <w:tcW w:w="47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FHLB advances</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3,128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4,799</w:t>
            </w: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short-term borrowings</w:t>
            </w: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3,327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3,013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5,071</w:t>
            </w:r>
          </w:p>
        </w:tc>
      </w:tr>
      <w:tr>
        <w:trPr>
          <w:trHeight w:val="240"/>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8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borrowings:</w:t>
            </w: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84"/>
        </w:trPr>
        <w:tc>
          <w:tcPr>
            <w:tcW w:w="47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Senior notes</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8,066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8,515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6,866</w:t>
            </w: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FHLB advances</w:t>
            </w: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r>
      <w:tr>
        <w:trPr>
          <w:trHeight w:val="184"/>
        </w:trPr>
        <w:tc>
          <w:tcPr>
            <w:tcW w:w="47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Subordinated notes</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w:t>
            </w: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Junior subordinated debentures</w:t>
            </w: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r>
      <w:tr>
        <w:trPr>
          <w:trHeight w:val="184"/>
        </w:trPr>
        <w:tc>
          <w:tcPr>
            <w:tcW w:w="47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Asset-backed notes</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w:t>
            </w: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4"/>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84"/>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long-term borrowings</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10,887</w:t>
            </w: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borrowings</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15,633</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borrowing capacity from banks, the FHLBs, the FRB of New York and others as sources of funding. Short-term borrowings represent arrangements that at the time they were entered into had a contractual maturity of one year or less. Average short-term borrowings in the third quarter of 2025 as compared with the second quarter of 2025, as well as for the nine months ended September 30, 2025 as compared with the similar 2024 period, were lower as a result of the Company's management of liquidity, including reductions in certain short-term wholesale funding sources.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levels of long-term borrowings reflect the Company's strategies to diversify its wholesale funding sources to provide long-term funding stabilization and prepare for proposed regulations enumerating certain long-term debt requirements as described in Part I, Item 1, "Resolution Planning and Resolution-Related Requirements" of M&amp;T's 2024 Annual Report. The following table provides a summary of the Company's issuances, maturities and redemptions of long-term borrowings for the three-month and nine-month periods ended September 30,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 ISSUANCES, MATURITIES AND REDEMPTIONS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4"/>
        </w:trPr>
        <w:tc>
          <w:tcPr>
            <w:tcW w:w="5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420" w:type="dxa"/>
            <w:vAlign w:val="bottom"/>
          </w:tcPr>
          <w:p>
            <w:pPr>
              <w:spacing w:after="0"/>
              <w:rPr>
                <w:sz w:val="15"/>
                <w:szCs w:val="15"/>
                <w:color w:val="auto"/>
              </w:rPr>
            </w:pPr>
          </w:p>
        </w:tc>
        <w:tc>
          <w:tcPr>
            <w:tcW w:w="174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September 30, 2025</w:t>
            </w:r>
          </w:p>
        </w:tc>
      </w:tr>
      <w:tr>
        <w:trPr>
          <w:trHeight w:val="204"/>
        </w:trPr>
        <w:tc>
          <w:tcPr>
            <w:tcW w:w="5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Issuances (a):</w:t>
            </w: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4"/>
        </w:trPr>
        <w:tc>
          <w:tcPr>
            <w:tcW w:w="5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Senior notes of M&amp;T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r>
      <w:tr>
        <w:trPr>
          <w:trHeight w:val="184"/>
        </w:trPr>
        <w:tc>
          <w:tcPr>
            <w:tcW w:w="5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Senior notes of M&amp;T Bank</w:t>
            </w:r>
          </w:p>
        </w:tc>
        <w:tc>
          <w:tcPr>
            <w:tcW w:w="1420" w:type="dxa"/>
            <w:vAlign w:val="bottom"/>
          </w:tcPr>
          <w:p>
            <w:pPr>
              <w:spacing w:after="0"/>
              <w:rPr>
                <w:sz w:val="16"/>
                <w:szCs w:val="16"/>
                <w:color w:val="auto"/>
              </w:rPr>
            </w:pPr>
          </w:p>
        </w:tc>
        <w:tc>
          <w:tcPr>
            <w:tcW w:w="174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r>
      <w:tr>
        <w:trPr>
          <w:trHeight w:val="20"/>
        </w:trPr>
        <w:tc>
          <w:tcPr>
            <w:tcW w:w="5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4"/>
        </w:trPr>
        <w:tc>
          <w:tcPr>
            <w:tcW w:w="5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Subordinated notes of M&amp;T</w:t>
            </w:r>
          </w:p>
        </w:tc>
        <w:tc>
          <w:tcPr>
            <w:tcW w:w="14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750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r>
      <w:tr>
        <w:trPr>
          <w:trHeight w:val="184"/>
        </w:trPr>
        <w:tc>
          <w:tcPr>
            <w:tcW w:w="5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Asset-backed notes</w:t>
            </w:r>
          </w:p>
        </w:tc>
        <w:tc>
          <w:tcPr>
            <w:tcW w:w="1420" w:type="dxa"/>
            <w:vAlign w:val="bottom"/>
          </w:tcPr>
          <w:p>
            <w:pPr>
              <w:spacing w:after="0"/>
              <w:rPr>
                <w:sz w:val="16"/>
                <w:szCs w:val="16"/>
                <w:color w:val="auto"/>
              </w:rPr>
            </w:pPr>
          </w:p>
        </w:tc>
        <w:tc>
          <w:tcPr>
            <w:tcW w:w="174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1,296</w:t>
            </w:r>
          </w:p>
        </w:tc>
      </w:tr>
      <w:tr>
        <w:trPr>
          <w:trHeight w:val="20"/>
        </w:trPr>
        <w:tc>
          <w:tcPr>
            <w:tcW w:w="5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Maturities/Redemptions (b):</w:t>
            </w:r>
          </w:p>
        </w:tc>
        <w:tc>
          <w:tcPr>
            <w:tcW w:w="14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184"/>
        </w:trPr>
        <w:tc>
          <w:tcPr>
            <w:tcW w:w="5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FHLB advances</w:t>
            </w:r>
          </w:p>
        </w:tc>
        <w:tc>
          <w:tcPr>
            <w:tcW w:w="1420" w:type="dxa"/>
            <w:vAlign w:val="bottom"/>
          </w:tcPr>
          <w:p>
            <w:pPr>
              <w:spacing w:after="0"/>
              <w:rPr>
                <w:sz w:val="16"/>
                <w:szCs w:val="16"/>
                <w:color w:val="auto"/>
              </w:rPr>
            </w:pPr>
          </w:p>
        </w:tc>
        <w:tc>
          <w:tcPr>
            <w:tcW w:w="174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2,001</w:t>
            </w:r>
          </w:p>
        </w:tc>
      </w:tr>
      <w:tr>
        <w:trPr>
          <w:trHeight w:val="20"/>
        </w:trPr>
        <w:tc>
          <w:tcPr>
            <w:tcW w:w="5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4"/>
        </w:trPr>
        <w:tc>
          <w:tcPr>
            <w:tcW w:w="5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Senior notes of M&amp;T Bank</w:t>
            </w:r>
          </w:p>
        </w:tc>
        <w:tc>
          <w:tcPr>
            <w:tcW w:w="14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r>
      <w:tr>
        <w:trPr>
          <w:trHeight w:val="184"/>
        </w:trPr>
        <w:tc>
          <w:tcPr>
            <w:tcW w:w="5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Junior subordinated debentures of M&amp;T associated with Preferred Capital Securities</w:t>
            </w:r>
          </w:p>
        </w:tc>
        <w:tc>
          <w:tcPr>
            <w:tcW w:w="1420" w:type="dxa"/>
            <w:vAlign w:val="bottom"/>
          </w:tcPr>
          <w:p>
            <w:pPr>
              <w:spacing w:after="0"/>
              <w:rPr>
                <w:sz w:val="16"/>
                <w:szCs w:val="16"/>
                <w:color w:val="auto"/>
              </w:rPr>
            </w:pPr>
          </w:p>
        </w:tc>
        <w:tc>
          <w:tcPr>
            <w:tcW w:w="174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34</w:t>
            </w: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3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At par value.</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3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paydowns of asset-backed notes.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borrowings is provided in notes 5 and 12 of Notes to Financial Statements.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1" w:right="66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provision for credit losses is recorded to adjust the level of the allowance to reflect expected credit losses that are based on economic forecasts as of each reporting date. A provision for credit losses of $125 million was recorded in each of the third and second quarters of 2025. The provision for credit losses included $15 million and $20 million of provision for unfunded credit commitments in the third and second quarters of 2025, respectively. For the nine months ended September 30, 2025 and 2024, the Company recorded a provision for credit losses of $380 million and $470 million, respectively. The lower provision for credit losses in the first nine months of 2025 as compared with the similar 2024 period reflects improved credit performance of commercial real estate loans, partially offset by consumer loan growth.</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net loan charge-offs by loan type and as an annualized percent of such average loans is presented in the table that follows.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CHARGE-OFF (RECOVERY)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80" w:type="dxa"/>
            <w:vAlign w:val="bottom"/>
            <w:gridSpan w:val="5"/>
          </w:tcPr>
          <w:p>
            <w:pPr>
              <w:jc w:val="right"/>
              <w:ind w:right="89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4"/>
        </w:trPr>
        <w:tc>
          <w:tcPr>
            <w:tcW w:w="3920" w:type="dxa"/>
            <w:vAlign w:val="bottom"/>
          </w:tcPr>
          <w:p>
            <w:pPr>
              <w:spacing w:after="0"/>
              <w:rPr>
                <w:sz w:val="17"/>
                <w:szCs w:val="17"/>
                <w:color w:val="auto"/>
              </w:rPr>
            </w:pPr>
          </w:p>
        </w:tc>
        <w:tc>
          <w:tcPr>
            <w:tcW w:w="3120" w:type="dxa"/>
            <w:vAlign w:val="bottom"/>
            <w:gridSpan w:val="4"/>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3"/>
          </w:tcPr>
          <w:p>
            <w:pPr>
              <w:jc w:val="right"/>
              <w:ind w:right="103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7"/>
                <w:szCs w:val="17"/>
                <w:color w:val="auto"/>
              </w:rPr>
            </w:pPr>
          </w:p>
        </w:tc>
      </w:tr>
      <w:tr>
        <w:trPr>
          <w:trHeight w:val="186"/>
        </w:trPr>
        <w:tc>
          <w:tcPr>
            <w:tcW w:w="3920" w:type="dxa"/>
            <w:vAlign w:val="bottom"/>
          </w:tcPr>
          <w:p>
            <w:pPr>
              <w:spacing w:after="0"/>
              <w:rPr>
                <w:sz w:val="16"/>
                <w:szCs w:val="16"/>
                <w:color w:val="auto"/>
              </w:rPr>
            </w:pPr>
          </w:p>
        </w:tc>
        <w:tc>
          <w:tcPr>
            <w:tcW w:w="1240" w:type="dxa"/>
            <w:vAlign w:val="bottom"/>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w w:val="99"/>
              </w:rPr>
              <w:t>Net Charge-Offs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Annualized Percent of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Net Charge-Offs</w:t>
            </w:r>
          </w:p>
        </w:tc>
        <w:tc>
          <w:tcPr>
            <w:tcW w:w="80" w:type="dxa"/>
            <w:vAlign w:val="bottom"/>
          </w:tcPr>
          <w:p>
            <w:pPr>
              <w:spacing w:after="0"/>
              <w:rPr>
                <w:sz w:val="16"/>
                <w:szCs w:val="16"/>
                <w:color w:val="auto"/>
              </w:rPr>
            </w:pPr>
          </w:p>
        </w:tc>
        <w:tc>
          <w:tcPr>
            <w:tcW w:w="152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Annualized Percent of</w:t>
            </w:r>
          </w:p>
        </w:tc>
        <w:tc>
          <w:tcPr>
            <w:tcW w:w="160" w:type="dxa"/>
            <w:vAlign w:val="bottom"/>
          </w:tcPr>
          <w:p>
            <w:pPr>
              <w:spacing w:after="0"/>
              <w:rPr>
                <w:sz w:val="16"/>
                <w:szCs w:val="16"/>
                <w:color w:val="auto"/>
              </w:rPr>
            </w:pPr>
          </w:p>
        </w:tc>
      </w:tr>
      <w:tr>
        <w:trPr>
          <w:trHeight w:val="174"/>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40" w:type="dxa"/>
            <w:vAlign w:val="bottom"/>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w w:val="99"/>
              </w:rPr>
              <w:t>(Recoveries)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Average Loans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(Recoveries)</w:t>
            </w:r>
          </w:p>
        </w:tc>
        <w:tc>
          <w:tcPr>
            <w:tcW w:w="80" w:type="dxa"/>
            <w:vAlign w:val="bottom"/>
          </w:tcPr>
          <w:p>
            <w:pPr>
              <w:spacing w:after="0"/>
              <w:rPr>
                <w:sz w:val="15"/>
                <w:szCs w:val="15"/>
                <w:color w:val="auto"/>
              </w:rPr>
            </w:pPr>
          </w:p>
        </w:tc>
        <w:tc>
          <w:tcPr>
            <w:tcW w:w="152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Average Loans</w:t>
            </w:r>
          </w:p>
        </w:tc>
        <w:tc>
          <w:tcPr>
            <w:tcW w:w="160" w:type="dxa"/>
            <w:vAlign w:val="bottom"/>
          </w:tcPr>
          <w:p>
            <w:pPr>
              <w:spacing w:after="0"/>
              <w:rPr>
                <w:sz w:val="15"/>
                <w:szCs w:val="15"/>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240" w:type="dxa"/>
            <w:vAlign w:val="bottom"/>
            <w:tcBorders>
              <w:bottom w:val="single" w:sz="8" w:color="CCEEFF"/>
            </w:tcBorders>
            <w:shd w:val="clear" w:color="auto" w:fill="CCEEFF"/>
          </w:tcPr>
          <w:p>
            <w:pPr>
              <w:jc w:val="right"/>
              <w:ind w:right="1094"/>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72</w:t>
            </w:r>
          </w:p>
        </w:tc>
        <w:tc>
          <w:tcPr>
            <w:tcW w:w="16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38</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Commercial</w:t>
            </w: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17</w:t>
            </w:r>
          </w:p>
        </w:tc>
        <w:tc>
          <w:tcPr>
            <w:tcW w:w="16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.33</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21</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1240" w:type="dxa"/>
            <w:vAlign w:val="bottom"/>
          </w:tcPr>
          <w:p>
            <w:pPr>
              <w:spacing w:after="0"/>
              <w:rPr>
                <w:sz w:val="16"/>
                <w:szCs w:val="16"/>
                <w:color w:val="auto"/>
              </w:rPr>
            </w:pP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16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.39</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Residential</w:t>
            </w:r>
          </w:p>
        </w:tc>
        <w:tc>
          <w:tcPr>
            <w:tcW w:w="1240" w:type="dxa"/>
            <w:vAlign w:val="bottom"/>
          </w:tcPr>
          <w:p>
            <w:pPr>
              <w:spacing w:after="0"/>
              <w:rPr>
                <w:sz w:val="16"/>
                <w:szCs w:val="16"/>
                <w:color w:val="auto"/>
              </w:rPr>
            </w:pP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.02</w:t>
            </w:r>
          </w:p>
        </w:tc>
        <w:tc>
          <w:tcPr>
            <w:tcW w:w="16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1240" w:type="dxa"/>
            <w:vAlign w:val="bottom"/>
          </w:tcPr>
          <w:p>
            <w:pPr>
              <w:spacing w:after="0"/>
              <w:rPr>
                <w:sz w:val="16"/>
                <w:szCs w:val="16"/>
                <w:color w:val="auto"/>
              </w:rPr>
            </w:pP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Recreational finance</w:t>
            </w: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24</w:t>
            </w:r>
          </w:p>
        </w:tc>
        <w:tc>
          <w:tcPr>
            <w:tcW w:w="16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.69</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21</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.62</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Automobile</w:t>
            </w:r>
          </w:p>
        </w:tc>
        <w:tc>
          <w:tcPr>
            <w:tcW w:w="1240" w:type="dxa"/>
            <w:vAlign w:val="bottom"/>
          </w:tcPr>
          <w:p>
            <w:pPr>
              <w:spacing w:after="0"/>
              <w:rPr>
                <w:sz w:val="16"/>
                <w:szCs w:val="16"/>
                <w:color w:val="auto"/>
              </w:rPr>
            </w:pP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c>
          <w:tcPr>
            <w:tcW w:w="16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16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23</w:t>
            </w:r>
          </w:p>
        </w:tc>
        <w:tc>
          <w:tcPr>
            <w:tcW w:w="16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4.07</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24</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4.34</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204"/>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4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2"/>
              </w:rPr>
              <w:t>146</w:t>
            </w:r>
          </w:p>
        </w:tc>
        <w:tc>
          <w:tcPr>
            <w:tcW w:w="80" w:type="dxa"/>
            <w:vAlign w:val="bottom"/>
          </w:tcPr>
          <w:p>
            <w:pPr>
              <w:spacing w:after="0"/>
              <w:rPr>
                <w:sz w:val="17"/>
                <w:szCs w:val="17"/>
                <w:color w:val="auto"/>
              </w:rPr>
            </w:pPr>
          </w:p>
        </w:tc>
        <w:tc>
          <w:tcPr>
            <w:tcW w:w="15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7"/>
                <w:szCs w:val="17"/>
                <w:color w:val="auto"/>
              </w:rPr>
            </w:pPr>
          </w:p>
        </w:tc>
        <w:tc>
          <w:tcPr>
            <w:tcW w:w="1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364"/>
        </w:trPr>
        <w:tc>
          <w:tcPr>
            <w:tcW w:w="3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5"/>
          </w:tcPr>
          <w:p>
            <w:pPr>
              <w:jc w:val="right"/>
              <w:ind w:right="93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4"/>
        </w:trPr>
        <w:tc>
          <w:tcPr>
            <w:tcW w:w="3920" w:type="dxa"/>
            <w:vAlign w:val="bottom"/>
          </w:tcPr>
          <w:p>
            <w:pPr>
              <w:spacing w:after="0"/>
              <w:rPr>
                <w:sz w:val="17"/>
                <w:szCs w:val="17"/>
                <w:color w:val="auto"/>
              </w:rPr>
            </w:pPr>
          </w:p>
        </w:tc>
        <w:tc>
          <w:tcPr>
            <w:tcW w:w="3120" w:type="dxa"/>
            <w:vAlign w:val="bottom"/>
            <w:gridSpan w:val="4"/>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gridSpan w:val="3"/>
          </w:tcPr>
          <w:p>
            <w:pPr>
              <w:jc w:val="right"/>
              <w:ind w:right="87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60" w:type="dxa"/>
            <w:vAlign w:val="bottom"/>
          </w:tcPr>
          <w:p>
            <w:pPr>
              <w:spacing w:after="0"/>
              <w:rPr>
                <w:sz w:val="17"/>
                <w:szCs w:val="17"/>
                <w:color w:val="auto"/>
              </w:rPr>
            </w:pPr>
          </w:p>
        </w:tc>
      </w:tr>
      <w:tr>
        <w:trPr>
          <w:trHeight w:val="186"/>
        </w:trPr>
        <w:tc>
          <w:tcPr>
            <w:tcW w:w="3920" w:type="dxa"/>
            <w:vAlign w:val="bottom"/>
          </w:tcPr>
          <w:p>
            <w:pPr>
              <w:spacing w:after="0"/>
              <w:rPr>
                <w:sz w:val="16"/>
                <w:szCs w:val="16"/>
                <w:color w:val="auto"/>
              </w:rPr>
            </w:pPr>
          </w:p>
        </w:tc>
        <w:tc>
          <w:tcPr>
            <w:tcW w:w="1240" w:type="dxa"/>
            <w:vAlign w:val="bottom"/>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w w:val="99"/>
              </w:rPr>
              <w:t>Net Charge-Offs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Annualized Percent of</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Net Charge-Offs</w:t>
            </w:r>
          </w:p>
        </w:tc>
        <w:tc>
          <w:tcPr>
            <w:tcW w:w="80" w:type="dxa"/>
            <w:vAlign w:val="bottom"/>
          </w:tcPr>
          <w:p>
            <w:pPr>
              <w:spacing w:after="0"/>
              <w:rPr>
                <w:sz w:val="16"/>
                <w:szCs w:val="16"/>
                <w:color w:val="auto"/>
              </w:rPr>
            </w:pPr>
          </w:p>
        </w:tc>
        <w:tc>
          <w:tcPr>
            <w:tcW w:w="152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Annualized Percent of</w:t>
            </w:r>
          </w:p>
        </w:tc>
        <w:tc>
          <w:tcPr>
            <w:tcW w:w="160" w:type="dxa"/>
            <w:vAlign w:val="bottom"/>
          </w:tcPr>
          <w:p>
            <w:pPr>
              <w:spacing w:after="0"/>
              <w:rPr>
                <w:sz w:val="16"/>
                <w:szCs w:val="16"/>
                <w:color w:val="auto"/>
              </w:rPr>
            </w:pPr>
          </w:p>
        </w:tc>
      </w:tr>
      <w:tr>
        <w:trPr>
          <w:trHeight w:val="174"/>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40" w:type="dxa"/>
            <w:vAlign w:val="bottom"/>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w w:val="99"/>
              </w:rPr>
              <w:t>(Recoveries)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Average Loans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(Recoveries)</w:t>
            </w:r>
          </w:p>
        </w:tc>
        <w:tc>
          <w:tcPr>
            <w:tcW w:w="80" w:type="dxa"/>
            <w:vAlign w:val="bottom"/>
          </w:tcPr>
          <w:p>
            <w:pPr>
              <w:spacing w:after="0"/>
              <w:rPr>
                <w:sz w:val="15"/>
                <w:szCs w:val="15"/>
                <w:color w:val="auto"/>
              </w:rPr>
            </w:pPr>
          </w:p>
        </w:tc>
        <w:tc>
          <w:tcPr>
            <w:tcW w:w="152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Average Loans</w:t>
            </w:r>
          </w:p>
        </w:tc>
        <w:tc>
          <w:tcPr>
            <w:tcW w:w="160" w:type="dxa"/>
            <w:vAlign w:val="bottom"/>
          </w:tcPr>
          <w:p>
            <w:pPr>
              <w:spacing w:after="0"/>
              <w:rPr>
                <w:sz w:val="15"/>
                <w:szCs w:val="15"/>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240" w:type="dxa"/>
            <w:vAlign w:val="bottom"/>
            <w:tcBorders>
              <w:bottom w:val="single" w:sz="8" w:color="CCEEFF"/>
            </w:tcBorders>
            <w:shd w:val="clear" w:color="auto" w:fill="CCEEFF"/>
          </w:tcPr>
          <w:p>
            <w:pPr>
              <w:jc w:val="right"/>
              <w:ind w:right="1094"/>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2"/>
              </w:rPr>
              <w:t>139</w:t>
            </w:r>
          </w:p>
        </w:tc>
        <w:tc>
          <w:tcPr>
            <w:tcW w:w="16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193</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Commercial</w:t>
            </w: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57</w:t>
            </w:r>
          </w:p>
        </w:tc>
        <w:tc>
          <w:tcPr>
            <w:tcW w:w="16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.38</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54</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Residential builder and developer</w:t>
            </w:r>
          </w:p>
        </w:tc>
        <w:tc>
          <w:tcPr>
            <w:tcW w:w="1240" w:type="dxa"/>
            <w:vAlign w:val="bottom"/>
          </w:tcPr>
          <w:p>
            <w:pPr>
              <w:spacing w:after="0"/>
              <w:rPr>
                <w:sz w:val="16"/>
                <w:szCs w:val="16"/>
                <w:color w:val="auto"/>
              </w:rPr>
            </w:pP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commercial construction</w:t>
            </w: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c>
          <w:tcPr>
            <w:tcW w:w="16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Residential</w:t>
            </w:r>
          </w:p>
        </w:tc>
        <w:tc>
          <w:tcPr>
            <w:tcW w:w="1240" w:type="dxa"/>
            <w:vAlign w:val="bottom"/>
          </w:tcPr>
          <w:p>
            <w:pPr>
              <w:spacing w:after="0"/>
              <w:rPr>
                <w:sz w:val="16"/>
                <w:szCs w:val="16"/>
                <w:color w:val="auto"/>
              </w:rPr>
            </w:pP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12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-.04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Recreational finance</w:t>
            </w: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76</w:t>
            </w:r>
          </w:p>
        </w:tc>
        <w:tc>
          <w:tcPr>
            <w:tcW w:w="16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.76</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58</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.70</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4"/>
        </w:trPr>
        <w:tc>
          <w:tcPr>
            <w:tcW w:w="3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Automobile</w:t>
            </w:r>
          </w:p>
        </w:tc>
        <w:tc>
          <w:tcPr>
            <w:tcW w:w="1240" w:type="dxa"/>
            <w:vAlign w:val="bottom"/>
          </w:tcPr>
          <w:p>
            <w:pPr>
              <w:spacing w:after="0"/>
              <w:rPr>
                <w:sz w:val="16"/>
                <w:szCs w:val="16"/>
                <w:color w:val="auto"/>
              </w:rPr>
            </w:pP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w:t>
            </w:r>
          </w:p>
        </w:tc>
        <w:tc>
          <w:tcPr>
            <w:tcW w:w="16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.41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w:t>
            </w:r>
          </w:p>
        </w:tc>
        <w:tc>
          <w:tcPr>
            <w:tcW w:w="16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.33</w:t>
            </w:r>
          </w:p>
        </w:tc>
        <w:tc>
          <w:tcPr>
            <w:tcW w:w="160" w:type="dxa"/>
            <w:vAlign w:val="bottom"/>
          </w:tcPr>
          <w:p>
            <w:pPr>
              <w:spacing w:after="0"/>
              <w:rPr>
                <w:sz w:val="16"/>
                <w:szCs w:val="16"/>
                <w:color w:val="auto"/>
              </w:rPr>
            </w:pPr>
          </w:p>
        </w:tc>
      </w:tr>
      <w:tr>
        <w:trPr>
          <w:trHeight w:val="20"/>
        </w:trPr>
        <w:tc>
          <w:tcPr>
            <w:tcW w:w="3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3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75</w:t>
            </w:r>
          </w:p>
        </w:tc>
        <w:tc>
          <w:tcPr>
            <w:tcW w:w="16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4.53</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69</w:t>
            </w:r>
          </w:p>
        </w:tc>
        <w:tc>
          <w:tcPr>
            <w:tcW w:w="16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4.45</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204"/>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40" w:type="dxa"/>
            <w:vAlign w:val="bottom"/>
          </w:tcPr>
          <w:p>
            <w:pPr>
              <w:jc w:val="right"/>
              <w:ind w:right="1094"/>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2"/>
              </w:rPr>
              <w:t>368</w:t>
            </w:r>
          </w:p>
        </w:tc>
        <w:tc>
          <w:tcPr>
            <w:tcW w:w="16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.36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395</w:t>
            </w:r>
          </w:p>
        </w:tc>
        <w:tc>
          <w:tcPr>
            <w:tcW w:w="16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.39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9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1" w:right="68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nonperforming assets and certain past due loan data and credit quality ratios is presented in the accompanying table.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NONPERFORMING ASSET AND PAST DUE LOAN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40" w:type="dxa"/>
            <w:vAlign w:val="bottom"/>
          </w:tcPr>
          <w:p>
            <w:pPr>
              <w:spacing w:after="0"/>
              <w:rPr>
                <w:sz w:val="15"/>
                <w:szCs w:val="15"/>
                <w:color w:val="auto"/>
              </w:rPr>
            </w:pPr>
          </w:p>
        </w:tc>
        <w:tc>
          <w:tcPr>
            <w:tcW w:w="14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Nonaccrual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1,512</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1,573</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estate and other foreclosed assets</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nonperforming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1,549</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1,603</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1,725</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Accruing loans past due 90 days or more (a)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432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496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10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Government-guaranteed loans included in totals above:</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Nonaccrual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Accruing loans past due 90 days or more (a)</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30-89 days past due</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Nonaccrual loans as a percent of total loans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Nonperforming assets as a percent of total loans and</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real estate and other foreclosed assets</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Accruing loans past due 90 days or more as a percent</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total loans</w:t>
            </w:r>
          </w:p>
        </w:tc>
        <w:tc>
          <w:tcPr>
            <w:tcW w:w="140" w:type="dxa"/>
            <w:vAlign w:val="bottom"/>
          </w:tcPr>
          <w:p>
            <w:pPr>
              <w:spacing w:after="0"/>
              <w:rPr>
                <w:sz w:val="14"/>
                <w:szCs w:val="14"/>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30-89 days past due as a percent of total loans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3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Predominantly government-guaranteed residential real estate loans.</w:t>
      </w:r>
    </w:p>
    <w:p>
      <w:pPr>
        <w:spacing w:after="0" w:line="8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Nonaccrual loans decreased $61 million from June 30, 2025 to September 30, 2025 reflecting modest declines in commercial and industrial, commercial real estate and residential real estate nonaccrual loans. As compared with December 31, 2024, the $178 million decline in nonaccrual loans at September 30, 2025 reflects a $154 million, $59 million and $29 million reduction in commercial real estate, consumer and residential real estate nonaccrual loans, respectively. Partially offsetting those declines was a $64 million increase in commercial and industrial nonaccrual loans. Approximately 37% of commercial and industrial and commercial real estate nonaccrual loans were considered current with respect to their payment status at September 30, 2025.</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Government-guaranteed loans designated as accruing loans past due 90 days or more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included in accruing loans past due 90 days or more totaled $333 million at September 30, 2025, $377 million at June 30, 2025, $224 million at December 31, 2024 and $204 million at September 30, 2024. Accruing loans past due 90 days or more not guaranteed by government-related entities were loans considered to be with creditworthy borrowers that were in the process of collection or renewal.</w:t>
      </w:r>
    </w:p>
    <w:p>
      <w:pPr>
        <w:spacing w:after="0" w:line="2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Approximately 72% of loans 30 to 89 days past due were less than 60 days delinquent at September 30, 2025, compared with 70% at June 30, 2025 and 73% at December 31, 2024. Additional information about past due and nonaccrual loans at September 30, 2025 and December 31, 2024 is included in note 4 of Notes to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1" w:right="660" w:bottom="1440" w:gutter="0" w:footer="0" w:header="0"/>
        </w:sectPr>
      </w:pPr>
    </w:p>
    <w:bookmarkStart w:id="56" w:name="page57"/>
    <w:bookmarkEnd w:id="56"/>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Company utilizes a loan grading system to differentiate risk amongst its commercial and industrial loans and commercial real estate loans. Loans with a lower expectation of default are assigned one of ten possible “pass” loan grades while loans determined to have an elevated level of credit risk are designated as “criticized.” A criticized loan may be designated as “nonaccrual” if the Company no longer expects to collect all amounts owed under the terms of the loan agreement or the loan is delinquent 90 days or more. During 2025, the Company assessed loans to certain not-for-profit borrowers, government contractors and other commercial borrowers that may be impacted by immigration policies and enforcement, changes to government funding and reductions in the federal workforce. The Company is also monitoring commercial borrowers in certain industry sectors that may be impacted by international trade policy changes, such as tariffs, including retail and wholesale trade, manufacturing and construction companies. The Company has considered the information gathered in such reviews in its assignment of loan grades.</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continues to monitor its commercial real estate loan portfolio. The primary source of repayment of these loans is typically tenant lease payments to the investor/borrower. Elevated vacancies impacting some property types and higher interest rates have contributed to lower current and anticipated future debt service coverage ratios, which have and may continue to influence the ability of borrowers to make existing loan payments. Lower debt service coverage ratios and reduced commercial real estate values also impact the ability of borrowers, in particular those borrowers with loans secured by office properties, to refinance their obligations at loan maturity. Despite these challenges, the ability of borrowers to service loans secured by investor-owned real estate has generally improved in recent quarters. The LTV ratio is one of many factors considered in assessing overall portfolio risks and loss mitigation strategies for the investor-owned commercial real estate portfolio. In determining the LTV ratio, the Company considers cross-collateralization of all exposures secured by the supporting collateral and the estimated value of such collateral. Subsequent to the origination of commercial real estate loans, updated appraisals are obtained in the normal course of business for renewals, extensions and modifications to commitment levels. As the quality of a loan deteriorates to the point of designating the loan as "criticized nonaccrual," the process of obtaining updated collateral valuation information is usually initiated, unless it is not considered warranted given factors such as the relative size of the loan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and industrial loans and commercial real estate loans, estimated collateral values are generally based on current appraisals and estimates of value.</w:t>
      </w:r>
    </w:p>
    <w:p>
      <w:pPr>
        <w:spacing w:after="0" w:line="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monitors its concentration of commercial real estate lending as a percent of its Tier 1 capital plus its allowable allowance for credit losses, consistent with a metric utilized to differentiate such concentrations amongst regulated financial institutions. This metric, as prescribed in supervisory guidance, excludes loans secured by commercial real estate considered to be owner-occupied, but includes certain other loans, such as loans to real estate investment trusts, that are classified as commercial and industrial loans. The Company's commercial real estate loan concentration approximated 128% of Tier 1 capital plus its allowable allowance for credit losses at September 30, 2025, compared with 129% at June 30, 2025, 136% at December 31, 2024 and 148% at September 30, 2024. The Company executed various strategies to lessen its relative concentration of investor-owned commercial real estate loans throughout 2024 and to reduce criticized loans in this category through 2025.</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25" w:right="640" w:bottom="1440" w:gutter="0" w:footer="0" w:header="0"/>
        </w:sectPr>
      </w:pPr>
    </w:p>
    <w:bookmarkStart w:id="57" w:name="page58"/>
    <w:bookmarkEnd w:id="57"/>
    <w:p>
      <w:pPr>
        <w:spacing w:after="0" w:line="282" w:lineRule="auto"/>
        <w:rPr>
          <w:sz w:val="20"/>
          <w:szCs w:val="20"/>
          <w:color w:val="auto"/>
        </w:rPr>
      </w:pPr>
      <w:r>
        <w:rPr>
          <w:rFonts w:ascii="Times New Roman" w:cs="Times New Roman" w:eastAsia="Times New Roman" w:hAnsi="Times New Roman"/>
          <w:sz w:val="18"/>
          <w:szCs w:val="18"/>
          <w:color w:val="auto"/>
        </w:rPr>
        <w:t>The accompanying tables summarize the outstanding balances, and associated criticized balances, of commercial and industrial loans by industry and commercial real estate loans by property type, respectively, at September 30, 2025 and December 31, 2024.</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CRITICIZED COMMERCIAL AND INDUSTRIAL LOANS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4"/>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Accrual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Accrual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0" w:type="dxa"/>
            <w:vAlign w:val="bottom"/>
          </w:tcPr>
          <w:p>
            <w:pPr>
              <w:spacing w:after="0"/>
              <w:rPr>
                <w:sz w:val="1"/>
                <w:szCs w:val="1"/>
                <w:color w:val="auto"/>
              </w:rPr>
            </w:pPr>
          </w:p>
        </w:tc>
      </w:tr>
      <w:tr>
        <w:trPr>
          <w:trHeight w:val="188"/>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and industrial excluding</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owner-occupied real estate by industry:</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Financial and insurance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12,084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188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84"/>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Services</w:t>
            </w:r>
          </w:p>
        </w:tc>
        <w:tc>
          <w:tcPr>
            <w:tcW w:w="10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7,689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359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Motor vehicle and recreational</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finance dealers</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6,637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604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527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565</w:t>
            </w:r>
          </w:p>
        </w:tc>
        <w:tc>
          <w:tcPr>
            <w:tcW w:w="0" w:type="dxa"/>
            <w:vAlign w:val="bottom"/>
          </w:tcPr>
          <w:p>
            <w:pPr>
              <w:spacing w:after="0"/>
              <w:rPr>
                <w:sz w:val="1"/>
                <w:szCs w:val="1"/>
                <w:color w:val="auto"/>
              </w:rPr>
            </w:pPr>
          </w:p>
        </w:tc>
      </w:tr>
      <w:tr>
        <w:trPr>
          <w:trHeight w:val="184"/>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Manufacturing</w:t>
            </w:r>
          </w:p>
        </w:tc>
        <w:tc>
          <w:tcPr>
            <w:tcW w:w="10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6,241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510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Wholesale</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4,246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334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168"/>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Transportation, communications,</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utilities</w:t>
            </w:r>
          </w:p>
        </w:tc>
        <w:tc>
          <w:tcPr>
            <w:tcW w:w="100" w:type="dxa"/>
            <w:vAlign w:val="bottom"/>
          </w:tcPr>
          <w:p>
            <w:pPr>
              <w:spacing w:after="0"/>
              <w:rPr>
                <w:sz w:val="14"/>
                <w:szCs w:val="14"/>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348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Retail</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3,114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84"/>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Health services</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1,780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84"/>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Real estate investors</w:t>
            </w:r>
          </w:p>
        </w:tc>
        <w:tc>
          <w:tcPr>
            <w:tcW w:w="10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1,568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68"/>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commercial and industrial</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50,826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2,431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590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3,021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50,474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2,544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535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color w:val="auto"/>
              </w:rPr>
              <w:t>3,079</w:t>
            </w:r>
          </w:p>
        </w:tc>
        <w:tc>
          <w:tcPr>
            <w:tcW w:w="0" w:type="dxa"/>
            <w:vAlign w:val="bottom"/>
          </w:tcPr>
          <w:p>
            <w:pPr>
              <w:spacing w:after="0"/>
              <w:rPr>
                <w:sz w:val="1"/>
                <w:szCs w:val="1"/>
                <w:color w:val="auto"/>
              </w:rPr>
            </w:pPr>
          </w:p>
        </w:tc>
      </w:tr>
      <w:tr>
        <w:trPr>
          <w:trHeight w:val="168"/>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excluding owner-occupied real estate</w:t>
            </w:r>
          </w:p>
        </w:tc>
        <w:tc>
          <w:tcPr>
            <w:tcW w:w="1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0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Owner-occupied real estate by industry:</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153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Motor vehicle and recreational</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finance dealers</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2,162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84"/>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Retail</w:t>
            </w:r>
          </w:p>
        </w:tc>
        <w:tc>
          <w:tcPr>
            <w:tcW w:w="10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Health services</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84"/>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Wholesale</w:t>
            </w:r>
          </w:p>
        </w:tc>
        <w:tc>
          <w:tcPr>
            <w:tcW w:w="10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Manufacturing</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84"/>
        </w:trPr>
        <w:tc>
          <w:tcPr>
            <w:tcW w:w="2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Real estate investors</w:t>
            </w:r>
          </w:p>
        </w:tc>
        <w:tc>
          <w:tcPr>
            <w:tcW w:w="10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1,054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owner-occupied real estate</w:t>
            </w:r>
          </w:p>
        </w:tc>
        <w:tc>
          <w:tcPr>
            <w:tcW w:w="100" w:type="dxa"/>
            <w:vAlign w:val="bottom"/>
          </w:tcPr>
          <w:p>
            <w:pPr>
              <w:spacing w:after="0"/>
              <w:rPr>
                <w:sz w:val="16"/>
                <w:szCs w:val="16"/>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11,061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802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61,887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3,133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760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3,893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61,481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3,185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3,881</w:t>
            </w:r>
          </w:p>
        </w:tc>
        <w:tc>
          <w:tcPr>
            <w:tcW w:w="0" w:type="dxa"/>
            <w:vAlign w:val="bottom"/>
          </w:tcPr>
          <w:p>
            <w:pPr>
              <w:spacing w:after="0"/>
              <w:rPr>
                <w:sz w:val="1"/>
                <w:szCs w:val="1"/>
                <w:color w:val="auto"/>
              </w:rPr>
            </w:pPr>
          </w:p>
        </w:tc>
      </w:tr>
      <w:tr>
        <w:trPr>
          <w:trHeight w:val="20"/>
        </w:trPr>
        <w:tc>
          <w:tcPr>
            <w:tcW w:w="3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Criticized loans as a percent of total commercial and industrial loans</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0" w:type="dxa"/>
            <w:vAlign w:val="bottom"/>
          </w:tcPr>
          <w:p>
            <w:pPr>
              <w:spacing w:after="0"/>
              <w:rPr>
                <w:sz w:val="1"/>
                <w:szCs w:val="1"/>
                <w:color w:val="auto"/>
              </w:rPr>
            </w:pPr>
          </w:p>
        </w:tc>
      </w:tr>
      <w:tr>
        <w:trPr>
          <w:trHeight w:val="196"/>
        </w:trPr>
        <w:tc>
          <w:tcPr>
            <w:tcW w:w="4600" w:type="dxa"/>
            <w:vAlign w:val="bottom"/>
            <w:gridSpan w:val="6"/>
          </w:tcPr>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400" w:right="20" w:hanging="394"/>
        <w:spacing w:after="0" w:line="269" w:lineRule="auto"/>
        <w:tabs>
          <w:tab w:leader="none" w:pos="412" w:val="left"/>
        </w:tabs>
        <w:numPr>
          <w:ilvl w:val="0"/>
          <w:numId w:val="3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Loans to the financial and insurance industry include credit facilities to investment funds, mortgage lenders, real estate investment trusts and corporate and institutional borrowers. Approximately 93% and 87% of outstanding financial and insurance loans were designated as loans to nondepository financial institutions as prescribed in regulatory guidance for the Company's consolidated financial report for bank holding companies at September 30, 2025 and December 31, 2024, respectively.</w:t>
      </w:r>
    </w:p>
    <w:p>
      <w:pPr>
        <w:spacing w:after="0" w:line="266" w:lineRule="exact"/>
        <w:rPr>
          <w:rFonts w:ascii="Times New Roman" w:cs="Times New Roman" w:eastAsia="Times New Roman" w:hAnsi="Times New Roman"/>
          <w:sz w:val="13"/>
          <w:szCs w:val="13"/>
          <w:i w:val="1"/>
          <w:iCs w:val="1"/>
          <w:color w:val="auto"/>
        </w:rPr>
      </w:pPr>
    </w:p>
    <w:p>
      <w:pPr>
        <w:ind w:left="5220" w:hanging="95"/>
        <w:spacing w:after="0"/>
        <w:tabs>
          <w:tab w:leader="none" w:pos="52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CRITICIZED COMMERCIAL REAL ESTATE LOANS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4"/>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4"/>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6"/>
                <w:szCs w:val="16"/>
                <w:color w:val="auto"/>
              </w:rPr>
            </w:pPr>
          </w:p>
        </w:tc>
      </w:tr>
      <w:tr>
        <w:trPr>
          <w:trHeight w:val="174"/>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Accrual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Accrual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Criticized</w:t>
            </w:r>
          </w:p>
        </w:tc>
        <w:tc>
          <w:tcPr>
            <w:tcW w:w="120" w:type="dxa"/>
            <w:vAlign w:val="bottom"/>
          </w:tcPr>
          <w:p>
            <w:pPr>
              <w:spacing w:after="0"/>
              <w:rPr>
                <w:sz w:val="15"/>
                <w:szCs w:val="15"/>
                <w:color w:val="auto"/>
              </w:rPr>
            </w:pPr>
          </w:p>
        </w:tc>
      </w:tr>
      <w:tr>
        <w:trPr>
          <w:trHeight w:val="204"/>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Permanent finance by property type: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Apartments/Multifamily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6,548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479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5,628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114</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Retail/Service</w:t>
            </w:r>
          </w:p>
        </w:tc>
        <w:tc>
          <w:tcPr>
            <w:tcW w:w="100" w:type="dxa"/>
            <w:vAlign w:val="bottom"/>
          </w:tcPr>
          <w:p>
            <w:pPr>
              <w:spacing w:after="0"/>
              <w:rPr>
                <w:sz w:val="16"/>
                <w:szCs w:val="16"/>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4,747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120" w:type="dxa"/>
            <w:vAlign w:val="bottom"/>
          </w:tcPr>
          <w:p>
            <w:pPr>
              <w:spacing w:after="0"/>
              <w:rPr>
                <w:sz w:val="16"/>
                <w:szCs w:val="16"/>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Office</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3,487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642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4,170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1,125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Industrial/Warehouse</w:t>
            </w:r>
          </w:p>
        </w:tc>
        <w:tc>
          <w:tcPr>
            <w:tcW w:w="100" w:type="dxa"/>
            <w:vAlign w:val="bottom"/>
          </w:tcPr>
          <w:p>
            <w:pPr>
              <w:spacing w:after="0"/>
              <w:rPr>
                <w:sz w:val="16"/>
                <w:szCs w:val="16"/>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20" w:type="dxa"/>
            <w:vAlign w:val="bottom"/>
          </w:tcPr>
          <w:p>
            <w:pPr>
              <w:spacing w:after="0"/>
              <w:rPr>
                <w:sz w:val="16"/>
                <w:szCs w:val="16"/>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Hotel</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1,776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1,984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Health services</w:t>
            </w:r>
          </w:p>
        </w:tc>
        <w:tc>
          <w:tcPr>
            <w:tcW w:w="100" w:type="dxa"/>
            <w:vAlign w:val="bottom"/>
          </w:tcPr>
          <w:p>
            <w:pPr>
              <w:spacing w:after="0"/>
              <w:rPr>
                <w:sz w:val="16"/>
                <w:szCs w:val="16"/>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20" w:type="dxa"/>
            <w:vAlign w:val="bottom"/>
          </w:tcPr>
          <w:p>
            <w:pPr>
              <w:spacing w:after="0"/>
              <w:rPr>
                <w:sz w:val="16"/>
                <w:szCs w:val="16"/>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permanent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4,251</w:t>
            </w:r>
          </w:p>
        </w:tc>
        <w:tc>
          <w:tcPr>
            <w:tcW w:w="120" w:type="dxa"/>
            <w:vAlign w:val="bottom"/>
          </w:tcPr>
          <w:p>
            <w:pPr>
              <w:spacing w:after="0"/>
              <w:rPr>
                <w:sz w:val="16"/>
                <w:szCs w:val="16"/>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Construction/Development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3,984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1,177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5,984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1,715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4"/>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3,501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3,883</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26,764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5,498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536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6,034</w:t>
            </w:r>
          </w:p>
        </w:tc>
        <w:tc>
          <w:tcPr>
            <w:tcW w:w="120" w:type="dxa"/>
            <w:vAlign w:val="bottom"/>
          </w:tcPr>
          <w:p>
            <w:pPr>
              <w:spacing w:after="0"/>
              <w:rPr>
                <w:sz w:val="17"/>
                <w:szCs w:val="17"/>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84"/>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Criticized loans as a percent of total commercial real estate loans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0"/>
        </w:trPr>
        <w:tc>
          <w:tcPr>
            <w:tcW w:w="3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3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 loans weighted-average LTV ratio</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real estate criticized loans weighted-average LTV ratio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tcPr>
          <w:p>
            <w:pPr>
              <w:spacing w:after="0"/>
              <w:rPr>
                <w:sz w:val="16"/>
                <w:szCs w:val="16"/>
                <w:color w:val="auto"/>
              </w:rPr>
            </w:pPr>
          </w:p>
        </w:tc>
      </w:tr>
    </w:tbl>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to financial and insurance companies, motor vehicle and recreational finance dealers and the retail industry contributed to the modest increase in commercial and industrial criticized loans from December 31, 2024 to September 30, 2025, partially offset by lower criticized loans to the health services, manufacturing and transportation, communications and utilities industries. The $2.2 billion decline in commercial real estate criticized loans from December 31, 2024 to September 30, 2025 spanned most property types and also reflected lower criticized construction and development loans. At September 30, 2025, approximately 96% of criticized accrual loans and 37% of criticized nonaccrual loans were considered current with respect to their payment status.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loans secured by residential real estate, the Company’s loss identification and estimation techniques make reference to loan performance and house price data in specific areas of the country where collateral securing those loans is located. For residential real estate-related loans, including home equity loans and lines of credit, the excess of the loan balance over the net realizable value of the property collateralizing the loan is charged-off when the loan becomes 150 days delinquent. Information about the location of nonaccrual loans secured by residential real estate at September 30, 2025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NONACCRUAL LOANS SECURED BY RESIDENTIAL REAL ESTATE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3"/>
          </w:tcPr>
          <w:p>
            <w:pPr>
              <w:jc w:val="right"/>
              <w:ind w:right="1134"/>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Percent of Outstanding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15"/>
                <w:szCs w:val="15"/>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Outstanding Balances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80" w:type="dxa"/>
            <w:vAlign w:val="bottom"/>
          </w:tcPr>
          <w:p>
            <w:pPr>
              <w:spacing w:after="0"/>
              <w:rPr>
                <w:sz w:val="15"/>
                <w:szCs w:val="15"/>
                <w:color w:val="auto"/>
              </w:rPr>
            </w:pPr>
          </w:p>
        </w:tc>
        <w:tc>
          <w:tcPr>
            <w:tcW w:w="162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 mortgage loans (a):</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New York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6,896</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Mid-Atlantic (b)</w:t>
            </w:r>
          </w:p>
        </w:tc>
        <w:tc>
          <w:tcPr>
            <w:tcW w:w="120" w:type="dxa"/>
            <w:vAlign w:val="bottom"/>
          </w:tcPr>
          <w:p>
            <w:pPr>
              <w:spacing w:after="0"/>
              <w:rPr>
                <w:sz w:val="16"/>
                <w:szCs w:val="16"/>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7,775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New England (c)</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6,536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6"/>
                <w:szCs w:val="16"/>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3,455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24,662</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First lien home equity loans and lines of credit: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New York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744</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Mid-Atlantic (b)</w:t>
            </w:r>
          </w:p>
        </w:tc>
        <w:tc>
          <w:tcPr>
            <w:tcW w:w="120" w:type="dxa"/>
            <w:vAlign w:val="bottom"/>
          </w:tcPr>
          <w:p>
            <w:pPr>
              <w:spacing w:after="0"/>
              <w:rPr>
                <w:sz w:val="16"/>
                <w:szCs w:val="16"/>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New England (c)</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6"/>
                <w:szCs w:val="16"/>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2,068</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Junior lien home equity loans and lines of credit: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New York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895</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Mid-Atlantic (b)</w:t>
            </w:r>
          </w:p>
        </w:tc>
        <w:tc>
          <w:tcPr>
            <w:tcW w:w="120" w:type="dxa"/>
            <w:vAlign w:val="bottom"/>
          </w:tcPr>
          <w:p>
            <w:pPr>
              <w:spacing w:after="0"/>
              <w:rPr>
                <w:sz w:val="16"/>
                <w:szCs w:val="16"/>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New England (c)</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6"/>
                <w:szCs w:val="16"/>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2,662</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3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$697 million of limited documentation first lien mortgage loans with nonaccrual loan balances totaling $48 million.</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3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Delaware, Maryland, New Jersey, Pennsylvania, Virginia, West Virginia and the District of Columbia.</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3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Connecticut, Maine, Massachusetts, New Hampshire, Rhode Island and Vermont.</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Consumer loans not secured by residential real estate are generally charged-off when the loans are 91 to 180 days past due, depending on whether the loan is collateralized and the status of repossession activities with respect to such collateral. A comparative summary of consumer loans in nonaccrual status by product is presented in the following table.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NONACCRUAL CONSUMER LOANS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3"/>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3"/>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5"/>
                <w:szCs w:val="15"/>
                <w:color w:val="auto"/>
              </w:rPr>
            </w:pPr>
          </w:p>
        </w:tc>
      </w:tr>
      <w:tr>
        <w:trPr>
          <w:trHeight w:val="186"/>
        </w:trPr>
        <w:tc>
          <w:tcPr>
            <w:tcW w:w="4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 of Outstanding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 of Outstanding</w:t>
            </w:r>
          </w:p>
        </w:tc>
      </w:tr>
      <w:tr>
        <w:trPr>
          <w:trHeight w:val="174"/>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8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Nonaccrual Loans</w:t>
            </w:r>
          </w:p>
        </w:tc>
        <w:tc>
          <w:tcPr>
            <w:tcW w:w="80" w:type="dxa"/>
            <w:vAlign w:val="bottom"/>
          </w:tcPr>
          <w:p>
            <w:pPr>
              <w:spacing w:after="0"/>
              <w:rPr>
                <w:sz w:val="15"/>
                <w:szCs w:val="15"/>
                <w:color w:val="auto"/>
              </w:rPr>
            </w:pPr>
          </w:p>
        </w:tc>
        <w:tc>
          <w:tcPr>
            <w:tcW w:w="12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Nonaccrual Loans</w:t>
            </w:r>
          </w:p>
        </w:tc>
        <w:tc>
          <w:tcPr>
            <w:tcW w:w="80" w:type="dxa"/>
            <w:vAlign w:val="bottom"/>
          </w:tcPr>
          <w:p>
            <w:pPr>
              <w:spacing w:after="0"/>
              <w:rPr>
                <w:sz w:val="15"/>
                <w:szCs w:val="15"/>
                <w:color w:val="auto"/>
              </w:rPr>
            </w:pP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80" w:type="dxa"/>
            <w:vAlign w:val="bottom"/>
          </w:tcPr>
          <w:p>
            <w:pPr>
              <w:spacing w:after="0"/>
              <w:rPr>
                <w:sz w:val="15"/>
                <w:szCs w:val="15"/>
                <w:color w:val="auto"/>
              </w:rPr>
            </w:pPr>
          </w:p>
        </w:tc>
      </w:tr>
      <w:tr>
        <w:trPr>
          <w:trHeight w:val="20"/>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Home equity lines and loans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77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81</w:t>
            </w:r>
          </w:p>
        </w:tc>
        <w:tc>
          <w:tcPr>
            <w:tcW w:w="13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Recreational finance</w:t>
            </w:r>
          </w:p>
        </w:tc>
        <w:tc>
          <w:tcPr>
            <w:tcW w:w="80" w:type="dxa"/>
            <w:vAlign w:val="bottom"/>
          </w:tcPr>
          <w:p>
            <w:pPr>
              <w:spacing w:after="0"/>
              <w:rPr>
                <w:sz w:val="16"/>
                <w:szCs w:val="16"/>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w:t>
            </w:r>
          </w:p>
        </w:tc>
        <w:tc>
          <w:tcPr>
            <w:tcW w:w="1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31</w:t>
            </w:r>
          </w:p>
        </w:tc>
        <w:tc>
          <w:tcPr>
            <w:tcW w:w="1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.25</w:t>
            </w:r>
          </w:p>
        </w:tc>
        <w:tc>
          <w:tcPr>
            <w:tcW w:w="180" w:type="dxa"/>
            <w:vAlign w:val="bottom"/>
          </w:tcPr>
          <w:p>
            <w:pPr>
              <w:spacing w:after="0"/>
              <w:rPr>
                <w:sz w:val="16"/>
                <w:szCs w:val="16"/>
                <w:color w:val="auto"/>
              </w:rPr>
            </w:pPr>
          </w:p>
        </w:tc>
      </w:tr>
      <w:tr>
        <w:trPr>
          <w:trHeight w:val="20"/>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Automobile</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10</w:t>
            </w:r>
          </w:p>
        </w:tc>
        <w:tc>
          <w:tcPr>
            <w:tcW w:w="136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w:t>
            </w:r>
          </w:p>
        </w:tc>
        <w:tc>
          <w:tcPr>
            <w:tcW w:w="13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84"/>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6"/>
                <w:szCs w:val="16"/>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1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55</w:t>
            </w:r>
          </w:p>
        </w:tc>
        <w:tc>
          <w:tcPr>
            <w:tcW w:w="13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2.49</w:t>
            </w:r>
          </w:p>
        </w:tc>
        <w:tc>
          <w:tcPr>
            <w:tcW w:w="180" w:type="dxa"/>
            <w:vAlign w:val="bottom"/>
          </w:tcPr>
          <w:p>
            <w:pPr>
              <w:spacing w:after="0"/>
              <w:rPr>
                <w:sz w:val="16"/>
                <w:szCs w:val="16"/>
                <w:color w:val="auto"/>
              </w:rPr>
            </w:pPr>
          </w:p>
        </w:tc>
      </w:tr>
      <w:tr>
        <w:trPr>
          <w:trHeight w:val="20"/>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120</w:t>
            </w:r>
          </w:p>
        </w:tc>
        <w:tc>
          <w:tcPr>
            <w:tcW w:w="136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179</w:t>
            </w:r>
          </w:p>
        </w:tc>
        <w:tc>
          <w:tcPr>
            <w:tcW w:w="13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determines the allowance for loan losses under accounting guidance that requires estimating the amount of current expected credit losses over the remaining contractual term of the loan portfolio. A description of the methodologies used by the Company to estimate its allowance for loan losses can be found in note 4 of Notes to Financial Statements.</w:t>
      </w:r>
    </w:p>
    <w:p>
      <w:pPr>
        <w:spacing w:after="0" w:line="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establishing the allowance for loan losses, the Company estimates losses attributable to specific troubled credits identified through both normal and targeted credit review processes and also estimates losses for other loans with similar risk characteristics on a collective basis. For purposes of determining the level of the allowance for loan losses, the Company evaluates its portfolio by loan type. At the time of the Company’s analysis regarding the determination of the allowance for loan losses as of September 30, 2025 concerns existed about the impact of potential inflationary pressures and increases in unemployment on the discretionary income and purchasing power of consumers, which could impact their ability to service existing debt obligations; slower economic growth in future quarters; the volatile nature of global markets and international economic conditions that could impact the U.S. economy, including the effect of international trade policies on domestic businesses and consumers; uncertainty related to Federal Reserve positioning of monetary policy; the potential for a prolonged period of U.S. federal government shutdown; downward pressures on commercial real estate values, especially in the office sector; the persistence of elevated interest rates impacting the ability of commercial borrowers to refinance maturing debt obligations; and the extent to which borrowers may be negatively affected by general economic conditions.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at each reporting date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In determining the allowance for loan losses, the Company may adjust forecasted loss estimates for inherent limitations or biases in the models as well as for other factors that may not be adequately considered in its quantitative methodologies including the impact of portfolio concentrations, imprecision in economic forecasts, geopolitical conditions and other risk factors that influence the loss estimation process. At each of September 30, 2025, June 30, 2025 and December 31, 2024, the Company qualitatively adjusted credit loss estimates for inherent limitations in the ability to assess real-time changes in commercial borrower performance and for environmental influences affecting certain loan portfolios. Qualitative adjustments, primarily related to portfolio exposures to certain commercial and industrial borrowers and commercial real estate loans, were modestly lower at September 30, 2025 as compared with June 30, 2025 and December 31,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estimates of certain macroeconomic variables are determined by the M&amp;T Scenario Review Committee, which is comprised of senior management business leaders and economists. The weighted-average of macroeconomic assumptions utilized as of September 30, 2025, June 30, 2025 and December 31, 2024 are presented in the following table and were based on information available at or near the time the Company was preparing its estimate of expected credit losses as of those dates.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LOAN LOSSES MACROECONOMIC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5"/>
                <w:szCs w:val="15"/>
                <w:color w:val="auto"/>
              </w:rPr>
            </w:pPr>
          </w:p>
        </w:tc>
      </w:tr>
      <w:tr>
        <w:trPr>
          <w:trHeight w:val="204"/>
        </w:trPr>
        <w:tc>
          <w:tcPr>
            <w:tcW w:w="1880" w:type="dxa"/>
            <w:vAlign w:val="bottom"/>
          </w:tcPr>
          <w:p>
            <w:pPr>
              <w:spacing w:after="0"/>
              <w:rPr>
                <w:sz w:val="17"/>
                <w:szCs w:val="17"/>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Year 1</w:t>
            </w:r>
          </w:p>
        </w:tc>
        <w:tc>
          <w:tcPr>
            <w:tcW w:w="9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Year 2</w:t>
            </w:r>
          </w:p>
        </w:tc>
        <w:tc>
          <w:tcPr>
            <w:tcW w:w="1180" w:type="dxa"/>
            <w:vAlign w:val="bottom"/>
            <w:gridSpan w:val="2"/>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Cumulative</w:t>
            </w: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Year 1</w:t>
            </w:r>
          </w:p>
        </w:tc>
        <w:tc>
          <w:tcPr>
            <w:tcW w:w="9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Year 2</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Cumulative</w:t>
            </w:r>
          </w:p>
        </w:tc>
        <w:tc>
          <w:tcPr>
            <w:tcW w:w="300" w:type="dxa"/>
            <w:vAlign w:val="bottom"/>
          </w:tcPr>
          <w:p>
            <w:pPr>
              <w:spacing w:after="0"/>
              <w:rPr>
                <w:sz w:val="17"/>
                <w:szCs w:val="17"/>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Year 1</w:t>
            </w:r>
          </w:p>
        </w:tc>
        <w:tc>
          <w:tcPr>
            <w:tcW w:w="9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Year 2</w:t>
            </w:r>
          </w:p>
        </w:tc>
        <w:tc>
          <w:tcPr>
            <w:tcW w:w="104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Cumulative</w:t>
            </w:r>
          </w:p>
        </w:tc>
      </w:tr>
      <w:tr>
        <w:trPr>
          <w:trHeight w:val="20"/>
        </w:trPr>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National unemployment rate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5.2 %</w:t>
            </w:r>
          </w:p>
        </w:tc>
        <w:tc>
          <w:tcPr>
            <w:tcW w:w="8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4.8 %</w:t>
            </w:r>
          </w:p>
        </w:tc>
        <w:tc>
          <w:tcPr>
            <w:tcW w:w="96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5.3 %</w:t>
            </w:r>
          </w:p>
        </w:tc>
        <w:tc>
          <w:tcPr>
            <w:tcW w:w="7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4.7 %</w:t>
            </w:r>
          </w:p>
        </w:tc>
        <w:tc>
          <w:tcPr>
            <w:tcW w:w="8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r>
      <w:tr>
        <w:trPr>
          <w:trHeight w:val="184"/>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 GDP growth rate</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w:t>
            </w: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1.7</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w:t>
            </w:r>
          </w:p>
        </w:tc>
        <w:tc>
          <w:tcPr>
            <w:tcW w:w="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.8</w:t>
            </w: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1.8</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w:t>
            </w:r>
          </w:p>
        </w:tc>
        <w:tc>
          <w:tcPr>
            <w:tcW w:w="3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1.3</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1.7</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 price</w:t>
            </w: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2"/>
        </w:trPr>
        <w:tc>
          <w:tcPr>
            <w:tcW w:w="1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index growth/decline rate</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-3.6</w:t>
            </w:r>
          </w:p>
        </w:tc>
        <w:tc>
          <w:tcPr>
            <w:tcW w:w="9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.7</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-2.7</w:t>
            </w:r>
          </w:p>
        </w:tc>
        <w:tc>
          <w:tcPr>
            <w:tcW w:w="3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-2.5</w:t>
            </w:r>
          </w:p>
        </w:tc>
        <w:tc>
          <w:tcPr>
            <w:tcW w:w="960" w:type="dxa"/>
            <w:vAlign w:val="bottom"/>
            <w:tcBorders>
              <w:bottom w:val="single" w:sz="8" w:color="CCEEFF"/>
            </w:tcBorders>
            <w:shd w:val="clear" w:color="auto" w:fill="CCEEFF"/>
          </w:tcPr>
          <w:p>
            <w:pPr>
              <w:jc w:val="right"/>
              <w:ind w:right="334"/>
              <w:spacing w:after="0"/>
              <w:rPr>
                <w:sz w:val="20"/>
                <w:szCs w:val="20"/>
                <w:color w:val="auto"/>
              </w:rPr>
            </w:pPr>
            <w:r>
              <w:rPr>
                <w:rFonts w:ascii="Times New Roman" w:cs="Times New Roman" w:eastAsia="Times New Roman" w:hAnsi="Times New Roman"/>
                <w:sz w:val="13"/>
                <w:szCs w:val="13"/>
                <w:color w:val="auto"/>
              </w:rPr>
              <w:t>-.4</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-2.7</w:t>
            </w:r>
          </w:p>
        </w:tc>
        <w:tc>
          <w:tcPr>
            <w:tcW w:w="3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-2.9</w:t>
            </w:r>
          </w:p>
        </w:tc>
        <w:tc>
          <w:tcPr>
            <w:tcW w:w="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1.4</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Borders>
              <w:bottom w:val="single" w:sz="8" w:color="CCEEFF"/>
            </w:tcBorders>
            <w:shd w:val="clear" w:color="auto" w:fill="CCEEFF"/>
          </w:tcPr>
          <w:p>
            <w:pPr>
              <w:spacing w:after="0"/>
              <w:rPr>
                <w:sz w:val="14"/>
                <w:szCs w:val="14"/>
                <w:color w:val="auto"/>
              </w:rPr>
            </w:pPr>
          </w:p>
        </w:tc>
      </w:tr>
      <w:tr>
        <w:trPr>
          <w:trHeight w:val="168"/>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 price index growth/</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2"/>
        </w:trPr>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decline rate</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w:t>
            </w: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2.3</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w:t>
            </w:r>
          </w:p>
        </w:tc>
        <w:tc>
          <w:tcPr>
            <w:tcW w:w="32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-.2</w:t>
            </w: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2.1</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w:t>
            </w:r>
          </w:p>
        </w:tc>
        <w:tc>
          <w:tcPr>
            <w:tcW w:w="300" w:type="dxa"/>
            <w:vAlign w:val="bottom"/>
          </w:tcPr>
          <w:p>
            <w:pPr>
              <w:spacing w:after="0"/>
              <w:rPr>
                <w:sz w:val="14"/>
                <w:szCs w:val="14"/>
                <w:color w:val="auto"/>
              </w:rPr>
            </w:pP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2.4</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tcPr>
          <w:p>
            <w:pPr>
              <w:spacing w:after="0"/>
              <w:rPr>
                <w:sz w:val="14"/>
                <w:szCs w:val="14"/>
                <w:color w:val="auto"/>
              </w:rPr>
            </w:pPr>
          </w:p>
        </w:tc>
      </w:tr>
    </w:tbl>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1" w:right="660"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economic forecasts, the Company assessed the likelihood of alternative economic scenarios during the two-year reasonable and supportable forecast period. Generally, an increase in unemployment rate or a decrease in any of the rate of change in GDP, commercial real estate prices or home prices could have an adverse impact on expected credit losses and may result in an increase to the allowance for loan losses. Forward-looking economic forecasts are subject to inherent imprecision and future outcomes may differ materially from forecasted events. In consideration of such uncertainty, the following alternative economic scenarios were considered to estimate the possible impact on modeled credit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LOAN LOSSES SENSITIVITIES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300" w:type="dxa"/>
            <w:vAlign w:val="bottom"/>
          </w:tcPr>
          <w:p>
            <w:pPr>
              <w:spacing w:after="0"/>
              <w:rPr>
                <w:sz w:val="12"/>
                <w:szCs w:val="12"/>
                <w:color w:val="auto"/>
              </w:rPr>
            </w:pPr>
          </w:p>
        </w:tc>
        <w:tc>
          <w:tcPr>
            <w:tcW w:w="3020" w:type="dxa"/>
            <w:vAlign w:val="bottom"/>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rPr>
              <w:t>Year 1</w:t>
            </w:r>
          </w:p>
        </w:tc>
        <w:tc>
          <w:tcPr>
            <w:tcW w:w="1600" w:type="dxa"/>
            <w:vAlign w:val="bottom"/>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Year 2</w:t>
            </w:r>
          </w:p>
        </w:tc>
        <w:tc>
          <w:tcPr>
            <w:tcW w:w="150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Cumulative</w:t>
            </w:r>
          </w:p>
        </w:tc>
      </w:tr>
      <w:tr>
        <w:trPr>
          <w:trHeight w:val="212"/>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Potential downside economic scenario:</w:t>
            </w: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National unemployment rate</w:t>
            </w:r>
          </w:p>
        </w:tc>
        <w:tc>
          <w:tcPr>
            <w:tcW w:w="302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7.1 %</w:t>
            </w:r>
          </w:p>
        </w:tc>
        <w:tc>
          <w:tcPr>
            <w:tcW w:w="160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8.1 %</w:t>
            </w:r>
          </w:p>
        </w:tc>
        <w:tc>
          <w:tcPr>
            <w:tcW w:w="150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Real GDP growth/decline rate</w:t>
            </w:r>
          </w:p>
        </w:tc>
        <w:tc>
          <w:tcPr>
            <w:tcW w:w="302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-2.5</w:t>
            </w: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1.3</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Commercial real estate price index decline rate</w:t>
            </w:r>
          </w:p>
        </w:tc>
        <w:tc>
          <w:tcPr>
            <w:tcW w:w="302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3"/>
                <w:szCs w:val="13"/>
                <w:color w:val="auto"/>
              </w:rPr>
              <w:t>-15.5</w:t>
            </w:r>
          </w:p>
        </w:tc>
        <w:tc>
          <w:tcPr>
            <w:tcW w:w="160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-6.6</w:t>
            </w:r>
          </w:p>
        </w:tc>
        <w:tc>
          <w:tcPr>
            <w:tcW w:w="15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-21.1</w:t>
            </w:r>
          </w:p>
        </w:tc>
      </w:tr>
      <w:tr>
        <w:trPr>
          <w:trHeight w:val="184"/>
        </w:trPr>
        <w:tc>
          <w:tcPr>
            <w:tcW w:w="20" w:type="dxa"/>
            <w:vAlign w:val="bottom"/>
          </w:tcPr>
          <w:p>
            <w:pPr>
              <w:spacing w:after="0"/>
              <w:rPr>
                <w:sz w:val="16"/>
                <w:szCs w:val="16"/>
                <w:color w:val="auto"/>
              </w:rPr>
            </w:pP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Home price index growth/decline rate</w:t>
            </w:r>
          </w:p>
        </w:tc>
        <w:tc>
          <w:tcPr>
            <w:tcW w:w="302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-9.0</w:t>
            </w: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2.4</w:t>
            </w: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-6.8</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Potential upside economic scenario:</w:t>
            </w:r>
          </w:p>
        </w:tc>
        <w:tc>
          <w:tcPr>
            <w:tcW w:w="30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National unemployment rate</w:t>
            </w:r>
          </w:p>
        </w:tc>
        <w:tc>
          <w:tcPr>
            <w:tcW w:w="302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3.8</w:t>
            </w: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3.9</w:t>
            </w:r>
          </w:p>
        </w:tc>
        <w:tc>
          <w:tcPr>
            <w:tcW w:w="15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Real GDP growth rate</w:t>
            </w:r>
          </w:p>
        </w:tc>
        <w:tc>
          <w:tcPr>
            <w:tcW w:w="302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3.5</w:t>
            </w:r>
          </w:p>
        </w:tc>
        <w:tc>
          <w:tcPr>
            <w:tcW w:w="160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2.0</w:t>
            </w:r>
          </w:p>
        </w:tc>
        <w:tc>
          <w:tcPr>
            <w:tcW w:w="15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5.5</w:t>
            </w:r>
          </w:p>
        </w:tc>
      </w:tr>
      <w:tr>
        <w:trPr>
          <w:trHeight w:val="184"/>
        </w:trPr>
        <w:tc>
          <w:tcPr>
            <w:tcW w:w="20" w:type="dxa"/>
            <w:vAlign w:val="bottom"/>
          </w:tcPr>
          <w:p>
            <w:pPr>
              <w:spacing w:after="0"/>
              <w:rPr>
                <w:sz w:val="16"/>
                <w:szCs w:val="16"/>
                <w:color w:val="auto"/>
              </w:rPr>
            </w:pP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Commercial real estate price index growth rate</w:t>
            </w:r>
          </w:p>
        </w:tc>
        <w:tc>
          <w:tcPr>
            <w:tcW w:w="302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1.3</w:t>
            </w: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4.0</w:t>
            </w:r>
          </w:p>
        </w:tc>
        <w:tc>
          <w:tcPr>
            <w:tcW w:w="15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5.3</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Home price index growth rate</w:t>
            </w:r>
          </w:p>
        </w:tc>
        <w:tc>
          <w:tcPr>
            <w:tcW w:w="30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4.4</w:t>
            </w:r>
          </w:p>
        </w:tc>
        <w:tc>
          <w:tcPr>
            <w:tcW w:w="1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4.1</w:t>
            </w:r>
          </w:p>
        </w:tc>
        <w:tc>
          <w:tcPr>
            <w:tcW w:w="15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8.7</w:t>
            </w:r>
          </w:p>
        </w:tc>
      </w:tr>
      <w:tr>
        <w:trPr>
          <w:trHeight w:val="20"/>
        </w:trPr>
        <w:tc>
          <w:tcPr>
            <w:tcW w:w="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6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Impact to Modeled Credit</w:t>
            </w:r>
          </w:p>
        </w:tc>
      </w:tr>
      <w:tr>
        <w:trPr>
          <w:trHeight w:val="156"/>
        </w:trPr>
        <w:tc>
          <w:tcPr>
            <w:tcW w:w="54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66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Losses</w:t>
            </w:r>
          </w:p>
        </w:tc>
      </w:tr>
      <w:tr>
        <w:trPr>
          <w:trHeight w:val="174"/>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3480" w:type="dxa"/>
            <w:vAlign w:val="bottom"/>
          </w:tcPr>
          <w:p>
            <w:pPr>
              <w:spacing w:after="0"/>
              <w:rPr>
                <w:sz w:val="15"/>
                <w:szCs w:val="15"/>
                <w:color w:val="auto"/>
              </w:rPr>
            </w:pPr>
          </w:p>
        </w:tc>
        <w:tc>
          <w:tcPr>
            <w:tcW w:w="166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20"/>
        </w:trPr>
        <w:tc>
          <w:tcPr>
            <w:tcW w:w="5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Potential downside economic scenario</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84"/>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Potential upside economic scenario</w:t>
            </w:r>
          </w:p>
        </w:tc>
        <w:tc>
          <w:tcPr>
            <w:tcW w:w="34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bl>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examples are only a few of the numerous possible economic 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loan losses. As a result, it is possible that the Company may, at another point in time, reach different conclusions regarding credit loss estimates. The Company’s process for determining the allowance for loan losses undergoes quarterly and periodic evaluations by independent risk management personnel, which among many other considerations, evaluate the reasonableness of management’s methodology and significant assumptions.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assessed that the allowance for loan losses at September 30, 2025 appropriately reflected expected credit losses in the portfolio as of that date. A summary of the Company's allowance for loan losses by loan type and its reserve for unfunded credit commitments is presented in the following table.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LOAN LOSSES AND RESERVE FOR UNFUNDED CREDIT COMMITMENTS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20" w:type="dxa"/>
            <w:vAlign w:val="bottom"/>
          </w:tcPr>
          <w:p>
            <w:pPr>
              <w:spacing w:after="0"/>
              <w:rPr>
                <w:sz w:val="15"/>
                <w:szCs w:val="15"/>
                <w:color w:val="auto"/>
              </w:rPr>
            </w:pP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5"/>
                <w:szCs w:val="15"/>
                <w:color w:val="auto"/>
              </w:rPr>
            </w:pP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Allowance for loan losses: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180" w:type="dxa"/>
            <w:vAlign w:val="bottom"/>
            <w:tcBorders>
              <w:bottom w:val="single" w:sz="8" w:color="CCEEFF"/>
            </w:tcBorders>
            <w:shd w:val="clear" w:color="auto" w:fill="CCEEFF"/>
          </w:tcPr>
          <w:p>
            <w:pPr>
              <w:spacing w:after="0"/>
              <w:rPr>
                <w:sz w:val="16"/>
                <w:szCs w:val="16"/>
                <w:color w:val="auto"/>
              </w:rPr>
            </w:pPr>
          </w:p>
        </w:tc>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1520" w:type="dxa"/>
            <w:vAlign w:val="bottom"/>
            <w:tcBorders>
              <w:bottom w:val="single" w:sz="8" w:color="CCEEFF"/>
            </w:tcBorders>
            <w:gridSpan w:val="3"/>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793</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180" w:type="dxa"/>
            <w:vAlign w:val="bottom"/>
          </w:tcPr>
          <w:p>
            <w:pPr>
              <w:spacing w:after="0"/>
              <w:rPr>
                <w:sz w:val="16"/>
                <w:szCs w:val="16"/>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Real estate - commercial (a)</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4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4"/>
        </w:trPr>
        <w:tc>
          <w:tcPr>
            <w:tcW w:w="180" w:type="dxa"/>
            <w:vAlign w:val="bottom"/>
            <w:tcBorders>
              <w:bottom w:val="single" w:sz="8" w:color="CCEEFF"/>
            </w:tcBorders>
            <w:shd w:val="clear" w:color="auto" w:fill="CCEEFF"/>
          </w:tcPr>
          <w:p>
            <w:pPr>
              <w:spacing w:after="0"/>
              <w:rPr>
                <w:sz w:val="16"/>
                <w:szCs w:val="16"/>
                <w:color w:val="auto"/>
              </w:rPr>
            </w:pPr>
          </w:p>
        </w:tc>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Real estate - residential</w:t>
            </w:r>
          </w:p>
        </w:tc>
        <w:tc>
          <w:tcPr>
            <w:tcW w:w="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84"/>
        </w:trPr>
        <w:tc>
          <w:tcPr>
            <w:tcW w:w="180" w:type="dxa"/>
            <w:vAlign w:val="bottom"/>
          </w:tcPr>
          <w:p>
            <w:pPr>
              <w:spacing w:after="0"/>
              <w:rPr>
                <w:sz w:val="16"/>
                <w:szCs w:val="16"/>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Consumer</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40" w:type="dxa"/>
            <w:vAlign w:val="bottom"/>
          </w:tcPr>
          <w:p>
            <w:pPr>
              <w:spacing w:after="0"/>
              <w:rPr>
                <w:sz w:val="16"/>
                <w:szCs w:val="16"/>
                <w:color w:val="auto"/>
              </w:rPr>
            </w:pPr>
          </w:p>
        </w:tc>
      </w:tr>
      <w:tr>
        <w:trPr>
          <w:trHeight w:val="20"/>
        </w:trPr>
        <w:tc>
          <w:tcPr>
            <w:tcW w:w="5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4"/>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1520" w:type="dxa"/>
            <w:vAlign w:val="bottom"/>
            <w:gridSpan w:val="3"/>
            <w:shd w:val="clear" w:color="auto" w:fill="CCEEFF"/>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2,197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2,184</w:t>
            </w:r>
          </w:p>
        </w:tc>
        <w:tc>
          <w:tcPr>
            <w:tcW w:w="140" w:type="dxa"/>
            <w:vAlign w:val="bottom"/>
            <w:shd w:val="clear" w:color="auto" w:fill="CCEEFF"/>
          </w:tcPr>
          <w:p>
            <w:pPr>
              <w:spacing w:after="0"/>
              <w:rPr>
                <w:sz w:val="19"/>
                <w:szCs w:val="19"/>
                <w:color w:val="auto"/>
              </w:rPr>
            </w:pP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1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4"/>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Allowance for loan losses as a percent of total loans</w:t>
            </w:r>
          </w:p>
        </w:tc>
        <w:tc>
          <w:tcPr>
            <w:tcW w:w="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Allowance for loan losses as a percent of total nonaccrual loans (b)</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40" w:type="dxa"/>
            <w:vAlign w:val="bottom"/>
          </w:tcPr>
          <w:p>
            <w:pPr>
              <w:spacing w:after="0"/>
              <w:rPr>
                <w:sz w:val="16"/>
                <w:szCs w:val="16"/>
                <w:color w:val="auto"/>
              </w:rPr>
            </w:pPr>
          </w:p>
        </w:tc>
      </w:tr>
      <w:tr>
        <w:trPr>
          <w:trHeight w:val="20"/>
        </w:trPr>
        <w:tc>
          <w:tcPr>
            <w:tcW w:w="5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502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Reserve for unfunded credit commitments (c)</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520" w:type="dxa"/>
            <w:vAlign w:val="bottom"/>
            <w:gridSpan w:val="3"/>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40" w:type="dxa"/>
            <w:vAlign w:val="bottom"/>
          </w:tcPr>
          <w:p>
            <w:pPr>
              <w:spacing w:after="0"/>
              <w:rPr>
                <w:sz w:val="16"/>
                <w:szCs w:val="16"/>
                <w:color w:val="auto"/>
              </w:rPr>
            </w:pPr>
          </w:p>
        </w:tc>
      </w:tr>
      <w:tr>
        <w:trPr>
          <w:trHeight w:val="188"/>
        </w:trPr>
        <w:tc>
          <w:tcPr>
            <w:tcW w:w="50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4"/>
        </w:trPr>
        <w:tc>
          <w:tcPr>
            <w:tcW w:w="1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w:t>
            </w:r>
          </w:p>
        </w:tc>
        <w:tc>
          <w:tcPr>
            <w:tcW w:w="10380" w:type="dxa"/>
            <w:vAlign w:val="bottom"/>
            <w:gridSpan w:val="11"/>
          </w:tcPr>
          <w:p>
            <w:pPr>
              <w:jc w:val="right"/>
              <w:spacing w:after="0"/>
              <w:rPr>
                <w:sz w:val="20"/>
                <w:szCs w:val="20"/>
                <w:color w:val="auto"/>
              </w:rPr>
            </w:pPr>
            <w:r>
              <w:rPr>
                <w:rFonts w:ascii="Times New Roman" w:cs="Times New Roman" w:eastAsia="Times New Roman" w:hAnsi="Times New Roman"/>
                <w:sz w:val="13"/>
                <w:szCs w:val="13"/>
                <w:i w:val="1"/>
                <w:iCs w:val="1"/>
                <w:color w:val="auto"/>
              </w:rPr>
              <w:t>Included in the allowance for loan losses were reserves allocated as a percent of commercial real estate loans secured by office properties of 4.65% at  September 30, 2025, 4.54% at June 30,</w:t>
            </w:r>
          </w:p>
        </w:tc>
      </w:tr>
    </w:tbl>
    <w:p>
      <w:pPr>
        <w:spacing w:after="0" w:line="137" w:lineRule="exact"/>
        <w:rPr>
          <w:sz w:val="20"/>
          <w:szCs w:val="20"/>
          <w:color w:val="auto"/>
        </w:rPr>
      </w:pPr>
    </w:p>
    <w:p>
      <w:pPr>
        <w:jc w:val="both"/>
        <w:ind w:left="400" w:right="20" w:hanging="394"/>
        <w:spacing w:after="0" w:line="259" w:lineRule="auto"/>
        <w:tabs>
          <w:tab w:leader="none" w:pos="412" w:val="left"/>
        </w:tabs>
        <w:numPr>
          <w:ilvl w:val="0"/>
          <w:numId w:val="3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Given the Company’s general position as a secured lender and its practice of charging off loan balances when collection is deemed doubtful, this ratio and changes in the ratio are generally not an indicative measure of the adequacy of the Company’s allowance for loan losses, nor does management rely upon this ratio in assessing the adequacy of the Company’s allowance for loan losses.</w:t>
      </w:r>
    </w:p>
    <w:p>
      <w:pPr>
        <w:ind w:left="400" w:hanging="394"/>
        <w:spacing w:after="0"/>
        <w:tabs>
          <w:tab w:leader="none" w:pos="400" w:val="left"/>
        </w:tabs>
        <w:numPr>
          <w:ilvl w:val="0"/>
          <w:numId w:val="3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Included in Accrued interest and other liabilities in the Consolidated Balance Sheet.</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lower ratio of the allowance for loan losses as a percent of loans outstanding at September 30, 2025 as compared with June 30, 2025 and December 31, 2024, reflects lower levels of criticized commercial real estate loans. The level of the allowance reflects management’s evaluation of the loan portfolio using the methodology and considering the factors as described herein. Should the various economic forecasts and credit factors considered by management in establishing the allowance for loan losses change and should management’s assessment of losses in the loan portfolio also change, the level of the allowance as a percent of loans could increase or decrease in future periods. The reported level of the allowance for loan losses reflects management’s evaluation of the loan portfolio as of each respective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income are presented in the accompanying table.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tcPr>
          <w:p>
            <w:pPr>
              <w:spacing w:after="0"/>
              <w:rPr>
                <w:sz w:val="15"/>
                <w:szCs w:val="15"/>
                <w:color w:val="auto"/>
              </w:rPr>
            </w:pPr>
          </w:p>
        </w:tc>
      </w:tr>
      <w:tr>
        <w:trPr>
          <w:trHeight w:val="186"/>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74"/>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 banking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147</w:t>
            </w:r>
          </w:p>
        </w:tc>
        <w:tc>
          <w:tcPr>
            <w:tcW w:w="800" w:type="dxa"/>
            <w:vAlign w:val="bottom"/>
            <w:tcBorders>
              <w:bottom w:val="single" w:sz="8" w:color="CCEEFF"/>
            </w:tcBorders>
            <w:gridSpan w:val="2"/>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130</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r>
      <w:tr>
        <w:trPr>
          <w:trHeight w:val="184"/>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1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Trust income</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182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8</w:t>
            </w:r>
          </w:p>
        </w:tc>
      </w:tr>
      <w:tr>
        <w:trPr>
          <w:trHeight w:val="184"/>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Brokerage services income</w:t>
            </w:r>
          </w:p>
        </w:tc>
        <w:tc>
          <w:tcPr>
            <w:tcW w:w="1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Trading account and other non-hedging</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172"/>
        </w:trPr>
        <w:tc>
          <w:tcPr>
            <w:tcW w:w="3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gains</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32</w:t>
            </w:r>
          </w:p>
        </w:tc>
      </w:tr>
      <w:tr>
        <w:trPr>
          <w:trHeight w:val="184"/>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on bank investment securities</w:t>
            </w:r>
          </w:p>
        </w:tc>
        <w:tc>
          <w:tcPr>
            <w:tcW w:w="1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 from operations</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191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23</w:t>
            </w:r>
          </w:p>
        </w:tc>
      </w:tr>
      <w:tr>
        <w:trPr>
          <w:trHeight w:val="200"/>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752</w:t>
            </w:r>
          </w:p>
        </w:tc>
        <w:tc>
          <w:tcPr>
            <w:tcW w:w="800" w:type="dxa"/>
            <w:vAlign w:val="bottom"/>
            <w:gridSpan w:val="2"/>
          </w:tcPr>
          <w:p>
            <w:pPr>
              <w:jc w:val="right"/>
              <w:ind w:right="5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683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2,046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revenues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banking revenues are comprised of both residential and commercial mortgage banking activities, which consist of realized gains and losses from sales of real estate loans and loan servicing rights, unrealized gains and losses on real estate loans held for sale and related commitments, real estate loan servicing fees, and other real estate loan related fees and income. The Company's involvement in commercial mortgage banking activities includes the origination, sales and servicing of loans under the multifamily loan programs of Fannie Mae, Freddie Mac, and the U.S. Department of Housing and Urban Development.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MORTGAGE BANKING ACTIVITIES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4"/>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 banking revenues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Gains on loans originated for sale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w:t>
            </w:r>
          </w:p>
        </w:tc>
        <w:tc>
          <w:tcPr>
            <w:tcW w:w="800" w:type="dxa"/>
            <w:vAlign w:val="bottom"/>
            <w:tcBorders>
              <w:bottom w:val="single" w:sz="8" w:color="CCEEFF"/>
            </w:tcBorders>
            <w:gridSpan w:val="2"/>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84"/>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servicing fees</w:t>
            </w:r>
          </w:p>
        </w:tc>
        <w:tc>
          <w:tcPr>
            <w:tcW w:w="1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sub-servicing and other fees</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84"/>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loan servicing revenues</w:t>
            </w:r>
          </w:p>
        </w:tc>
        <w:tc>
          <w:tcPr>
            <w:tcW w:w="1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residential mortgage banking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108</w:t>
            </w:r>
          </w:p>
        </w:tc>
        <w:tc>
          <w:tcPr>
            <w:tcW w:w="800" w:type="dxa"/>
            <w:vAlign w:val="bottom"/>
            <w:gridSpan w:val="2"/>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287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229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New commitments to originate loans for sale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407</w:t>
            </w:r>
          </w:p>
        </w:tc>
        <w:tc>
          <w:tcPr>
            <w:tcW w:w="800" w:type="dxa"/>
            <w:vAlign w:val="bottom"/>
            <w:gridSpan w:val="2"/>
          </w:tcPr>
          <w:p>
            <w:pPr>
              <w:jc w:val="right"/>
              <w:ind w:right="5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322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1,019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4"/>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15"/>
                <w:szCs w:val="15"/>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4"/>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period end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327</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480" w:type="dxa"/>
            <w:vAlign w:val="bottom"/>
            <w:tcBorders>
              <w:bottom w:val="single" w:sz="8" w:color="CCEEFF"/>
            </w:tcBorders>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242</w:t>
            </w:r>
          </w:p>
        </w:tc>
      </w:tr>
      <w:tr>
        <w:trPr>
          <w:trHeight w:val="184"/>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to originate loans for sale</w:t>
            </w:r>
          </w:p>
        </w:tc>
        <w:tc>
          <w:tcPr>
            <w:tcW w:w="12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258</w:t>
            </w: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to sell loans</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576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419</w:t>
            </w:r>
          </w:p>
        </w:tc>
      </w:tr>
      <w:tr>
        <w:trPr>
          <w:trHeight w:val="184"/>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mortgage servicing rights</w:t>
            </w:r>
          </w:p>
        </w:tc>
        <w:tc>
          <w:tcPr>
            <w:tcW w:w="12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389</w:t>
            </w: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5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4"/>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serviced for others</w:t>
            </w:r>
          </w:p>
        </w:tc>
        <w:tc>
          <w:tcPr>
            <w:tcW w:w="12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36,421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36,952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38,609</w:t>
            </w: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sub-serviced for others (a)</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161,785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157,608</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111,544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112,695</w:t>
            </w:r>
          </w:p>
        </w:tc>
      </w:tr>
      <w:tr>
        <w:trPr>
          <w:trHeight w:val="200"/>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loans serviced for others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198,206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194,560</w:t>
            </w:r>
          </w:p>
        </w:tc>
        <w:tc>
          <w:tcPr>
            <w:tcW w:w="48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151,304</w:t>
            </w:r>
          </w:p>
        </w:tc>
      </w:tr>
      <w:tr>
        <w:trPr>
          <w:trHeight w:val="20"/>
        </w:trPr>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right="20" w:hanging="394"/>
        <w:spacing w:after="0" w:line="263" w:lineRule="auto"/>
        <w:tabs>
          <w:tab w:leader="none" w:pos="412" w:val="left"/>
        </w:tabs>
        <w:numPr>
          <w:ilvl w:val="0"/>
          <w:numId w:val="3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contractual servicing rights associated with residential mortgage loans sub-serviced by the Company were predominantly held by affiliates of BLG. Information about the Company’s relationship with BLG and its affiliates is included in note 16 of Notes to Financial Statements.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higher balances of residential mortgage loans sub-serviced for others at September 30, 2025 and June 30, 2025 as compared with December 31, 2024 and September 30, 2024, and the corresponding increase in related revenues for the nine months ended September 30, 2025 as compared with the nine months ended September 30, 2024, reflect an arrangement effective February 2025 whereby the Company began sub-servicing $51.7 billion of additional residential mortgage loans with contractual servicing rights held by Bayview Financial. The increase in residential mortgage banking revenues in the third quarter of 2025 as compared with the second quarter of 2025 reflects a rise in the level of delinquent loans sub-serviced for others, which generated higher sub-servicing fees.</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1" w:right="66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COMMERCIAL MORTGAGE BANKING ACTIVITIES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4"/>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mortgage banking revenues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Gains on loans originated for sale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servicing fees and other</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commercial mortgage banking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Loans originated for sale to other investors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1,051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1,368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2,861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-146685</wp:posOffset>
            </wp:positionV>
            <wp:extent cx="5334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-146685</wp:posOffset>
            </wp:positionV>
            <wp:extent cx="5334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340" cy="7620"/>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-146685</wp:posOffset>
            </wp:positionV>
            <wp:extent cx="5334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340" cy="762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4"/>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4"/>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period end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278</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520" w:type="dxa"/>
            <w:vAlign w:val="bottom"/>
            <w:tcBorders>
              <w:bottom w:val="single" w:sz="8" w:color="CCEEFF"/>
            </w:tcBorders>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r>
      <w:tr>
        <w:trPr>
          <w:trHeight w:val="184"/>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to originate loans for sale</w:t>
            </w:r>
          </w:p>
        </w:tc>
        <w:tc>
          <w:tcPr>
            <w:tcW w:w="12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to sell loans</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1,292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1,017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w:t>
            </w:r>
          </w:p>
        </w:tc>
      </w:tr>
      <w:tr>
        <w:trPr>
          <w:trHeight w:val="184"/>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mortgage servicing rights</w:t>
            </w:r>
          </w:p>
        </w:tc>
        <w:tc>
          <w:tcPr>
            <w:tcW w:w="12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5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4"/>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 serviced for others (a)</w:t>
            </w:r>
          </w:p>
        </w:tc>
        <w:tc>
          <w:tcPr>
            <w:tcW w:w="12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28,957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25,793</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sub-serviced for others</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4,297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4,209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4,063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4,044</w:t>
            </w:r>
          </w:p>
        </w:tc>
      </w:tr>
      <w:tr>
        <w:trPr>
          <w:trHeight w:val="200"/>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loans serviced for others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33,254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32,625</w:t>
            </w:r>
          </w:p>
        </w:tc>
        <w:tc>
          <w:tcPr>
            <w:tcW w:w="5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29,837</w:t>
            </w: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right="40" w:hanging="394"/>
        <w:spacing w:after="0" w:line="263" w:lineRule="auto"/>
        <w:tabs>
          <w:tab w:leader="none" w:pos="412" w:val="left"/>
        </w:tabs>
        <w:numPr>
          <w:ilvl w:val="0"/>
          <w:numId w:val="4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$4.4 billion at September 30, 2025, $4.3 billion at June 30, 2025, $4.2 billion at December 31, 2024 and $3.9 billion at September 30, 2024 of loan balances for which investors had recourse to the Company if such balances are ultimately uncollectable.</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higher gains on commercial mortgage loans originated for sale in the recent quarter as compared with the second quarter of 2025 reflect higher margins on new commitments to originate commercial real estate loans for sale. The increase in gains on commercial mortgage loans originated for sale in the first three quarters of 2025 as compared with the similar 2024 period reflects increased volume of and higher margin on new commitments to originate commercial real estate loans for sale.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charges on deposit accounts</w:t>
      </w:r>
    </w:p>
    <w:p>
      <w:pPr>
        <w:spacing w:after="0" w:line="10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Service charges on deposit accounts for the first nine months of 2025 increased $28 million as compared with the first nine months of 2024 reflecting higher commercial service charges that resulted from pricing changes and increased customer usage of sweep products.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 income</w:t>
      </w:r>
    </w:p>
    <w:p>
      <w:pPr>
        <w:spacing w:after="0" w:line="10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Trust income primarily includes revenues from two significant businesses managed within the Company's Institutional Services and Wealth Management segment. The Institutional Services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assets; and (iii) need investment and cash management services. The Wealth Management business offers personal trust, planning and advisory, fiduciary, asset management, family office and other services designed to help high net worth individuals and families grow, preserve and transfer wealth.</w:t>
      </w: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325" w:right="620" w:bottom="1440" w:gutter="0" w:footer="0" w:header="0"/>
        </w:sectPr>
      </w:pPr>
    </w:p>
    <w:bookmarkStart w:id="65" w:name="page66"/>
    <w:bookmarkEnd w:id="65"/>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INCOME AND ASSETS UNDER MANAGEMENT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00" w:type="dxa"/>
            <w:vAlign w:val="bottom"/>
          </w:tcPr>
          <w:p>
            <w:pPr>
              <w:spacing w:after="0"/>
              <w:rPr>
                <w:sz w:val="15"/>
                <w:szCs w:val="15"/>
                <w:color w:val="auto"/>
              </w:rPr>
            </w:pPr>
          </w:p>
        </w:tc>
      </w:t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74"/>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4"/>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Trust income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Institutional Services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95</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285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256</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84"/>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Wealth Management</w:t>
            </w:r>
          </w:p>
        </w:tc>
        <w:tc>
          <w:tcPr>
            <w:tcW w:w="1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7</w:t>
            </w:r>
          </w:p>
        </w:tc>
      </w:tr>
      <w:tr>
        <w:trPr>
          <w:trHeight w:val="200"/>
        </w:trPr>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trust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540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20"/>
        </w:trPr>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4"/>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04"/>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 under management at period end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Trust assets under management (excluding proprietary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67,447</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66,199</w:t>
            </w:r>
          </w:p>
        </w:tc>
        <w:tc>
          <w:tcPr>
            <w:tcW w:w="520" w:type="dxa"/>
            <w:vAlign w:val="bottom"/>
            <w:tcBorders>
              <w:bottom w:val="single" w:sz="8" w:color="CCEEFF"/>
            </w:tcBorders>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65,798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66,739</w:t>
            </w:r>
          </w:p>
        </w:tc>
      </w:tr>
      <w:tr>
        <w:trPr>
          <w:trHeight w:val="184"/>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Proprietary mutual funds</w:t>
            </w:r>
          </w:p>
        </w:tc>
        <w:tc>
          <w:tcPr>
            <w:tcW w:w="120" w:type="dxa"/>
            <w:vAlign w:val="bottom"/>
          </w:tcPr>
          <w:p>
            <w:pPr>
              <w:spacing w:after="0"/>
              <w:rPr>
                <w:sz w:val="16"/>
                <w:szCs w:val="16"/>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15,833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15,092</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 under management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83,280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80,742</w:t>
            </w:r>
          </w:p>
        </w:tc>
        <w:tc>
          <w:tcPr>
            <w:tcW w:w="52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80,259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81,831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trust income increased $40 million as compared with the similar 2024 period. Institutional Services trust income rose $29 million reflecting higher sales and fund management fees from its global capital markets business, while Wealth Management trust income increased $11 million reflecting comparatively favorable market performance associated with managed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 from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revenues from operations are presented in the accompanying table.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 FROM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4"/>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spacing w:after="0"/>
              <w:rPr>
                <w:sz w:val="15"/>
                <w:szCs w:val="15"/>
                <w:color w:val="auto"/>
              </w:rPr>
            </w:pPr>
          </w:p>
        </w:tc>
      </w:tr>
      <w:tr>
        <w:trPr>
          <w:trHeight w:val="186"/>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Letter of credit and other credit-related fees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55</w:t>
            </w:r>
          </w:p>
        </w:tc>
        <w:tc>
          <w:tcPr>
            <w:tcW w:w="800" w:type="dxa"/>
            <w:vAlign w:val="bottom"/>
            <w:tcBorders>
              <w:bottom w:val="single" w:sz="8" w:color="CCEEFF"/>
            </w:tcBorders>
            <w:gridSpan w:val="2"/>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162</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8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Merchant discount and credit card fees</w:t>
            </w:r>
          </w:p>
        </w:tc>
        <w:tc>
          <w:tcPr>
            <w:tcW w:w="10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w:t>
            </w: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Bank owned life insurance revenue (a)</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17</w:t>
            </w:r>
          </w:p>
        </w:tc>
      </w:tr>
      <w:tr>
        <w:trPr>
          <w:trHeight w:val="18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Equipment operating lease income</w:t>
            </w:r>
          </w:p>
        </w:tc>
        <w:tc>
          <w:tcPr>
            <w:tcW w:w="10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12</w:t>
            </w: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BLG income (b)</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-20</w:t>
            </w:r>
          </w:p>
        </w:tc>
      </w:tr>
      <w:tr>
        <w:trPr>
          <w:trHeight w:val="18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89</w:t>
            </w: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other revenues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230</w:t>
            </w:r>
          </w:p>
        </w:tc>
        <w:tc>
          <w:tcPr>
            <w:tcW w:w="800" w:type="dxa"/>
            <w:vAlign w:val="bottom"/>
            <w:gridSpan w:val="2"/>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191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563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456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jc w:val="both"/>
        <w:ind w:left="400" w:right="20" w:hanging="394"/>
        <w:spacing w:after="0" w:line="250" w:lineRule="auto"/>
        <w:tabs>
          <w:tab w:leader="none" w:pos="412" w:val="left"/>
        </w:tabs>
        <w:numPr>
          <w:ilvl w:val="0"/>
          <w:numId w:val="4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Tax-exempt income earned from bank owned life insurance includes increases in the cash surrender value of life insurance policies and benefits received. The Company owns both general account and separate account life insurance policies. To the extent market conditions change such that the market value of assets in a separate account bank owned life insurance policy becomes less than the previously recorded cash surrender value, an adjustment is recorded as a reduction to other revenues from operations.</w:t>
      </w:r>
    </w:p>
    <w:p>
      <w:pPr>
        <w:jc w:val="both"/>
        <w:ind w:left="400" w:right="20" w:hanging="394"/>
        <w:spacing w:after="0" w:line="254" w:lineRule="auto"/>
        <w:tabs>
          <w:tab w:leader="none" w:pos="412" w:val="left"/>
        </w:tabs>
        <w:numPr>
          <w:ilvl w:val="0"/>
          <w:numId w:val="41"/>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During 2017, the operating losses of BLG resulted in M&amp;T reducing the carrying value of its investment in BLG to zero. Subsequently, M&amp;T has received cash distributions when declared by BLG that result in the recognition of income by M&amp;T. M&amp;T expects cash distributions from BLG in the future, but the timing and amount of those distributions are not within M&amp;T's control. BLG is entitled to receive distributions from its affiliates that provide asset management and other services that are available for distribution to BLG’s owners, including M&amp;T. Information about the Company’s relationship with BLG and its affiliates is included in note 16 of Notes to Financial Statements.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revenues from operations increased $39 million in the third quarter of 2025 as compared with the second quarter of 2025 reflecting a distribution of an earnout payment of $28 million related to the Company's 2023 sale of its CIT business, a $20 million distribution from M&amp;T's investment in BLG and a $12 million gain on the sale of equipment leases each in the recent quarter, partially offset by gains on the sales of an out-of-footprint loan portfolio of $15 million and a subsidiary that specialized in institutional services of $10 million each in the second quarter of 2025.</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items noted in the previous paragraph, higher other revenues from operations in the first nine months of 2025 as compared with the first nine months of 2024 reflected increases in letter of credit and other credit-related fees, including higher loan syndication fees, and a rise in merchant discount and credit card interchange revenues.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Other Expense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expense are presented in the accompanying table.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tcPr>
          <w:p>
            <w:pPr>
              <w:spacing w:after="0"/>
              <w:rPr>
                <w:sz w:val="15"/>
                <w:szCs w:val="15"/>
                <w:color w:val="auto"/>
              </w:rPr>
            </w:pPr>
          </w:p>
        </w:tc>
      </w:tr>
      <w:tr>
        <w:trPr>
          <w:trHeight w:val="186"/>
        </w:trPr>
        <w:tc>
          <w:tcPr>
            <w:tcW w:w="3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74"/>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8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2,533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w:t>
            </w:r>
          </w:p>
        </w:tc>
      </w:tr>
      <w:tr>
        <w:trPr>
          <w:trHeight w:val="184"/>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Equipment and net occupancy</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r>
      <w:tr>
        <w:trPr>
          <w:trHeight w:val="20"/>
        </w:trPr>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Outside data processing and software</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12</w:t>
            </w:r>
          </w:p>
        </w:tc>
      </w:tr>
      <w:tr>
        <w:trPr>
          <w:trHeight w:val="184"/>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and other services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FDIC assessments</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-53</w:t>
            </w:r>
          </w:p>
        </w:tc>
      </w:tr>
      <w:tr>
        <w:trPr>
          <w:trHeight w:val="184"/>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Advertising and marketing</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w:t>
            </w:r>
          </w:p>
        </w:tc>
      </w:tr>
      <w:tr>
        <w:trPr>
          <w:trHeight w:val="20"/>
        </w:trPr>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8"/>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core deposit and other</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172"/>
        </w:trPr>
        <w:tc>
          <w:tcPr>
            <w:tcW w:w="3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intangible assets</w:t>
            </w: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-20</w:t>
            </w:r>
          </w:p>
        </w:tc>
      </w:tr>
      <w:tr>
        <w:trPr>
          <w:trHeight w:val="184"/>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costs of operations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r>
      <w:tr>
        <w:trPr>
          <w:trHeight w:val="20"/>
        </w:trPr>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other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1,363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4,114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employee benefits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trends in full-time equivalent employees are presented in the following table.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FULL-TIME EQUIVALENT EMPLOYEES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120" w:type="dxa"/>
            <w:vAlign w:val="bottom"/>
            <w:gridSpan w:val="2"/>
          </w:tcPr>
          <w:p>
            <w:pPr>
              <w:jc w:val="right"/>
              <w:ind w:right="103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520" w:type="dxa"/>
            <w:vAlign w:val="bottom"/>
          </w:tcPr>
          <w:p>
            <w:pPr>
              <w:spacing w:after="0"/>
              <w:rPr>
                <w:sz w:val="15"/>
                <w:szCs w:val="15"/>
                <w:color w:val="auto"/>
              </w:rPr>
            </w:pPr>
          </w:p>
        </w:tc>
      </w:tr>
      <w:tr>
        <w:trPr>
          <w:trHeight w:val="204"/>
        </w:trPr>
        <w:tc>
          <w:tcPr>
            <w:tcW w:w="3400" w:type="dxa"/>
            <w:vAlign w:val="bottom"/>
          </w:tcPr>
          <w:p>
            <w:pPr>
              <w:spacing w:after="0"/>
              <w:rPr>
                <w:sz w:val="17"/>
                <w:szCs w:val="17"/>
                <w:color w:val="auto"/>
              </w:rPr>
            </w:pPr>
          </w:p>
        </w:tc>
        <w:tc>
          <w:tcPr>
            <w:tcW w:w="25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20"/>
        </w:trPr>
        <w:tc>
          <w:tcPr>
            <w:tcW w:w="3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4"/>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full-time equivalent employees</w:t>
            </w:r>
          </w:p>
        </w:tc>
        <w:tc>
          <w:tcPr>
            <w:tcW w:w="25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22,554</w:t>
            </w:r>
          </w:p>
        </w:tc>
        <w:tc>
          <w:tcPr>
            <w:tcW w:w="14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22,395</w:t>
            </w: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22,067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22,073</w:t>
            </w:r>
          </w:p>
        </w:tc>
      </w:tr>
      <w:tr>
        <w:trPr>
          <w:trHeight w:val="18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Full-time equivalent employees at period end</w:t>
            </w:r>
          </w:p>
        </w:tc>
        <w:tc>
          <w:tcPr>
            <w:tcW w:w="25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22,383</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22,590</w:t>
            </w: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22,101</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21,986</w:t>
            </w:r>
          </w:p>
        </w:tc>
      </w:tr>
    </w:tbl>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Salaries and employee benefits expense increased $20 million in the recent quarter as compared with the second quarter of 2025 reflecting higher severance-related expense.</w:t>
      </w:r>
    </w:p>
    <w:p>
      <w:pPr>
        <w:spacing w:after="0" w:line="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employee benefits expense increased $161 million in the nine months ended September 30, 2025 as compared with the year-earlier period reflecting higher salaries expense from annual merit and other increases, a rise in staffing levels and an increase in incentive compensation. Also contributing to the increase was higher employee benefits expense, reflecting a rise in medical benefits expenses and an increase in severance-related expense.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Nonpersonnel expenses</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Nonpersonnel expenses aggregated $530 million in the recent quarter, up from $523 million in the second quarter of 2025 reflecting higher expense associated with the Company's supplemental executive retirement savings plan due to market performance and an impairment of a renewable energy tax credit investment. Those unfavorable factors were partially offset by a decline in FDIC assessment expense reflecting a decrease in the FDIC's loss estimate associated with certain failed banks.</w:t>
      </w:r>
    </w:p>
    <w:p>
      <w:pPr>
        <w:spacing w:after="0" w:line="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Nonpersonnel expenses decreased $43 million to $1.58 billion in the nine months ended September 30, 2025 as compared with $1.62 billion in the first nine months of 2024 reflecting lower FDIC assessment expense of $64 million, resulting from a reduction of special assessment expense and improved credit quality in the first nine months of 2025, and lower professional and other services expense. Those favorable factors were partially offset by a $45 million increase in outside data processing and software costs reflecting costs associated with enhancements to the Company's technology infrastructure, cybersecurity and financial recordkeeping and reporting systems.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$233 million in the third quarter of 2025, compared with $219 million in the second quarter of 2025. For the nine-month periods ended September 30, 2025 and 2024, the provision for income taxes was $629 million and $521 million, respectively. The Company's effective tax rates were 22.8% and 23.4% for the quarters ended September 30, 2025 and June 30, 2025, respectively, and 23.1% and 21.5% for the nine-month periods ended September 30, 2025 and 2024, respectively. The income tax expense for the nine months ended</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1" w:right="660"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September 30, 2024 reflects a $17 million net discrete tax benefit related to the resolution of an income tax matter inherited from the acquisition of People's United, and a $14 million discrete tax benefit related to certain tax credits claimed on a prior year tax return. The Company's effective tax rate is affected by the level of income earned that is exempt from tax relative to the overall level of pre-tax income, the amount of income allocated to the various state and local jurisdictions where the Company operates, because tax rates differ among such jurisdictions, and the impact of any large discrete or infrequently occurring items. The Company’s effective tax rate in future periods may also be affected by any change in income tax laws or regulations and interpretations of income tax regulations that differ from the Company’s interpretations by any of the various tax authorities that may examine tax returns filed by M&amp;T or any of its subsidiaries. New federal tax legislation was signed into law on July 4, 2025, which includes a broad range of tax reform provisions. The Company does not expect the new legislation will have a material impact on its effective tax rate.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cash flows associated with financial instruments included in assets and liabilities differ.</w:t>
      </w:r>
    </w:p>
    <w:p>
      <w:pPr>
        <w:spacing w:after="0" w:line="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most significant source of funding for the Company is core deposits, which are generated from a large base of consumer, corporate and institutional customers. That customer base has become more geographically diverse as a result of expanding the Company’s businesses over time. Nevertheless, the Company faces competition in offering products and services from a large array of financial market participants, including banks, thrifts, mutual funds, securities dealers and others. Core deposits totaled $149.8 billion at September 30, 2025, up from $147.5 billion at December 31, 2024. The higher level of core deposits at September 30, 2025 reflects higher savings and interest-checking deposits, partially offset by lower noninterest-bearing deposits and core time deposits.</w:t>
      </w:r>
    </w:p>
    <w:p>
      <w:pPr>
        <w:spacing w:after="0" w:line="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supplements funding provided through core deposits with various short-term and long-term wholesale borrowings, including overnight federal funds purchases, repurchase agreements, advances from the FHLBs, brokered deposits and longer-term borrowings. M&amp;T Bank has access to additional funding sources through secured borrowings from the FHLB of New York and the FRB of New York. M&amp;T Bank is also a counterparty to the FRB of New York standing repurchase agreement facility, which allows it to enter into overnight repurchase transactions using eligible investment securities. At September 30, 2025 and December 31, 2024, long-term borrowings aggregated $12.9 billion and $12.6 billion, respectively, and short-term borrowings aggregated $2.1 billion and $1.1 billion, respectively. Information about the Company's borrowings is included in note 5 of Notes to Financial Statements.</w:t>
      </w:r>
    </w:p>
    <w:p>
      <w:pPr>
        <w:spacing w:after="0" w:line="6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wholesale funding sources include the placement of brokered deposits. Brokered deposits, comprised predominantly of brokered savings and interest-checking deposit accounts, totaled 7% of the Company's total deposit base at each of September 30, 2025 and December 31, 2024. The Company actively adjusts its wholesale funding sources in consideration of the competitive landscape for customer deposits and maintenance of its liquidity profile.</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uninsured deposits were estimated to be $75.6 billion at September 30, 2025 and $73.0 billion at December 31, 2024. Approximately $10.5 billion and $9.1 billion of those uninsured deposits were collateralized by the Company at September 30, 2025 and December 31, 2024, respectively. The Company maintains available liquidity sources, which at September 30, 2025 represented approximately 133% of uninsured deposits that are not collateralized by the Company.</w:t>
      </w:r>
    </w:p>
    <w:p>
      <w:pPr>
        <w:spacing w:after="0" w:line="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deposits and borrowings, other sources of liquidity include maturities and repayments of investment securities, loans and other earning assets, as well as cash generated from operations, such as fees collected for services. The Company also has the ability to securitize or sell certain financial assets, including various loan types, to provide other liquidity alternatives. U.S. Treasury and government-issued or guaranteed mortgage-backed securities comprised 94% of the Company's debt securities portfolio at September 30, 2025. The weighted-average durations of debt investment securities available for sale and held to maturity at September 30, 2025 were 2.5 years and 5.4 years, respectively.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68" w:name="page69"/>
    <w:bookmarkEnd w:id="68"/>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risks by conducting scenario analyses that estimate the liquidity impact resulting from a debt ratings downgrade and other market events. Such impact is estimated by attempting to measure the effect on available unsecured lines of credit, available capacity from secured borrowing sources and securitizable assets.</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14 of Notes to Financial Statements.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September 30, 2025 approximately $2.5 billion was available for payment of dividends to M&amp;T from bank subsidiaries. M&amp;T may also obtain funding through long-term borrowings and the repayment of advances to subsidiaries. Further information about the long-term outstanding borrowings of M&amp;T is provided in note 5 of Notes to Financial Statements. As a bank holding company, M&amp;T is obligated to serve as a managerial and financial source of strength to its bank subsidiaries as described in Part I, Item 1, "Business" of M&amp;T's 2024 Annual Report and may provide advances to those subsidiaries. As its ability to access the capital markets may be affected by market disruptions, M&amp;T maintains sufficient resources at its parent company to satisfy projected cash outflows for an extended period without reliance on dividends from subsidiaries or external financing. As of September 30, 2025, M&amp;T's parent company liquidity, inclusive of the projected repayment of notes receivable from bank subsidiaries, covered projected cash outflows for 39 months, including dividends on common and preferred stock, debt service and scheduled debt maturities.</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Executive ALCO Committee closely monitors the Company’s liquidity position on an ongoing basis for compliance with internal policies and regulatory expectations. As a Category IV institution, the Company adheres to enhanced liquidity standards which require the performance of internal liquidity stress testing. The stress testing is designed to ensure the Company has sufficient liquidity to withstand both institution-specific and market-wide stress scenarios. For each scenario, the Company applies liquidity stress which may include deposit run-off, increased draws on unfunded loan commitments, increased collateral need for margin calls, increased haircuts on investment security-based funding and reductions in unsecured and secured borrowing capacity. Stress scenarios are measured over various time frames ranging from overnight to twelve months. As required by regulation, the Company maintains a liquidity buffer comprised of cash and highly liquid unencumbered securities to cover a 30-day stress horizon. Liquidity stress events occurring over longer time horizons can be mitigated by the availability of secured funding sources at the FHLB of New York and FRB of New York. As described in Part I, Item 1, "Liquidity" of M&amp;T's 2024 Annual Report, the Federal Reserve and other federal banking regulators established the LCR as a uniform measure to ensure banking organizations hold sufficient amounts of cash and unencumbered high-quality liquid assets to cover net cash outflows over a 30-day liquidity stress period. As a Category IV institution with less than a $50 billion balance of weighted short-term wholesale funding, M&amp;T is not subject to the LCR. M&amp;T, however, estimates that its LCR on September 30, 2025 was 108%, exceeding the regulatory minimum standards that would be applicable if it were a Category III institution subject to the Category III reduced LCR requirements.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69" w:name="page70"/>
    <w:bookmarkEnd w:id="69"/>
    <w:p>
      <w:pPr>
        <w:ind w:right="880"/>
        <w:spacing w:after="0" w:line="388" w:lineRule="auto"/>
        <w:rPr>
          <w:sz w:val="20"/>
          <w:szCs w:val="20"/>
          <w:color w:val="auto"/>
        </w:rPr>
      </w:pPr>
      <w:r>
        <w:rPr>
          <w:rFonts w:ascii="Times New Roman" w:cs="Times New Roman" w:eastAsia="Times New Roman" w:hAnsi="Times New Roman"/>
          <w:sz w:val="18"/>
          <w:szCs w:val="18"/>
          <w:color w:val="auto"/>
        </w:rPr>
        <w:t>The table that follows is a summary of the Company's available sources of liquidity as of September 30, 2025 and December 31, 2024. AVAILABLE LIQUIDITY SOURCES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00" w:type="dxa"/>
            <w:vAlign w:val="bottom"/>
          </w:tcPr>
          <w:p>
            <w:pPr>
              <w:spacing w:after="0"/>
              <w:rPr>
                <w:sz w:val="15"/>
                <w:szCs w:val="15"/>
                <w:color w:val="auto"/>
              </w:rPr>
            </w:pPr>
          </w:p>
        </w:tc>
        <w:tc>
          <w:tcPr>
            <w:tcW w:w="15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0"/>
        </w:trPr>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Deposits at the FRB of New York</w:t>
            </w: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16,697</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18,805</w:t>
            </w:r>
          </w:p>
        </w:tc>
      </w:tr>
      <w:tr>
        <w:trPr>
          <w:trHeight w:val="184"/>
        </w:trPr>
        <w:tc>
          <w:tcPr>
            <w:tcW w:w="6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Unused secured borrowing facilities: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4"/>
        </w:trPr>
        <w:tc>
          <w:tcPr>
            <w:tcW w:w="6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FRB of New York</w:t>
            </w: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25,069</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24,546</w:t>
            </w:r>
          </w:p>
        </w:tc>
      </w:tr>
      <w:tr>
        <w:trPr>
          <w:trHeight w:val="184"/>
        </w:trPr>
        <w:tc>
          <w:tcPr>
            <w:tcW w:w="6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FHLB of New York</w:t>
            </w:r>
          </w:p>
        </w:tc>
        <w:tc>
          <w:tcPr>
            <w:tcW w:w="200" w:type="dxa"/>
            <w:vAlign w:val="bottom"/>
          </w:tcPr>
          <w:p>
            <w:pPr>
              <w:spacing w:after="0"/>
              <w:rPr>
                <w:sz w:val="16"/>
                <w:szCs w:val="16"/>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17,779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17,655</w:t>
            </w:r>
          </w:p>
        </w:tc>
      </w:tr>
      <w:tr>
        <w:trPr>
          <w:trHeight w:val="20"/>
        </w:trPr>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Unencumbered investment securities (after estimated haircuts)</w:t>
            </w: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26,774</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24,019</w:t>
            </w:r>
          </w:p>
        </w:tc>
      </w:tr>
      <w:tr>
        <w:trPr>
          <w:trHeight w:val="204"/>
        </w:trPr>
        <w:tc>
          <w:tcPr>
            <w:tcW w:w="6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86,319</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85,025</w:t>
            </w:r>
          </w:p>
        </w:tc>
      </w:tr>
      <w:tr>
        <w:trPr>
          <w:trHeight w:val="20"/>
        </w:trPr>
        <w:tc>
          <w:tcPr>
            <w:tcW w:w="6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continuously evaluates the use and mix of its various available funding alternatives, including short-term borrowings, issuances of long-term debt, the placement of brokered deposits and the securitization of certain loan products. Management does not anticipate engaging in any activities, either currently or in the long term, for which adequate funding would not be available and would therefore result in a significant strain on liquidity at either M&amp;T or its subsidiary banks. In accordance with liquidity regulations, the Company maintains a contingency funding plan to facilitate on-going liquidity management in times of liquidity stress. The plan outlines various funding options available during a liquidity stress event and establishes a clear escalation protocol to be followed within the Company's Enterprise Risk Framework. The plan sets forth funding strategies and procedures that management can quickly leverage to assist in decision-making and specifies roles and responsibilities for departments impacted by a potential liquidity stress event.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Interest Rate Sensitivity</w:t>
      </w:r>
    </w:p>
    <w:p>
      <w:pPr>
        <w:spacing w:after="0" w:line="10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Market risk is the risk of loss from adverse changes in the market prices and/or interest rates of the Company’s financial instruments. A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generally limit the variability of net interest income.</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Executive ALCO Committee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contemplate both parallel (that is, when interest rates at each point of the yield curve change by the same magnitude) and non-parallel (that is, allowing interest rates at points on the yield curve to change by different amounts) shifts in the yield curve. The Company also contemplates instantaneous and gradual shifts in the yield curve over the scenario time horizon. In utilizing the model, market-implied forward interest rates over the subsequent twelve months are generally used to determine a base interest rate scenario for the net interest income simulation. That calculated base net interest income is then compared with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 At September 30, 2025, the aggregate notional amount of interest rate swap agreements entered into for interest rate risk management purposes that were currently in effect was $17.9 billion. In addition, the Company has entered into $13.2 billion of forward-starting interest rate swap agreements designated for hedging purposes. Information about interest rate swap agreements entered into for interest rate risk</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70" w:name="page71"/>
    <w:bookmarkEnd w:id="70"/>
    <w:p>
      <w:pPr>
        <w:ind w:right="60"/>
        <w:spacing w:after="0" w:line="282" w:lineRule="auto"/>
        <w:rPr>
          <w:sz w:val="20"/>
          <w:szCs w:val="20"/>
          <w:color w:val="auto"/>
        </w:rPr>
      </w:pPr>
      <w:r>
        <w:rPr>
          <w:rFonts w:ascii="Times New Roman" w:cs="Times New Roman" w:eastAsia="Times New Roman" w:hAnsi="Times New Roman"/>
          <w:sz w:val="18"/>
          <w:szCs w:val="18"/>
          <w:color w:val="auto"/>
        </w:rPr>
        <w:t>management purposes is included herein under the heading “Taxable-equivalent Net Interest Income” and in note 11 of Notes to Financial Statements.</w:t>
      </w:r>
    </w:p>
    <w:p>
      <w:pPr>
        <w:spacing w:after="0" w:line="4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accompanying table as of September 30, 2025 and December 31, 2024 displays the estimated impact on net interest income in the base scenarios described herein resulting from changes in market interest rates. The scenarios presented in the table below assume a gradual and parallel change in interest rates across repricing categories during the first modeling year.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SENSITIVITY OF NET INTEREST INCOME TO CHANGES IN INTEREST RATES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420" w:type="dxa"/>
            <w:vAlign w:val="bottom"/>
            <w:gridSpan w:val="3"/>
          </w:tcPr>
          <w:p>
            <w:pPr>
              <w:jc w:val="right"/>
              <w:ind w:right="894"/>
              <w:spacing w:after="0"/>
              <w:rPr>
                <w:sz w:val="20"/>
                <w:szCs w:val="20"/>
                <w:color w:val="auto"/>
              </w:rPr>
            </w:pPr>
            <w:r>
              <w:rPr>
                <w:rFonts w:ascii="Times New Roman" w:cs="Times New Roman" w:eastAsia="Times New Roman" w:hAnsi="Times New Roman"/>
                <w:sz w:val="13"/>
                <w:szCs w:val="13"/>
                <w:b w:val="1"/>
                <w:bCs w:val="1"/>
                <w:color w:val="auto"/>
              </w:rPr>
              <w:t>Calculated Increase (Decrease)</w:t>
            </w:r>
          </w:p>
        </w:tc>
      </w:tr>
      <w:tr>
        <w:trPr>
          <w:trHeight w:val="174"/>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420" w:type="dxa"/>
            <w:vAlign w:val="bottom"/>
            <w:gridSpan w:val="3"/>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rPr>
              <w:t>in Projected Net Interest Income</w:t>
            </w:r>
          </w:p>
        </w:tc>
      </w:tr>
      <w:tr>
        <w:trPr>
          <w:trHeight w:val="204"/>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2940" w:type="dxa"/>
            <w:vAlign w:val="bottom"/>
          </w:tcPr>
          <w:p>
            <w:pPr>
              <w:spacing w:after="0"/>
              <w:rPr>
                <w:sz w:val="17"/>
                <w:szCs w:val="17"/>
                <w:color w:val="auto"/>
              </w:rPr>
            </w:pPr>
          </w:p>
        </w:tc>
        <w:tc>
          <w:tcPr>
            <w:tcW w:w="15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60" w:type="dxa"/>
            <w:vAlign w:val="bottom"/>
          </w:tcPr>
          <w:p>
            <w:pPr>
              <w:spacing w:after="0"/>
              <w:rPr>
                <w:sz w:val="17"/>
                <w:szCs w:val="17"/>
                <w:color w:val="auto"/>
              </w:rPr>
            </w:pPr>
          </w:p>
        </w:tc>
        <w:tc>
          <w:tcPr>
            <w:tcW w:w="15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6"/>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Changes in interest rates</w:t>
            </w:r>
          </w:p>
        </w:tc>
        <w:tc>
          <w:tcPr>
            <w:tcW w:w="2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8"/>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4"/>
        </w:trPr>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 basis points</w:t>
            </w:r>
          </w:p>
        </w:tc>
        <w:tc>
          <w:tcPr>
            <w:tcW w:w="29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(78)</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4"/>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+100 basis points</w:t>
            </w:r>
          </w:p>
        </w:tc>
        <w:tc>
          <w:tcPr>
            <w:tcW w:w="2940" w:type="dxa"/>
            <w:vAlign w:val="bottom"/>
          </w:tcPr>
          <w:p>
            <w:pPr>
              <w:spacing w:after="0"/>
              <w:rPr>
                <w:sz w:val="16"/>
                <w:szCs w:val="16"/>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w:t>
            </w:r>
          </w:p>
        </w:tc>
        <w:tc>
          <w:tcPr>
            <w:tcW w:w="260" w:type="dxa"/>
            <w:vAlign w:val="bottom"/>
          </w:tcPr>
          <w:p>
            <w:pPr>
              <w:spacing w:after="0"/>
              <w:rPr>
                <w:sz w:val="16"/>
                <w:szCs w:val="16"/>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w:t>
            </w: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4"/>
        </w:trPr>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 basis points</w:t>
            </w:r>
          </w:p>
        </w:tc>
        <w:tc>
          <w:tcPr>
            <w:tcW w:w="29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17</w:t>
            </w:r>
          </w:p>
        </w:tc>
        <w:tc>
          <w:tcPr>
            <w:tcW w:w="2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4"/>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-200 basis points</w:t>
            </w:r>
          </w:p>
        </w:tc>
        <w:tc>
          <w:tcPr>
            <w:tcW w:w="2940" w:type="dxa"/>
            <w:vAlign w:val="bottom"/>
          </w:tcPr>
          <w:p>
            <w:pPr>
              <w:spacing w:after="0"/>
              <w:rPr>
                <w:sz w:val="16"/>
                <w:szCs w:val="16"/>
                <w:color w:val="auto"/>
              </w:rPr>
            </w:pPr>
          </w:p>
        </w:tc>
        <w:tc>
          <w:tcPr>
            <w:tcW w:w="15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bl>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loan and deposit volumes, mix and pricing, and deposit maturities. Variations in amounts presented since December 31, 2024 reflect changes in the composition of the Company's earning assets and interest-bearing liabilities, as well as the level of market-implied forward interest rates and hedging actions taken by the Company. M&amp;T's cumulative upward deposit pricing beta, which is the change in deposit pricing in response to a change in market interest rates, approximated 55% amidst a rising interest rate environment from the first quarter of 2022 through the second quarter of 2024. Reflecting the first cuts of the federal funds target interest rate since March 2020, the FOMC decreased that rate by 50 basis points in September 2024 followed by additional reductions of 25 basis points in each of November and December 2024 and September 2025. M&amp;T's cumulative downward deposit pricing beta beginning in the third quarter of 2024 through the third quarter of 2025 approximated 52%.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also uses an EVE model to supplement the modeling technique described above and provide a long-term interest rate risk metric. EVE is a point-in-time analysis of the economic sensitivity of assets, liabilities and off-balance sheet positions that incorporates all cash flows over their estimated remaining lives. The EVE reflects the present value of cash flows from existing assets, liabilities and off-balance sheet financial instruments, but does not incorporate any assumptions for future originations, renewals or issuances. Management measures the impact of changes in market values due to interest rates under a number of scenarios, including immediate shifts of the yield curve. The percentage impact to the EVE resulting from a 100 basis-point increase and a 100 basis-point decrease in market interest rates was -4.8% and 2.2%, respectively, at September 30, 2025, and -5.1% and 2.5%, respectively, at December 31, 2024.</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effect of interest rates, changes in fair value of the Company’s financial instruments can also result from a lack of trading activity for similar instruments in the financial markets. Information about the fair valuation of financial instruments is presented in note 13 of Notes to Financial Statements.</w:t>
      </w:r>
    </w:p>
    <w:p>
      <w:pPr>
        <w:spacing w:after="0" w:line="5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and foreign exchange contracts to meet the financial needs of customers that it includes in its consolidated financial statements as other non-hedging derivatives within other assets and other liabilities. Financial instruments utilized for such activities consist predominantly of interest rate swap agreements and forward and futures contracts related to foreign currencies. The Company generally mitigates the interest rate and foreign currency risk associated with customer activities by entering into offsetting positions with third parties</w:t>
      </w: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25" w:right="640" w:bottom="1440" w:gutter="0" w:footer="0" w:header="0"/>
        </w:sectPr>
      </w:pPr>
    </w:p>
    <w:bookmarkStart w:id="71" w:name="page72"/>
    <w:bookmarkEnd w:id="71"/>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that are also included in other assets and other liabilities. The fair values of non-hedging derivative positions associated with interest rate contracts and foreign currency and other option and futures contracts are presented in note 11 of Notes to Financial Statements. As with any non-government guaranteed financial instrument, the Company is exposed to credit risk associated with counterparties to its non-hedging derivative activities. Although the notional amounts of these contracts are not recorded in the Consolidated Balance Sheet, the unsettled fair values of such financial instruments are recorded in the Consolidated Balance Sheet. The fair values of such non-hedging derivative assets and liabilities recognized in the Consolidated Balance Sheet were $192 million and $451 million, respectively, at September 30, 2025 and $206 million and $787 million, respectively, at December 31, 2024. The fair value of asset and liability amounts at September 30, 2025 have been reduced by contractual settlements of $379 million and $33 million, respectively, and at December 31, 2024 have been reduced by contractual settlements of $686 million and $15 million, respectively. The amounts recorded in the Consolidated Balance Sheet associated with the Company's non-hedging derivative activities at September 30, 2025 and December 31, 2024 primarily reflect changes in values associated with interest rate swap agreements entered into with commercial customers and financial institutions that are not subject to periodic variation margin settlement payments.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Trading account assets were $95 million at September 30, 2025 and $101 million at December 31, 2024 and were comprised of mutual funds and other assets related to certain deferred compensation plans and non-qualified supplemental retirement and other benefit plans that were assumed by the Company in various acquisitions. Changes in the fair values of such assets are recorded as Trading account and other non-hedging derivative gains in the Consolidated Statement of Income. Changes in the valuation of the related liabilities, which are included in Accrued interest and other liabilities in the Consolidated Balance Sheet, are recognized in Other costs of operations in the Consolidated Statement of Income.</w:t>
      </w:r>
    </w:p>
    <w:p>
      <w:pPr>
        <w:spacing w:after="0" w:line="6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Given the Company's policies and positions, management believes that the potential loss exposure to the Company resulting from market risk associated with trading account and other non-hedging derivative activities was not material at September 30, 2025, however, as previously noted, the Company is exposed to credit risk associated with counterparties to such activities. Information about the Company’s use of derivative financial instruments is included in note 11 of Notes to Financial Statements.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related to shareholders' equity and dividends.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DIVIDENDS AND SELECT RATIOS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60" w:type="dxa"/>
            <w:vAlign w:val="bottom"/>
          </w:tcPr>
          <w:p>
            <w:pPr>
              <w:spacing w:after="0"/>
              <w:rPr>
                <w:sz w:val="15"/>
                <w:szCs w:val="15"/>
                <w:color w:val="auto"/>
              </w:rPr>
            </w:pPr>
          </w:p>
        </w:tc>
        <w:tc>
          <w:tcPr>
            <w:tcW w:w="14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2,394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2,394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2,394</w:t>
            </w:r>
          </w:p>
        </w:tc>
        <w:tc>
          <w:tcPr>
            <w:tcW w:w="0" w:type="dxa"/>
            <w:vAlign w:val="bottom"/>
          </w:tcPr>
          <w:p>
            <w:pPr>
              <w:spacing w:after="0"/>
              <w:rPr>
                <w:sz w:val="1"/>
                <w:szCs w:val="1"/>
                <w:color w:val="auto"/>
              </w:rPr>
            </w:pPr>
          </w:p>
        </w:tc>
      </w:tr>
      <w:tr>
        <w:trPr>
          <w:trHeight w:val="184"/>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shareholders' equity</w:t>
            </w:r>
          </w:p>
        </w:tc>
        <w:tc>
          <w:tcPr>
            <w:tcW w:w="160" w:type="dxa"/>
            <w:vAlign w:val="bottom"/>
          </w:tcPr>
          <w:p>
            <w:pPr>
              <w:spacing w:after="0"/>
              <w:rPr>
                <w:sz w:val="16"/>
                <w:szCs w:val="16"/>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26,334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26,633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26,482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28,728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29,027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28,876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Common shareholders’ equity</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170.43</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160.90</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159.38</w:t>
            </w:r>
          </w:p>
        </w:tc>
        <w:tc>
          <w:tcPr>
            <w:tcW w:w="0" w:type="dxa"/>
            <w:vAlign w:val="bottom"/>
          </w:tcPr>
          <w:p>
            <w:pPr>
              <w:spacing w:after="0"/>
              <w:rPr>
                <w:sz w:val="1"/>
                <w:szCs w:val="1"/>
                <w:color w:val="auto"/>
              </w:rPr>
            </w:pPr>
          </w:p>
        </w:tc>
      </w:tr>
      <w:tr>
        <w:trPr>
          <w:trHeight w:val="184"/>
        </w:trPr>
        <w:tc>
          <w:tcPr>
            <w:tcW w:w="56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Tangible common shareholders’ equity (a)</w:t>
            </w:r>
          </w:p>
        </w:tc>
        <w:tc>
          <w:tcPr>
            <w:tcW w:w="160" w:type="dxa"/>
            <w:vAlign w:val="bottom"/>
          </w:tcPr>
          <w:p>
            <w:pPr>
              <w:spacing w:after="0"/>
              <w:rPr>
                <w:sz w:val="16"/>
                <w:szCs w:val="16"/>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115.31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109.36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107.97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Ratios:</w:t>
            </w: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Shareholders' equity to total assets</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Tangible common shareholders' equity to tangible assets (a)</w:t>
            </w: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8.79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9.07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8.83</w:t>
            </w:r>
          </w:p>
        </w:tc>
        <w:tc>
          <w:tcPr>
            <w:tcW w:w="0" w:type="dxa"/>
            <w:vAlign w:val="bottom"/>
          </w:tcPr>
          <w:p>
            <w:pPr>
              <w:spacing w:after="0"/>
              <w:rPr>
                <w:sz w:val="1"/>
                <w:szCs w:val="1"/>
                <w:color w:val="auto"/>
              </w:rPr>
            </w:pPr>
          </w:p>
        </w:tc>
      </w:tr>
      <w:tr>
        <w:trPr>
          <w:trHeight w:val="184"/>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 for quarter ended:</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Common stock (b)</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234</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226</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84"/>
        </w:trPr>
        <w:tc>
          <w:tcPr>
            <w:tcW w:w="56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Common stock per share</w:t>
            </w:r>
          </w:p>
        </w:tc>
        <w:tc>
          <w:tcPr>
            <w:tcW w:w="160" w:type="dxa"/>
            <w:vAlign w:val="bottom"/>
          </w:tcPr>
          <w:p>
            <w:pPr>
              <w:spacing w:after="0"/>
              <w:rPr>
                <w:sz w:val="16"/>
                <w:szCs w:val="16"/>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Preferred stock (b)</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4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Reconciliations of total common shareholders’ equity and tangible common equity and total assets and tangible assets as of each of those dates are presented in Table 2.</w:t>
      </w:r>
    </w:p>
    <w:p>
      <w:pPr>
        <w:spacing w:after="0" w:line="6" w:lineRule="exact"/>
        <w:rPr>
          <w:rFonts w:ascii="Times New Roman" w:cs="Times New Roman" w:eastAsia="Times New Roman" w:hAnsi="Times New Roman"/>
          <w:sz w:val="13"/>
          <w:szCs w:val="13"/>
          <w:i w:val="1"/>
          <w:iCs w:val="1"/>
          <w:color w:val="auto"/>
        </w:rPr>
      </w:pPr>
    </w:p>
    <w:p>
      <w:pPr>
        <w:ind w:left="400" w:right="20" w:hanging="394"/>
        <w:spacing w:after="0" w:line="263" w:lineRule="auto"/>
        <w:tabs>
          <w:tab w:leader="none" w:pos="412" w:val="left"/>
        </w:tabs>
        <w:numPr>
          <w:ilvl w:val="0"/>
          <w:numId w:val="4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Cash dividends on common stock were $670 million and $671 million and preferred stock dividends were $107 million and $99 million for the nine months ended September 30, 2025 and 2024, respectively.</w:t>
      </w:r>
    </w:p>
    <w:p>
      <w:pPr>
        <w:spacing w:after="0" w:line="200" w:lineRule="exact"/>
        <w:rPr>
          <w:rFonts w:ascii="Times New Roman" w:cs="Times New Roman" w:eastAsia="Times New Roman" w:hAnsi="Times New Roman"/>
          <w:sz w:val="13"/>
          <w:szCs w:val="13"/>
          <w:i w:val="1"/>
          <w:iCs w:val="1"/>
          <w:color w:val="auto"/>
        </w:rPr>
      </w:pPr>
    </w:p>
    <w:p>
      <w:pPr>
        <w:spacing w:after="0" w:line="393" w:lineRule="exact"/>
        <w:rPr>
          <w:rFonts w:ascii="Times New Roman" w:cs="Times New Roman" w:eastAsia="Times New Roman" w:hAnsi="Times New Roman"/>
          <w:sz w:val="13"/>
          <w:szCs w:val="13"/>
          <w:i w:val="1"/>
          <w:iCs w:val="1"/>
          <w:color w:val="auto"/>
        </w:rPr>
      </w:pPr>
    </w:p>
    <w:p>
      <w:pPr>
        <w:ind w:left="5220" w:hanging="95"/>
        <w:spacing w:after="0"/>
        <w:tabs>
          <w:tab w:leader="none" w:pos="522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25" w:right="640" w:bottom="1440" w:gutter="0" w:footer="0" w:header="0"/>
        </w:sectPr>
      </w:pPr>
    </w:p>
    <w:bookmarkStart w:id="72" w:name="page73"/>
    <w:bookmarkEnd w:id="7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Shareholders’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The components of accumulated other comprehensive income (loss) are presented in the following table.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(LOSS) - NET OF INCOME TAX</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60" w:type="dxa"/>
            <w:vAlign w:val="bottom"/>
          </w:tcPr>
          <w:p>
            <w:pPr>
              <w:spacing w:after="0"/>
              <w:rPr>
                <w:sz w:val="15"/>
                <w:szCs w:val="15"/>
                <w:color w:val="auto"/>
              </w:rPr>
            </w:pPr>
          </w:p>
        </w:tc>
        <w:tc>
          <w:tcPr>
            <w:tcW w:w="14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securities unrealized gains (losses), net (a)</w:t>
            </w: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121</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8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 hedges unrealized gains (losses), net (b)</w:t>
            </w:r>
          </w:p>
        </w:tc>
        <w:tc>
          <w:tcPr>
            <w:tcW w:w="160" w:type="dxa"/>
            <w:vAlign w:val="bottom"/>
          </w:tcPr>
          <w:p>
            <w:pPr>
              <w:spacing w:after="0"/>
              <w:rPr>
                <w:sz w:val="16"/>
                <w:szCs w:val="16"/>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Defined benefit plans adjustments, net (c)</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84"/>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277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 (loss), net, per common share</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00" w:hanging="394"/>
        <w:spacing w:after="0"/>
        <w:tabs>
          <w:tab w:leader="none" w:pos="400" w:val="left"/>
        </w:tabs>
        <w:numPr>
          <w:ilvl w:val="0"/>
          <w:numId w:val="4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Refer to note 3 of Notes to Financial Statements.</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4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Refer to note 11 of Notes to Financial Statements.</w:t>
      </w:r>
    </w:p>
    <w:p>
      <w:pPr>
        <w:spacing w:after="0" w:line="6" w:lineRule="exact"/>
        <w:rPr>
          <w:rFonts w:ascii="Times New Roman" w:cs="Times New Roman" w:eastAsia="Times New Roman" w:hAnsi="Times New Roman"/>
          <w:sz w:val="13"/>
          <w:szCs w:val="13"/>
          <w:i w:val="1"/>
          <w:iCs w:val="1"/>
          <w:color w:val="auto"/>
        </w:rPr>
      </w:pPr>
    </w:p>
    <w:p>
      <w:pPr>
        <w:ind w:left="400" w:hanging="394"/>
        <w:spacing w:after="0"/>
        <w:tabs>
          <w:tab w:leader="none" w:pos="400" w:val="left"/>
        </w:tabs>
        <w:numPr>
          <w:ilvl w:val="0"/>
          <w:numId w:val="4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Refer to note 8 of Notes to Financial Statements.</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22, 2025, M&amp;T's Board of Directors authorized a program under which $4.0 billion of common shares may be repurchased. That authorization replaced and terminated the previous authorized share repurchase program effective as of the same date. M&amp;T repurchased 2.1 million shares of its common stock in the recent quarter at an average cost per share of $193.46 resulting in a total cost of $409 million and 6.1 million shares of its common stock at an average cost per share of $175.93 resulting in a total cost of $1.1 billion in the second quarter of 2025. During the first nine months of 2025 and 2024, M&amp;T repurchased 11.6 million and 1.2 million shares of its common stock at an average cost per share of $183.85 and $166.40 resulting in a total cost of $2.2 billion and $200 million, respectively. Discretion as to the amount and timing of authorized share repurchases in a given period has been delegated, through the authorization of the Board of Directors, to management and can be influenced by capital and liquidity requirements, including funding of future loan growth and other balance sheet management activities, as well as market and economic conditions.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M&amp;T and its subsidiary banks are required to comply with applicable Capital Rules which prescribe minimum capital ratios. Capital Rules require buffers in addition to these minimum risk-based capital ratios. M&amp;T is subject to an SCB requirement that is determined through the Federal Reserve’s supervisory stress tests and M&amp;T’s bank subsidiaries are subject to a 2.5% capital conservation buffer requirement. The buffer requirement must be composed entirely of CET1 capital. M&amp;T's SCB at September 30, 2025 was 3.8%. In June 2025, the Federal Reserve released the results of its most recent supervisory stress tests. Based on those results, on October 1, 2025, M&amp;T's SCB of 2.7% became effective. The regulatory capital ratios of the Company and its bank subsidiaries, M&amp;T Bank and Wilmington Trust, N.A., as of September 30, 2025 are presented in the accompanying table.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CAPITAL RATIOS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38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M&amp;T</w:t>
            </w:r>
          </w:p>
        </w:tc>
        <w:tc>
          <w:tcPr>
            <w:tcW w:w="400" w:type="dxa"/>
            <w:vAlign w:val="bottom"/>
          </w:tcPr>
          <w:p>
            <w:pPr>
              <w:spacing w:after="0"/>
              <w:rPr>
                <w:sz w:val="13"/>
                <w:szCs w:val="13"/>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M&amp;T</w:t>
            </w:r>
          </w:p>
        </w:tc>
        <w:tc>
          <w:tcPr>
            <w:tcW w:w="320" w:type="dxa"/>
            <w:vAlign w:val="bottom"/>
          </w:tcPr>
          <w:p>
            <w:pPr>
              <w:spacing w:after="0"/>
              <w:rPr>
                <w:sz w:val="13"/>
                <w:szCs w:val="13"/>
                <w:color w:val="auto"/>
              </w:rPr>
            </w:pPr>
          </w:p>
        </w:tc>
        <w:tc>
          <w:tcPr>
            <w:tcW w:w="13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Wilmington</w:t>
            </w:r>
          </w:p>
        </w:tc>
      </w:tr>
      <w:tr>
        <w:trPr>
          <w:trHeight w:val="174"/>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3300" w:type="dxa"/>
            <w:vAlign w:val="bottom"/>
          </w:tcPr>
          <w:p>
            <w:pPr>
              <w:ind w:left="1420"/>
              <w:spacing w:after="0"/>
              <w:rPr>
                <w:sz w:val="20"/>
                <w:szCs w:val="20"/>
                <w:color w:val="auto"/>
              </w:rPr>
            </w:pPr>
            <w:r>
              <w:rPr>
                <w:rFonts w:ascii="Times New Roman" w:cs="Times New Roman" w:eastAsia="Times New Roman" w:hAnsi="Times New Roman"/>
                <w:sz w:val="13"/>
                <w:szCs w:val="13"/>
                <w:b w:val="1"/>
                <w:bCs w:val="1"/>
                <w:color w:val="auto"/>
              </w:rPr>
              <w:t>Regulatory Minimum (a)</w:t>
            </w:r>
          </w:p>
        </w:tc>
        <w:tc>
          <w:tcPr>
            <w:tcW w:w="13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400" w:type="dxa"/>
            <w:vAlign w:val="bottom"/>
          </w:tcPr>
          <w:p>
            <w:pPr>
              <w:spacing w:after="0"/>
              <w:rPr>
                <w:sz w:val="15"/>
                <w:szCs w:val="15"/>
                <w:color w:val="auto"/>
              </w:rPr>
            </w:pPr>
          </w:p>
        </w:tc>
        <w:tc>
          <w:tcPr>
            <w:tcW w:w="124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Bank</w:t>
            </w:r>
          </w:p>
        </w:tc>
        <w:tc>
          <w:tcPr>
            <w:tcW w:w="320" w:type="dxa"/>
            <w:vAlign w:val="bottom"/>
          </w:tcPr>
          <w:p>
            <w:pPr>
              <w:spacing w:after="0"/>
              <w:rPr>
                <w:sz w:val="15"/>
                <w:szCs w:val="15"/>
                <w:color w:val="auto"/>
              </w:rPr>
            </w:pPr>
          </w:p>
        </w:tc>
        <w:tc>
          <w:tcPr>
            <w:tcW w:w="13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Trust, N.A.</w:t>
            </w:r>
          </w:p>
        </w:tc>
      </w:tr>
      <w:tr>
        <w:trPr>
          <w:trHeight w:val="20"/>
        </w:trPr>
        <w:tc>
          <w:tcPr>
            <w:tcW w:w="2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CET1 capital</w:t>
            </w:r>
          </w:p>
        </w:tc>
        <w:tc>
          <w:tcPr>
            <w:tcW w:w="3300" w:type="dxa"/>
            <w:vAlign w:val="bottom"/>
            <w:tcBorders>
              <w:bottom w:val="single" w:sz="8" w:color="CCEEFF"/>
            </w:tcBorders>
            <w:shd w:val="clear" w:color="auto" w:fill="CCEEFF"/>
          </w:tcPr>
          <w:p>
            <w:pPr>
              <w:ind w:left="2540"/>
              <w:spacing w:after="0"/>
              <w:rPr>
                <w:sz w:val="20"/>
                <w:szCs w:val="20"/>
                <w:color w:val="auto"/>
              </w:rPr>
            </w:pPr>
            <w:r>
              <w:rPr>
                <w:rFonts w:ascii="Times New Roman" w:cs="Times New Roman" w:eastAsia="Times New Roman" w:hAnsi="Times New Roman"/>
                <w:sz w:val="13"/>
                <w:szCs w:val="13"/>
                <w:color w:val="auto"/>
              </w:rPr>
              <w:t>4.50%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4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287.04%</w:t>
            </w:r>
          </w:p>
        </w:tc>
      </w:tr>
      <w:tr>
        <w:trPr>
          <w:trHeight w:val="184"/>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Tier 1 capital</w:t>
            </w:r>
          </w:p>
        </w:tc>
        <w:tc>
          <w:tcPr>
            <w:tcW w:w="3300" w:type="dxa"/>
            <w:vAlign w:val="bottom"/>
          </w:tcPr>
          <w:p>
            <w:pPr>
              <w:ind w:left="2540"/>
              <w:spacing w:after="0"/>
              <w:rPr>
                <w:sz w:val="20"/>
                <w:szCs w:val="20"/>
                <w:color w:val="auto"/>
              </w:rPr>
            </w:pPr>
            <w:r>
              <w:rPr>
                <w:rFonts w:ascii="Times New Roman" w:cs="Times New Roman" w:eastAsia="Times New Roman" w:hAnsi="Times New Roman"/>
                <w:sz w:val="13"/>
                <w:szCs w:val="13"/>
                <w:color w:val="auto"/>
              </w:rPr>
              <w:t>6.00</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12.49</w:t>
            </w:r>
          </w:p>
        </w:tc>
        <w:tc>
          <w:tcPr>
            <w:tcW w:w="400" w:type="dxa"/>
            <w:vAlign w:val="bottom"/>
          </w:tcPr>
          <w:p>
            <w:pPr>
              <w:spacing w:after="0"/>
              <w:rPr>
                <w:sz w:val="16"/>
                <w:szCs w:val="16"/>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12.24</w:t>
            </w:r>
          </w:p>
        </w:tc>
        <w:tc>
          <w:tcPr>
            <w:tcW w:w="320" w:type="dxa"/>
            <w:vAlign w:val="bottom"/>
          </w:tcPr>
          <w:p>
            <w:pPr>
              <w:spacing w:after="0"/>
              <w:rPr>
                <w:sz w:val="16"/>
                <w:szCs w:val="16"/>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287.04</w:t>
            </w:r>
          </w:p>
        </w:tc>
      </w:tr>
      <w:tr>
        <w:trPr>
          <w:trHeight w:val="20"/>
        </w:trPr>
        <w:tc>
          <w:tcPr>
            <w:tcW w:w="2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capital</w:t>
            </w:r>
          </w:p>
        </w:tc>
        <w:tc>
          <w:tcPr>
            <w:tcW w:w="3300" w:type="dxa"/>
            <w:vAlign w:val="bottom"/>
            <w:tcBorders>
              <w:bottom w:val="single" w:sz="8" w:color="CCEEFF"/>
            </w:tcBorders>
            <w:shd w:val="clear" w:color="auto" w:fill="CCEEFF"/>
          </w:tcPr>
          <w:p>
            <w:pPr>
              <w:ind w:left="2540"/>
              <w:spacing w:after="0"/>
              <w:rPr>
                <w:sz w:val="20"/>
                <w:szCs w:val="20"/>
                <w:color w:val="auto"/>
              </w:rPr>
            </w:pPr>
            <w:r>
              <w:rPr>
                <w:rFonts w:ascii="Times New Roman" w:cs="Times New Roman" w:eastAsia="Times New Roman" w:hAnsi="Times New Roman"/>
                <w:sz w:val="13"/>
                <w:szCs w:val="13"/>
                <w:color w:val="auto"/>
              </w:rPr>
              <w:t>8.00</w:t>
            </w:r>
          </w:p>
        </w:tc>
        <w:tc>
          <w:tcPr>
            <w:tcW w:w="13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14.35</w:t>
            </w:r>
          </w:p>
        </w:tc>
        <w:tc>
          <w:tcPr>
            <w:tcW w:w="4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14.03</w:t>
            </w: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287.33</w:t>
            </w:r>
          </w:p>
        </w:tc>
      </w:tr>
      <w:tr>
        <w:trPr>
          <w:trHeight w:val="184"/>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Tier 1 leverage</w:t>
            </w:r>
          </w:p>
        </w:tc>
        <w:tc>
          <w:tcPr>
            <w:tcW w:w="3300" w:type="dxa"/>
            <w:vAlign w:val="bottom"/>
          </w:tcPr>
          <w:p>
            <w:pPr>
              <w:ind w:left="2540"/>
              <w:spacing w:after="0"/>
              <w:rPr>
                <w:sz w:val="20"/>
                <w:szCs w:val="20"/>
                <w:color w:val="auto"/>
              </w:rPr>
            </w:pPr>
            <w:r>
              <w:rPr>
                <w:rFonts w:ascii="Times New Roman" w:cs="Times New Roman" w:eastAsia="Times New Roman" w:hAnsi="Times New Roman"/>
                <w:sz w:val="13"/>
                <w:szCs w:val="13"/>
                <w:color w:val="auto"/>
              </w:rPr>
              <w:t>4.00</w:t>
            </w:r>
          </w:p>
        </w:tc>
        <w:tc>
          <w:tcPr>
            <w:tcW w:w="13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9.84</w:t>
            </w:r>
          </w:p>
        </w:tc>
        <w:tc>
          <w:tcPr>
            <w:tcW w:w="400" w:type="dxa"/>
            <w:vAlign w:val="bottom"/>
          </w:tcPr>
          <w:p>
            <w:pPr>
              <w:spacing w:after="0"/>
              <w:rPr>
                <w:sz w:val="16"/>
                <w:szCs w:val="16"/>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9.64</w:t>
            </w:r>
          </w:p>
        </w:tc>
        <w:tc>
          <w:tcPr>
            <w:tcW w:w="320" w:type="dxa"/>
            <w:vAlign w:val="bottom"/>
          </w:tcPr>
          <w:p>
            <w:pPr>
              <w:spacing w:after="0"/>
              <w:rPr>
                <w:sz w:val="16"/>
                <w:szCs w:val="16"/>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89.31</w:t>
            </w:r>
          </w:p>
        </w:tc>
      </w:tr>
      <w:tr>
        <w:trPr>
          <w:trHeight w:val="20"/>
        </w:trPr>
        <w:tc>
          <w:tcPr>
            <w:tcW w:w="2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RWA</w:t>
            </w:r>
          </w:p>
        </w:tc>
        <w:tc>
          <w:tcPr>
            <w:tcW w:w="330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159,536</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158,989</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232</w:t>
            </w:r>
          </w:p>
        </w:tc>
      </w:tr>
      <w:tr>
        <w:trPr>
          <w:trHeight w:val="20"/>
        </w:trPr>
        <w:tc>
          <w:tcPr>
            <w:tcW w:w="258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4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Exclusive of required buffers as applicable.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18"/>
          <w:szCs w:val="18"/>
          <w:color w:val="auto"/>
        </w:rPr>
        <w:t>Capital Rules generally require the deduction of goodwill and core deposit and other intangible assets, net of applicable deferred taxes, from the calculation of capital in the determination of the minimum capital ratios. As a result of previous business acquisitions, the Company recorded goodwill of $8.5 billion and core deposit and other intangible assets of $74 million at September 30, 2025. Goodwill, as required by GAAP, is not amortized, but rather is tested for impairment at least annually at the business reporting unit level. The Company completed its annual goodwill impairment test in the fourth quarter of 2024 and concluded the amount of goodwill was not impaired at the testing date. The Company has not identified events or circumstances that would more likely than not reduce the fair value of a business reporting unit below its carrying amount at September 30, 2025. Should a business reporting unit with assigned goodwill experience declines in revenue, increased credit losses or expenses, or other adverse developments due to economic, regulatory, competition or other factors, that would be material to that reporting unit, an impairment of goodwill could occur in a future period that could be material to the Company's Consolidated Balance Sheet and its Consolidated Statement of Income. Although a goodwill impairment charge would not have a significant impact on the Company's regulatory tangible capital ratios, it would reduce the capacity of its bank subsidiary, M&amp;T Bank, to dividend earnings to M&amp;T. As described herein under the heading "Liquidity Risk," M&amp;T's parent company liquidity at September 30, 2025 covered projected cash outflows for 39 months, including dividends on common and preferred stock, debt service and scheduled debt maturities.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"Supervision and Regulation of the Company" of M&amp;T's 2024 Annual Report.</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Part I, Item 1, "Capital Requirements" of M&amp;T's 2024 Annual Report, on July 27, 2023 the federal banking agencies issued a notice of proposed rulemaking to modify the regulatory capital requirements applicable to large banking organizations with total assets exceeding $100 billion, like the Company. Management continues to evaluate the impact of the proposed rules on the regulatory capital requirements of M&amp;T and its subsidiary banks. At September 30, 2025, the inclusion of accumulated other comprehensive income components related to investment securities available for sale and defined benefit plan liability adjustments would have increased the Company's CET1 capital ratio by 13 basis points.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Reportable segments have been determined based upon the Company's organizational structure which is primarily arranged around the delivery of products and services to similar customer types. Financial information about the Company's reportable segments is presented in note 15 of Notes to Financial Statements. The Company's reportable segments are Commercial Bank, Retail Bank and Institutional Services and Wealth Management. All other business activities that are not included in the three reportable segment results have been included in the "All Other" category.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BY REPORTABLE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74"/>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100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4"/>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Bank</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228</w:t>
            </w: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231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6"/>
              </w:rPr>
              <w:t>-1 %</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690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w:t>
            </w:r>
          </w:p>
        </w:tc>
      </w:tr>
      <w:tr>
        <w:trPr>
          <w:trHeight w:val="184"/>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Retail Bank</w:t>
            </w:r>
          </w:p>
        </w:tc>
        <w:tc>
          <w:tcPr>
            <w:tcW w:w="100" w:type="dxa"/>
            <w:vAlign w:val="bottom"/>
          </w:tcPr>
          <w:p>
            <w:pPr>
              <w:spacing w:after="0"/>
              <w:rPr>
                <w:sz w:val="16"/>
                <w:szCs w:val="16"/>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4"/>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Institutional Services and Wealth Management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w:t>
            </w:r>
          </w:p>
        </w:tc>
      </w:tr>
      <w:tr>
        <w:trPr>
          <w:trHeight w:val="184"/>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 Other</w:t>
            </w:r>
          </w:p>
        </w:tc>
        <w:tc>
          <w:tcPr>
            <w:tcW w:w="100" w:type="dxa"/>
            <w:vAlign w:val="bottom"/>
          </w:tcPr>
          <w:p>
            <w:pPr>
              <w:spacing w:after="0"/>
              <w:rPr>
                <w:sz w:val="16"/>
                <w:szCs w:val="16"/>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83</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792</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716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5"/>
              </w:rPr>
              <w:t>11 %</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2,092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Bank</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Commercial Bank segment provides a wide range of credit products and banking services to middle-market and large commercial customers, mainly within the markets served by the Company. Services provided by this segment include commercial lending and leasing, credit facilities secured by various types of commercial real estate, letters of credit, deposit products and cash management services. Commercial real estate loans may be secured by multifamily residential buildings, hotels, office, retail and industrial space or other types of collateral. Activities of this segment include the origination, sales and servicing of commercial real estate loans through the Fannie Mae DUS program and other programs. Commercial real estate loans held for sale are included in this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BANK SEGMENT FINANCIAL SUMMARY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8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9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580" w:type="dxa"/>
            <w:vAlign w:val="bottom"/>
            <w:tcBorders>
              <w:bottom w:val="single" w:sz="8" w:color="CCEEFF"/>
            </w:tcBorders>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1,599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1,652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18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2,186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2,139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1,080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1,062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taxes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58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Average Balance Sheet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54,188</w:t>
            </w:r>
          </w:p>
        </w:tc>
        <w:tc>
          <w:tcPr>
            <w:tcW w:w="580" w:type="dxa"/>
            <w:vAlign w:val="bottom"/>
            <w:tcBorders>
              <w:bottom w:val="single" w:sz="8" w:color="CCEEFF"/>
            </w:tcBorders>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53,549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50,442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184"/>
        </w:trPr>
        <w:tc>
          <w:tcPr>
            <w:tcW w:w="3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Real estate - commercial</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23,655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23,624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Real estate - residential</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4"/>
        </w:trPr>
        <w:tc>
          <w:tcPr>
            <w:tcW w:w="3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Consumer</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loans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77,336</w:t>
            </w:r>
          </w:p>
        </w:tc>
        <w:tc>
          <w:tcPr>
            <w:tcW w:w="58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77,638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77,833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80,074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Noninterest-bearing</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10,280</w:t>
            </w:r>
          </w:p>
        </w:tc>
        <w:tc>
          <w:tcPr>
            <w:tcW w:w="580" w:type="dxa"/>
            <w:vAlign w:val="bottom"/>
            <w:tcBorders>
              <w:bottom w:val="single" w:sz="8" w:color="CCEEFF"/>
            </w:tcBorders>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11,337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10,970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84"/>
        </w:trPr>
        <w:tc>
          <w:tcPr>
            <w:tcW w:w="3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Interest-bearing</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35,749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34,658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34,866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deposits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46,029</w:t>
            </w:r>
          </w:p>
        </w:tc>
        <w:tc>
          <w:tcPr>
            <w:tcW w:w="58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45,995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45,836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43,555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Commercial Bank segment’s net income in the third quarter of 2025 declined slightly from the second quarter of 2025.</w:t>
      </w:r>
    </w:p>
    <w:p>
      <w:pPr>
        <w:spacing w:after="0" w:line="105" w:lineRule="exact"/>
        <w:rPr>
          <w:sz w:val="20"/>
          <w:szCs w:val="20"/>
          <w:color w:val="auto"/>
        </w:rPr>
      </w:pPr>
    </w:p>
    <w:p>
      <w:pPr>
        <w:ind w:left="780" w:right="20" w:hanging="378"/>
        <w:spacing w:after="0" w:line="282"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increased $8 million reflecting an expansion of the net interest margin on loans of 4 basis points and the impact of one additional day in the recent quarter, partially offset by a narrowing of the net interest margin on deposits of 5 basis points.</w:t>
      </w:r>
    </w:p>
    <w:p>
      <w:pPr>
        <w:spacing w:after="0" w:line="41" w:lineRule="exact"/>
        <w:rPr>
          <w:rFonts w:ascii="Times New Roman" w:cs="Times New Roman" w:eastAsia="Times New Roman" w:hAnsi="Times New Roman"/>
          <w:sz w:val="18"/>
          <w:szCs w:val="18"/>
          <w:color w:val="auto"/>
        </w:rPr>
      </w:pPr>
    </w:p>
    <w:p>
      <w:pPr>
        <w:jc w:val="both"/>
        <w:ind w:left="780" w:right="40" w:hanging="378"/>
        <w:spacing w:after="0" w:line="266"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modest rise in noninterest income reflected higher commercial mortgage banking revenues and a gain on the sale of equipment leases in the recent quarter, partially offset by a gain on the sale of an out-of-footprint residential builder and developer loan portfolio in the second quarter of 2025.</w:t>
      </w:r>
    </w:p>
    <w:p>
      <w:pPr>
        <w:spacing w:after="0" w:line="55"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credit losses increased $12 million reflecting higher net charge offs of commercial and industrial loans.</w:t>
      </w:r>
    </w:p>
    <w:p>
      <w:pPr>
        <w:spacing w:after="0" w:line="105" w:lineRule="exact"/>
        <w:rPr>
          <w:rFonts w:ascii="Times New Roman" w:cs="Times New Roman" w:eastAsia="Times New Roman" w:hAnsi="Times New Roman"/>
          <w:sz w:val="18"/>
          <w:szCs w:val="18"/>
          <w:color w:val="auto"/>
        </w:rPr>
      </w:pPr>
    </w:p>
    <w:p>
      <w:pPr>
        <w:jc w:val="both"/>
        <w:ind w:left="780" w:right="40" w:hanging="378"/>
        <w:spacing w:after="0" w:line="266"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loans declined $302 million reflecting payoffs and paydowns of commercial real estate loans and the full-quarter impact of the sale of an out-of-footprint residential builder and developer loan portfolio in the second quarter of 2025, partially offset by higher average balances of commercial and industrial loans reflecting growth in loans to the financial and insurance industry.</w:t>
      </w:r>
    </w:p>
    <w:p>
      <w:pPr>
        <w:spacing w:after="0" w:line="55" w:lineRule="exact"/>
        <w:rPr>
          <w:rFonts w:ascii="Times New Roman" w:cs="Times New Roman" w:eastAsia="Times New Roman" w:hAnsi="Times New Roman"/>
          <w:sz w:val="18"/>
          <w:szCs w:val="18"/>
          <w:color w:val="auto"/>
        </w:rPr>
      </w:pPr>
    </w:p>
    <w:p>
      <w:pPr>
        <w:ind w:left="780" w:right="40" w:hanging="378"/>
        <w:spacing w:after="0" w:line="282"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deposits were essentially unchanged reflecting higher average savings and interest-checking deposit balances, partially offset by lower noninterest-bearing deposits largely driven by a single commercial customer.</w:t>
      </w:r>
    </w:p>
    <w:p>
      <w:pPr>
        <w:spacing w:after="0" w:line="245" w:lineRule="exact"/>
        <w:rPr>
          <w:rFonts w:ascii="Times New Roman" w:cs="Times New Roman" w:eastAsia="Times New Roman" w:hAnsi="Times New Roman"/>
          <w:sz w:val="18"/>
          <w:szCs w:val="18"/>
          <w:color w:val="auto"/>
        </w:rPr>
      </w:pPr>
    </w:p>
    <w:p>
      <w:pPr>
        <w:ind w:left="5220" w:hanging="95"/>
        <w:spacing w:after="0"/>
        <w:tabs>
          <w:tab w:leader="none" w:pos="522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21" w:right="640" w:bottom="1440" w:gutter="0" w:footer="0" w:header="0"/>
        </w:sectPr>
      </w:pPr>
    </w:p>
    <w:bookmarkStart w:id="75" w:name="page76"/>
    <w:bookmarkEnd w:id="75"/>
    <w:p>
      <w:pPr>
        <w:ind w:right="20"/>
        <w:spacing w:after="0" w:line="282" w:lineRule="auto"/>
        <w:rPr>
          <w:sz w:val="20"/>
          <w:szCs w:val="20"/>
          <w:color w:val="auto"/>
        </w:rPr>
      </w:pPr>
      <w:r>
        <w:rPr>
          <w:rFonts w:ascii="Times New Roman" w:cs="Times New Roman" w:eastAsia="Times New Roman" w:hAnsi="Times New Roman"/>
          <w:sz w:val="18"/>
          <w:szCs w:val="18"/>
          <w:color w:val="auto"/>
        </w:rPr>
        <w:t>Net income for the Commercial Bank segment increased $45 million in the first nine months of 2025 as compared with the first nine months of 2024.</w:t>
      </w:r>
    </w:p>
    <w:p>
      <w:pPr>
        <w:spacing w:after="0" w:line="42" w:lineRule="exact"/>
        <w:rPr>
          <w:sz w:val="20"/>
          <w:szCs w:val="20"/>
          <w:color w:val="auto"/>
        </w:rPr>
      </w:pPr>
    </w:p>
    <w:p>
      <w:pPr>
        <w:ind w:left="780" w:right="20" w:hanging="378"/>
        <w:spacing w:after="0" w:line="282"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decreased $53 million reflecting a narrowing of the net interest margin on deposits of 23 basis points and a decline in average loans of $2.2 billion, partially offset by higher average deposits of $2.3 billion.</w:t>
      </w:r>
    </w:p>
    <w:p>
      <w:pPr>
        <w:spacing w:after="0" w:line="41" w:lineRule="exact"/>
        <w:rPr>
          <w:rFonts w:ascii="Times New Roman" w:cs="Times New Roman" w:eastAsia="Times New Roman" w:hAnsi="Times New Roman"/>
          <w:sz w:val="18"/>
          <w:szCs w:val="18"/>
          <w:color w:val="auto"/>
        </w:rPr>
      </w:pPr>
    </w:p>
    <w:p>
      <w:pPr>
        <w:jc w:val="both"/>
        <w:ind w:left="780" w:right="20" w:hanging="378"/>
        <w:spacing w:after="0" w:line="258"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increased $100 million due to higher other revenues from operations of $59 million, reflecting a rise in credit-related fees of $19 million, a $15 million gain on the sale of an out-of-footprint residential builder and developer loan portfolio and a $12 million gain on the sale of equipment leases. Also contributing to that increase was higher commercial mortgage banking revenues of $18 million, a rise in service charges on commercial deposit accounts of $13 million and an increase in trading account and other non-hedging derivative gains of $10 million.</w:t>
      </w:r>
    </w:p>
    <w:p>
      <w:pPr>
        <w:spacing w:after="0" w:line="63" w:lineRule="exact"/>
        <w:rPr>
          <w:rFonts w:ascii="Times New Roman" w:cs="Times New Roman" w:eastAsia="Times New Roman" w:hAnsi="Times New Roman"/>
          <w:sz w:val="18"/>
          <w:szCs w:val="18"/>
          <w:color w:val="auto"/>
        </w:rPr>
      </w:pPr>
    </w:p>
    <w:p>
      <w:pPr>
        <w:ind w:left="780" w:right="40" w:hanging="378"/>
        <w:spacing w:after="0" w:line="282"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credit losses decreased $25 million reflecting lower net charge-offs of commercial and industrial loans, partially offset by a higher provision for unfunded credit commitments.</w:t>
      </w:r>
    </w:p>
    <w:p>
      <w:pPr>
        <w:spacing w:after="0" w:line="41"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increased $18 million reflecting higher personnel-related expenses and outside data processing and software costs.</w:t>
      </w:r>
    </w:p>
    <w:p>
      <w:pPr>
        <w:spacing w:after="0" w:line="105" w:lineRule="exact"/>
        <w:rPr>
          <w:rFonts w:ascii="Times New Roman" w:cs="Times New Roman" w:eastAsia="Times New Roman" w:hAnsi="Times New Roman"/>
          <w:sz w:val="18"/>
          <w:szCs w:val="18"/>
          <w:color w:val="auto"/>
        </w:rPr>
      </w:pPr>
    </w:p>
    <w:p>
      <w:pPr>
        <w:jc w:val="both"/>
        <w:ind w:left="780" w:right="40" w:hanging="378"/>
        <w:spacing w:after="0" w:line="266"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loans decreased $2.2 billion reflecting a reduction in average commercial real estate loans, partially offset by higher average commercial and industrial loans reflecting growth in loans to financial and insurance companies and motor vehicle and recreational finance dealers.</w:t>
      </w:r>
    </w:p>
    <w:p>
      <w:pPr>
        <w:spacing w:after="0" w:line="55" w:lineRule="exact"/>
        <w:rPr>
          <w:rFonts w:ascii="Times New Roman" w:cs="Times New Roman" w:eastAsia="Times New Roman" w:hAnsi="Times New Roman"/>
          <w:sz w:val="18"/>
          <w:szCs w:val="18"/>
          <w:color w:val="auto"/>
        </w:rPr>
      </w:pPr>
    </w:p>
    <w:p>
      <w:pPr>
        <w:ind w:left="780" w:right="40" w:hanging="378"/>
        <w:spacing w:after="0" w:line="282"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deposits grew $2.3 billion reflecting growth in average savings and interest-checking deposits, partially offset by a decline in average noninterest-bearing deposits.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Bank</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Retail Bank segment provides a wide range of services to consumers and small businesses through the Company’s branch network and several other delivery channels such as telephone banking, internet banking and ATMs. The Company has domestic banking offices primarily in the Northeastern and Mid-Atlantic regions of the U.S. including the District of Columbia. The segment offers to its customers deposit products, including demand, savings and time accounts, and other services. Credit services offered by this segment include automobile and recreational finance loans (primarily originated indirectly through dealers), home equity loans and lines of credit, credit cards and other loan products. This segment also originates and services residential mortgage loans and either sells those loans in the secondary market to investors or retains them for investment purposes. Residential mortgage loans are also originated and serviced on behalf of the Institutional Services and Wealth Management segment. The Company periodically purchases the rights to service residential real estate loans that have been originated by other entities and also sub-services residential real estate loans for others. Residential real estate loans held for sale are included in this segment. This segment also provides various business loans, including loans guaranteed by the Small Business Administration, business credit cards, deposit products and services such as cash management, payroll and direct deposit, merchant credit card and letters of credit to small businesses and professionals through the Company's branch network and other delivery channels.</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25" w:right="6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RETAIL BANK SEGMENT FINANCIAL SUMMARY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8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94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4"/>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580" w:type="dxa"/>
            <w:vAlign w:val="bottom"/>
            <w:tcBorders>
              <w:bottom w:val="single" w:sz="8" w:color="CCEEFF"/>
            </w:tcBorders>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2,959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3,248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1,248</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1,222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3,650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3,854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1,960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1,815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taxes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4"/>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58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1,098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1,364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34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Average Balance Sheet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6,322</w:t>
            </w:r>
          </w:p>
        </w:tc>
        <w:tc>
          <w:tcPr>
            <w:tcW w:w="580" w:type="dxa"/>
            <w:vAlign w:val="bottom"/>
            <w:tcBorders>
              <w:bottom w:val="single" w:sz="8" w:color="CCEEFF"/>
            </w:tcBorders>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6,236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6,324</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6,936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0" w:type="dxa"/>
            <w:vAlign w:val="bottom"/>
          </w:tcPr>
          <w:p>
            <w:pPr>
              <w:spacing w:after="0"/>
              <w:rPr>
                <w:sz w:val="1"/>
                <w:szCs w:val="1"/>
                <w:color w:val="auto"/>
              </w:rPr>
            </w:pPr>
          </w:p>
        </w:tc>
      </w:tr>
      <w:tr>
        <w:trPr>
          <w:trHeight w:val="184"/>
        </w:trPr>
        <w:tc>
          <w:tcPr>
            <w:tcW w:w="33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Real estate - commercial</w:t>
            </w:r>
          </w:p>
        </w:tc>
        <w:tc>
          <w:tcPr>
            <w:tcW w:w="8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1,639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Real estate - residential</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20,980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21,040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4"/>
        </w:trPr>
        <w:tc>
          <w:tcPr>
            <w:tcW w:w="33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Consumer</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24,476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loans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54,852</w:t>
            </w:r>
          </w:p>
        </w:tc>
        <w:tc>
          <w:tcPr>
            <w:tcW w:w="58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53,493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50,656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Noninterest-bearing</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24,356</w:t>
            </w:r>
          </w:p>
        </w:tc>
        <w:tc>
          <w:tcPr>
            <w:tcW w:w="580" w:type="dxa"/>
            <w:vAlign w:val="bottom"/>
            <w:tcBorders>
              <w:bottom w:val="single" w:sz="8" w:color="CCEEFF"/>
            </w:tcBorders>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24,449</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24,342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184"/>
        </w:trPr>
        <w:tc>
          <w:tcPr>
            <w:tcW w:w="33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Interest-bearing</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66,087</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65,662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deposits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90,443</w:t>
            </w:r>
          </w:p>
        </w:tc>
        <w:tc>
          <w:tcPr>
            <w:tcW w:w="58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90,004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91,620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Retail Bank segment’s net income was relatively unchanged in the third quarter of 2025 as compared with the second quarter of 2025.</w:t>
      </w:r>
    </w:p>
    <w:p>
      <w:pPr>
        <w:spacing w:after="0" w:line="105" w:lineRule="exact"/>
        <w:rPr>
          <w:sz w:val="20"/>
          <w:szCs w:val="20"/>
          <w:color w:val="auto"/>
        </w:rPr>
      </w:pPr>
    </w:p>
    <w:p>
      <w:pPr>
        <w:ind w:left="780" w:right="20" w:hanging="378"/>
        <w:spacing w:after="0" w:line="282"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increased $11 million reflecting higher average balances of loans of $1.4 billion and the impact of one additional day in the recent quarter.</w:t>
      </w:r>
    </w:p>
    <w:p>
      <w:pPr>
        <w:spacing w:after="0" w:line="41"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increased $15 million reflecting higher residential mortgage loan sub-servicing revenues.</w:t>
      </w:r>
    </w:p>
    <w:p>
      <w:pPr>
        <w:spacing w:after="0" w:line="105" w:lineRule="exact"/>
        <w:rPr>
          <w:rFonts w:ascii="Times New Roman" w:cs="Times New Roman" w:eastAsia="Times New Roman" w:hAnsi="Times New Roman"/>
          <w:sz w:val="18"/>
          <w:szCs w:val="18"/>
          <w:color w:val="auto"/>
        </w:rPr>
      </w:pPr>
    </w:p>
    <w:p>
      <w:pPr>
        <w:jc w:val="both"/>
        <w:ind w:left="780" w:hanging="378"/>
        <w:spacing w:after="0" w:line="266"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increased $28 million reflecting higher other costs of operations, an increase in equipment and net occupancy costs and a rise in centrally-allocated costs associated with data processing, risk management and other support services provided to the Retail Bank segment.</w:t>
      </w:r>
    </w:p>
    <w:p>
      <w:pPr>
        <w:spacing w:after="0" w:line="55" w:lineRule="exact"/>
        <w:rPr>
          <w:rFonts w:ascii="Times New Roman" w:cs="Times New Roman" w:eastAsia="Times New Roman" w:hAnsi="Times New Roman"/>
          <w:sz w:val="18"/>
          <w:szCs w:val="18"/>
          <w:color w:val="auto"/>
        </w:rPr>
      </w:pPr>
    </w:p>
    <w:p>
      <w:pPr>
        <w:ind w:left="780" w:right="20" w:hanging="378"/>
        <w:spacing w:after="0" w:line="282"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loans increased $1.4 billion reflecting higher average consumer loans, due to recreational finance and automobile loan growth, and a rise in average residential real estate loans resulting from the retention of originated residential mortgage loans and purchases.</w:t>
      </w:r>
    </w:p>
    <w:p>
      <w:pPr>
        <w:spacing w:after="0" w:line="41"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deposits reflect a modest decline in the recent quarter.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for the Retail Bank segment decreased $266 million in the first nine months of 2025 as compared with the similar 2024 period.</w:t>
      </w:r>
    </w:p>
    <w:p>
      <w:pPr>
        <w:spacing w:after="0" w:line="105" w:lineRule="exact"/>
        <w:rPr>
          <w:sz w:val="20"/>
          <w:szCs w:val="20"/>
          <w:color w:val="auto"/>
        </w:rPr>
      </w:pPr>
    </w:p>
    <w:p>
      <w:pPr>
        <w:jc w:val="both"/>
        <w:ind w:left="780" w:right="20" w:hanging="378"/>
        <w:spacing w:after="0" w:line="266"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declined $289 million reflecting a narrowing of the net interest margin on deposits of 44 basis points and lower average balances of those deposits of $1.6 billion, partially offset by a widening of the net interest margin on loans of 4 basis points and higher average balances of those loans of $2.8 billion.</w:t>
      </w:r>
    </w:p>
    <w:p>
      <w:pPr>
        <w:spacing w:after="0" w:line="55" w:lineRule="exact"/>
        <w:rPr>
          <w:rFonts w:ascii="Times New Roman" w:cs="Times New Roman" w:eastAsia="Times New Roman" w:hAnsi="Times New Roman"/>
          <w:sz w:val="18"/>
          <w:szCs w:val="18"/>
          <w:color w:val="auto"/>
        </w:rPr>
      </w:pPr>
    </w:p>
    <w:p>
      <w:pPr>
        <w:jc w:val="both"/>
        <w:ind w:left="780" w:hanging="378"/>
        <w:spacing w:after="0" w:line="266"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increased $85 million reflecting higher residential mortgage loan sub-servicing revenues related to the arrangement effective February 2025 whereby the Company began sub-servicing $51.7 billion of additional residential mortgage loans with contractual servicing rights held by Bayview Financial, and an increase in service charges on retail deposit accounts.</w:t>
      </w:r>
    </w:p>
    <w:p>
      <w:pPr>
        <w:spacing w:after="0" w:line="55"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credit losses rose $18 million reflecting higher net charge-offs of indirect consumer loans.</w:t>
      </w:r>
    </w:p>
    <w:p>
      <w:pPr>
        <w:spacing w:after="0" w:line="308" w:lineRule="exact"/>
        <w:rPr>
          <w:rFonts w:ascii="Times New Roman" w:cs="Times New Roman" w:eastAsia="Times New Roman" w:hAnsi="Times New Roman"/>
          <w:sz w:val="18"/>
          <w:szCs w:val="18"/>
          <w:color w:val="auto"/>
        </w:rPr>
      </w:pPr>
    </w:p>
    <w:p>
      <w:pPr>
        <w:ind w:left="5220" w:hanging="95"/>
        <w:spacing w:after="0"/>
        <w:tabs>
          <w:tab w:leader="none" w:pos="522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77" w:name="page78"/>
    <w:bookmarkEnd w:id="77"/>
    <w:p>
      <w:pPr>
        <w:ind w:left="780" w:right="20" w:hanging="378"/>
        <w:spacing w:after="0" w:line="282"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increased $145 million due to higher centrally-allocated costs associated with data processing, risk management and other support services provided to the Retail Bank segment of $117 million and a rise in personnel-related costs of $24 million.</w:t>
      </w:r>
    </w:p>
    <w:p>
      <w:pPr>
        <w:spacing w:after="0" w:line="41" w:lineRule="exact"/>
        <w:rPr>
          <w:rFonts w:ascii="Times New Roman" w:cs="Times New Roman" w:eastAsia="Times New Roman" w:hAnsi="Times New Roman"/>
          <w:sz w:val="18"/>
          <w:szCs w:val="18"/>
          <w:color w:val="auto"/>
        </w:rPr>
      </w:pPr>
    </w:p>
    <w:p>
      <w:pPr>
        <w:ind w:left="780" w:hanging="378"/>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loans rose $2.8 billion reflecting recreational finance and automobile average loan growth.</w:t>
      </w:r>
    </w:p>
    <w:p>
      <w:pPr>
        <w:spacing w:after="0" w:line="105" w:lineRule="exact"/>
        <w:rPr>
          <w:rFonts w:ascii="Times New Roman" w:cs="Times New Roman" w:eastAsia="Times New Roman" w:hAnsi="Times New Roman"/>
          <w:sz w:val="18"/>
          <w:szCs w:val="18"/>
          <w:color w:val="auto"/>
        </w:rPr>
      </w:pPr>
    </w:p>
    <w:p>
      <w:pPr>
        <w:ind w:left="780" w:hanging="378"/>
        <w:spacing w:after="0" w:line="282"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deposits reflect the maturity of customer time deposit accounts and lower noninterest-bearing deposits, partially offset by growth in average savings and interest-checking deposits.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Services &amp; Wealth Management</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Institutional Services and Wealth Management segment provides a variety of trustee, agency, investment management and administrative services for corporations and institutions, investment bankers, corporate tax, finance and legal executives, and other institutional clients, as well as personal trust, planning and advisory, fiduciary, asset management, family office, and other services designed to help high net worth individuals and families grow, preserve and transfer wealth. This segment also provides investment products, including mutual funds and annuities and other services to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INSTITUTIONAL SERVICES &amp; WEALTH MANAGEMENT SEGMENT FINANCIAL SUMMARY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9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580" w:type="dxa"/>
            <w:vAlign w:val="bottom"/>
            <w:tcBorders>
              <w:bottom w:val="single" w:sz="8" w:color="CCEEFF"/>
            </w:tcBorders>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8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1,167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taxes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58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6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Average Balance Sheet</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1,007</w:t>
            </w:r>
          </w:p>
        </w:tc>
        <w:tc>
          <w:tcPr>
            <w:tcW w:w="580" w:type="dxa"/>
            <w:vAlign w:val="bottom"/>
            <w:tcBorders>
              <w:bottom w:val="single" w:sz="8" w:color="CCEEFF"/>
            </w:tcBorders>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0" w:type="dxa"/>
            <w:vAlign w:val="bottom"/>
          </w:tcPr>
          <w:p>
            <w:pPr>
              <w:spacing w:after="0"/>
              <w:rPr>
                <w:sz w:val="1"/>
                <w:szCs w:val="1"/>
                <w:color w:val="auto"/>
              </w:rPr>
            </w:pPr>
          </w:p>
        </w:tc>
      </w:tr>
      <w:tr>
        <w:trPr>
          <w:trHeight w:val="184"/>
        </w:trPr>
        <w:tc>
          <w:tcPr>
            <w:tcW w:w="3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Real estate - commercial</w:t>
            </w: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Real estate - residential</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2,354</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1,985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4"/>
        </w:trPr>
        <w:tc>
          <w:tcPr>
            <w:tcW w:w="3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Consumer</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4,140</w:t>
            </w:r>
          </w:p>
        </w:tc>
        <w:tc>
          <w:tcPr>
            <w:tcW w:w="58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3,498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Noninterest-bearing</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8,772</w:t>
            </w:r>
          </w:p>
        </w:tc>
        <w:tc>
          <w:tcPr>
            <w:tcW w:w="580" w:type="dxa"/>
            <w:vAlign w:val="bottom"/>
            <w:tcBorders>
              <w:bottom w:val="single" w:sz="8" w:color="CCEEFF"/>
            </w:tcBorders>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9,094</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84"/>
        </w:trPr>
        <w:tc>
          <w:tcPr>
            <w:tcW w:w="3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Interest-bearing</w:t>
            </w: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9,774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10,311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7,809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18,546</w:t>
            </w:r>
          </w:p>
        </w:tc>
        <w:tc>
          <w:tcPr>
            <w:tcW w:w="58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19,179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16,903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Institutional Services and Wealth Management segment’s net income increased $14 million in the third quarter of 2025 as compared with the second quarter of 2025.</w:t>
      </w:r>
    </w:p>
    <w:p>
      <w:pPr>
        <w:spacing w:after="0" w:line="42" w:lineRule="exact"/>
        <w:rPr>
          <w:sz w:val="20"/>
          <w:szCs w:val="20"/>
          <w:color w:val="auto"/>
        </w:rPr>
      </w:pPr>
    </w:p>
    <w:p>
      <w:pPr>
        <w:jc w:val="both"/>
        <w:ind w:left="780" w:hanging="378"/>
        <w:spacing w:after="0" w:line="266"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increased $19 million reflecting a $28 million distribution in the recent quarter of an earnout payment related to the Company's sale of its CIT business in 2023, partially offset by a $10 million gain on the sale of a subsidiary that specialized in institutional services in the second quarter of 2025.</w:t>
      </w:r>
    </w:p>
    <w:p>
      <w:pPr>
        <w:spacing w:after="0" w:line="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income for the Institutional Services and Wealth Management segment decreased $18 million for the nine months ended September 30, 2025 as compared with the similar 2024 period.</w:t>
      </w:r>
    </w:p>
    <w:p>
      <w:pPr>
        <w:spacing w:after="0" w:line="42" w:lineRule="exact"/>
        <w:rPr>
          <w:sz w:val="20"/>
          <w:szCs w:val="20"/>
          <w:color w:val="auto"/>
        </w:rPr>
      </w:pPr>
    </w:p>
    <w:p>
      <w:pPr>
        <w:ind w:left="780" w:right="20" w:hanging="378"/>
        <w:spacing w:after="0" w:line="282" w:lineRule="auto"/>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decreased $65 million reflecting a 92 basis-point narrowing of the net interest margin on deposits, partially offset by higher average balances of those deposits.</w:t>
      </w:r>
    </w:p>
    <w:p>
      <w:pPr>
        <w:spacing w:after="0" w:line="245" w:lineRule="exact"/>
        <w:rPr>
          <w:rFonts w:ascii="Times New Roman" w:cs="Times New Roman" w:eastAsia="Times New Roman" w:hAnsi="Times New Roman"/>
          <w:sz w:val="18"/>
          <w:szCs w:val="18"/>
          <w:color w:val="auto"/>
        </w:rPr>
      </w:pPr>
    </w:p>
    <w:p>
      <w:pPr>
        <w:ind w:left="5220" w:hanging="95"/>
        <w:spacing w:after="0"/>
        <w:tabs>
          <w:tab w:leader="none" w:pos="52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78" w:name="page79"/>
    <w:bookmarkEnd w:id="78"/>
    <w:p>
      <w:pPr>
        <w:jc w:val="both"/>
        <w:ind w:left="780" w:hanging="378"/>
        <w:spacing w:after="0" w:line="258"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increased $76 million reflecting higher trust income of $40 million resulting from increased sales and fund management fees from the segment's global capital markets business and higher fee income from its Wealth Management business, reflecting comparatively favorable market performance associated with managed assets. Also contributing to that increase was the distribution of an earnout payment related to the Company's sale of its CIT business in 2023 and the gain on the sale of a subsidiary that specialized in institutional services each in the first nine months of 2025.</w:t>
      </w:r>
    </w:p>
    <w:p>
      <w:pPr>
        <w:spacing w:after="0" w:line="63" w:lineRule="exact"/>
        <w:rPr>
          <w:rFonts w:ascii="Times New Roman" w:cs="Times New Roman" w:eastAsia="Times New Roman" w:hAnsi="Times New Roman"/>
          <w:sz w:val="18"/>
          <w:szCs w:val="18"/>
          <w:color w:val="auto"/>
        </w:rPr>
      </w:pPr>
    </w:p>
    <w:p>
      <w:pPr>
        <w:ind w:left="780" w:right="20" w:hanging="378"/>
        <w:spacing w:after="0" w:line="282"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rose $39 million reflecting a rise in personnel-related expenses and centrally-allocated costs associated with data processing, risk management and other support services provided to the Institutional Services and Wealth Management segment.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 Other" category reflects other activities of the Company that are not directly attributable to the reportable segments. Reflected in this category are the difference between the provision for credit losses and the calculated provision allocated to the reportable segments; goodwill and core deposit and other intangible assets resulting from the acquisitions of financial institutions; merger-related gains and expenses related to acquisitions; the net impact of the Company’s internal funds transfer pricing methodology; eliminations of transactions between reportable segments; certain non-recurring transactions; and the residual effects of unallocated support systems and general and administrative expenses. The Company’s investment securities portfolio, brokered deposits and short-term and long-term borrowings are generally included in the "All Other" category. In its management of interest rate risk, the Company utilizes interest rate swap agreements to modify the repricing characteristics of certain portfolios of earning assets and interest-bearing liabilities. The results of such activities are captured in the "All Other" category.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CATEGORY FINANCIAL SUMMARY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4"/>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20" w:type="dxa"/>
            <w:vAlign w:val="bottom"/>
          </w:tcPr>
          <w:p>
            <w:pPr>
              <w:spacing w:after="0"/>
              <w:rPr>
                <w:sz w:val="15"/>
                <w:szCs w:val="15"/>
                <w:color w:val="auto"/>
              </w:rPr>
            </w:pPr>
          </w:p>
        </w:tc>
      </w:tr>
      <w:tr>
        <w:trPr>
          <w:trHeight w:val="186"/>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74"/>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15"/>
                <w:szCs w:val="15"/>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4"/>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60</w:t>
            </w:r>
          </w:p>
        </w:tc>
        <w:tc>
          <w:tcPr>
            <w:tcW w:w="600" w:type="dxa"/>
            <w:vAlign w:val="bottom"/>
            <w:tcBorders>
              <w:bottom w:val="single" w:sz="8" w:color="CCEEFF"/>
            </w:tcBorders>
            <w:gridSpan w:val="2"/>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5"/>
              </w:rPr>
              <w:t>— %</w:t>
            </w:r>
          </w:p>
        </w:tc>
      </w:tr>
      <w:tr>
        <w:trPr>
          <w:trHeight w:val="184"/>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2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21</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 (expense)</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-17</w:t>
            </w:r>
          </w:p>
        </w:tc>
      </w:tr>
      <w:tr>
        <w:trPr>
          <w:trHeight w:val="184"/>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before taxes</w:t>
            </w:r>
          </w:p>
        </w:tc>
        <w:tc>
          <w:tcPr>
            <w:tcW w:w="12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75</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4"/>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63</w:t>
            </w:r>
          </w:p>
        </w:tc>
      </w:tr>
      <w:tr>
        <w:trPr>
          <w:trHeight w:val="204"/>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46</w:t>
            </w:r>
          </w:p>
        </w:tc>
        <w:tc>
          <w:tcPr>
            <w:tcW w:w="600" w:type="dxa"/>
            <w:vAlign w:val="bottom"/>
            <w:gridSpan w:val="2"/>
          </w:tcPr>
          <w:p>
            <w:pPr>
              <w:jc w:val="right"/>
              <w:ind w:right="37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5"/>
              </w:rPr>
              <w:t>83 %</w:t>
            </w:r>
          </w:p>
        </w:tc>
      </w:tr>
      <w:tr>
        <w:trPr>
          <w:trHeight w:val="20"/>
        </w:trPr>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“All Other” category net income was $46 million in the third quarter of 2025 as compared with a net loss of $18 million in the second quarter of 2025.</w:t>
      </w:r>
    </w:p>
    <w:p>
      <w:pPr>
        <w:spacing w:after="0" w:line="42" w:lineRule="exact"/>
        <w:rPr>
          <w:sz w:val="20"/>
          <w:szCs w:val="20"/>
          <w:color w:val="auto"/>
        </w:rPr>
      </w:pPr>
    </w:p>
    <w:p>
      <w:pPr>
        <w:jc w:val="both"/>
        <w:ind w:left="580" w:right="20" w:hanging="286"/>
        <w:spacing w:after="0" w:line="266" w:lineRule="auto"/>
        <w:tabs>
          <w:tab w:leader="none" w:pos="5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increased $32 million due to the favorable impact from the Company’s allocation methodologies for internal transfers related to funding charges and credits associated with earning assets and interest-bearing liabilities of the Company’s reportable segments and lower net interest expense from interest rate swap agreements entered into for interest rate risk management purposes.</w:t>
      </w:r>
    </w:p>
    <w:p>
      <w:pPr>
        <w:spacing w:after="0" w:line="55" w:lineRule="exact"/>
        <w:rPr>
          <w:rFonts w:ascii="Times New Roman" w:cs="Times New Roman" w:eastAsia="Times New Roman" w:hAnsi="Times New Roman"/>
          <w:sz w:val="18"/>
          <w:szCs w:val="18"/>
          <w:color w:val="auto"/>
        </w:rPr>
      </w:pPr>
    </w:p>
    <w:p>
      <w:pPr>
        <w:ind w:left="580" w:hanging="286"/>
        <w:spacing w:after="0"/>
        <w:tabs>
          <w:tab w:leader="none" w:pos="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rose $31 million reflecting a $20 million distribution from M&amp;T's investment in BLG in the recent quarter.</w:t>
      </w:r>
    </w:p>
    <w:p>
      <w:pPr>
        <w:spacing w:after="0" w:line="105" w:lineRule="exact"/>
        <w:rPr>
          <w:rFonts w:ascii="Times New Roman" w:cs="Times New Roman" w:eastAsia="Times New Roman" w:hAnsi="Times New Roman"/>
          <w:sz w:val="18"/>
          <w:szCs w:val="18"/>
          <w:color w:val="auto"/>
        </w:rPr>
      </w:pPr>
    </w:p>
    <w:p>
      <w:pPr>
        <w:jc w:val="both"/>
        <w:ind w:left="580" w:right="20" w:hanging="286"/>
        <w:spacing w:after="0" w:line="266" w:lineRule="auto"/>
        <w:tabs>
          <w:tab w:leader="none" w:pos="5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declined modestly reflecting a reduction of FDIC special assessment expense, lower professional and other services expense and a decrease in equipment and net occupancy costs, partially offset by an increase in other costs of operations reflecting an impairment of a renewable energy tax credit investment in the recent quarter.</w:t>
      </w:r>
    </w:p>
    <w:p>
      <w:pPr>
        <w:spacing w:after="0" w:line="200" w:lineRule="exact"/>
        <w:rPr>
          <w:rFonts w:ascii="Times New Roman" w:cs="Times New Roman" w:eastAsia="Times New Roman" w:hAnsi="Times New Roman"/>
          <w:sz w:val="18"/>
          <w:szCs w:val="18"/>
          <w:color w:val="auto"/>
        </w:rPr>
      </w:pPr>
    </w:p>
    <w:p>
      <w:pPr>
        <w:spacing w:after="0" w:line="383" w:lineRule="exact"/>
        <w:rPr>
          <w:rFonts w:ascii="Times New Roman" w:cs="Times New Roman" w:eastAsia="Times New Roman" w:hAnsi="Times New Roman"/>
          <w:sz w:val="18"/>
          <w:szCs w:val="18"/>
          <w:color w:val="auto"/>
        </w:rPr>
      </w:pPr>
    </w:p>
    <w:p>
      <w:pPr>
        <w:ind w:left="5220" w:hanging="95"/>
        <w:spacing w:after="0"/>
        <w:tabs>
          <w:tab w:leader="none" w:pos="52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79" w:name="page80"/>
    <w:bookmarkEnd w:id="79"/>
    <w:p>
      <w:pPr>
        <w:spacing w:after="0" w:line="282" w:lineRule="auto"/>
        <w:rPr>
          <w:sz w:val="20"/>
          <w:szCs w:val="20"/>
          <w:color w:val="auto"/>
        </w:rPr>
      </w:pPr>
      <w:r>
        <w:rPr>
          <w:rFonts w:ascii="Times New Roman" w:cs="Times New Roman" w:eastAsia="Times New Roman" w:hAnsi="Times New Roman"/>
          <w:sz w:val="18"/>
          <w:szCs w:val="18"/>
          <w:color w:val="auto"/>
        </w:rPr>
        <w:t>The net loss recorded for the "All Other" category was $87 million for the first nine months of 2025 as compared with a net loss of $511 million in the similar 2024 period.</w:t>
      </w:r>
    </w:p>
    <w:p>
      <w:pPr>
        <w:spacing w:after="0" w:line="42" w:lineRule="exact"/>
        <w:rPr>
          <w:sz w:val="20"/>
          <w:szCs w:val="20"/>
          <w:color w:val="auto"/>
        </w:rPr>
      </w:pPr>
    </w:p>
    <w:p>
      <w:pPr>
        <w:jc w:val="both"/>
        <w:ind w:left="580" w:right="20" w:hanging="286"/>
        <w:spacing w:after="0" w:line="266" w:lineRule="auto"/>
        <w:tabs>
          <w:tab w:leader="none" w:pos="5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increased $452 million due to the favorable impact from the Company’s allocation methodologies for internal transfers related to funding charges and credits associated with earning assets and interest-bearing liabilities of the Company’s reportable segments and lower net interest expense from interest rate swap agreements entered into for interest rate risk management purposes.</w:t>
      </w:r>
    </w:p>
    <w:p>
      <w:pPr>
        <w:spacing w:after="0" w:line="55" w:lineRule="exact"/>
        <w:rPr>
          <w:rFonts w:ascii="Times New Roman" w:cs="Times New Roman" w:eastAsia="Times New Roman" w:hAnsi="Times New Roman"/>
          <w:sz w:val="18"/>
          <w:szCs w:val="18"/>
          <w:color w:val="auto"/>
        </w:rPr>
      </w:pPr>
    </w:p>
    <w:p>
      <w:pPr>
        <w:jc w:val="both"/>
        <w:ind w:left="580" w:hanging="286"/>
        <w:spacing w:after="0" w:line="266" w:lineRule="auto"/>
        <w:tabs>
          <w:tab w:leader="none" w:pos="5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increased $15 million reflecting higher tax-exempt income from bank owned life insurance in the 2025 period and realized losses on sales of certain non-agency investment securities in the first nine months of 2024, partially offset by lower distributions from M&amp;T's investment in BLG of $5 million.</w:t>
      </w:r>
    </w:p>
    <w:p>
      <w:pPr>
        <w:spacing w:after="0" w:line="55" w:lineRule="exact"/>
        <w:rPr>
          <w:rFonts w:ascii="Times New Roman" w:cs="Times New Roman" w:eastAsia="Times New Roman" w:hAnsi="Times New Roman"/>
          <w:sz w:val="18"/>
          <w:szCs w:val="18"/>
          <w:color w:val="auto"/>
        </w:rPr>
      </w:pPr>
    </w:p>
    <w:p>
      <w:pPr>
        <w:ind w:left="580" w:right="20" w:hanging="286"/>
        <w:spacing w:after="0" w:line="282" w:lineRule="auto"/>
        <w:tabs>
          <w:tab w:leader="none" w:pos="5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$82 million decrease in the provision for credit losses reflects the net impact of the allocation of the provision to the reportable segments.</w:t>
      </w:r>
    </w:p>
    <w:p>
      <w:pPr>
        <w:spacing w:after="0" w:line="41" w:lineRule="exact"/>
        <w:rPr>
          <w:rFonts w:ascii="Times New Roman" w:cs="Times New Roman" w:eastAsia="Times New Roman" w:hAnsi="Times New Roman"/>
          <w:sz w:val="18"/>
          <w:szCs w:val="18"/>
          <w:color w:val="auto"/>
        </w:rPr>
      </w:pPr>
    </w:p>
    <w:p>
      <w:pPr>
        <w:ind w:left="580" w:hanging="286"/>
        <w:spacing w:after="0" w:line="282" w:lineRule="auto"/>
        <w:tabs>
          <w:tab w:leader="none" w:pos="5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decreased $84 million reflecting a decline in FDIC assessments resulting from lower special assessment expense and improved credit quality.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0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discussion of the Company's significant accounting policies and critical accounting estimates can be found in M&amp;T's 2024 Annual Report. A summary of recent accounting developments is included in note 1 of Notes to Financial Statements.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and other sections of this quarterly report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the Company’s business, and management's beliefs and assumptions.</w:t>
      </w:r>
    </w:p>
    <w:p>
      <w:pPr>
        <w:spacing w:after="0" w:line="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Statements regarding the potential effects of events or factors specific to the Company and/or the financial industry as a whole, as well as national and global events generally, on the Company's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the Company's control.</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w:t>
      </w:r>
    </w:p>
    <w:p>
      <w:pPr>
        <w:spacing w:after="0" w:line="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there can be no assurance that any list of risks and uncertainties is complete, important factors that could cause actual outcomes and results to differ materially from those contemplated by forward-looking statements include the following, without limitation: economic conditions and growth rates, including inflation and market volatility; events, developments, and current conditions in the financial services industry, including trust, brokerage and investment management businesses;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the Company's credit ratings; domestic or international political developments and other geopolitical events, including trade and tariff policies and international conflicts and hostilities; changes and trends in the securities markets; common shares outstanding and common stock price volatility; fair value of and number of stock-based compensation awards to be issued in future periods; the impact of changes in market values on trust-, brokerage-, and investment management-related revenues; federal, state or local legislation and/or regulations affecting the financial services industry, or M&amp;T and its subsidiaries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80" w:name="page81"/>
    <w:bookmarkEnd w:id="80"/>
    <w:p>
      <w:pPr>
        <w:jc w:val="both"/>
        <w:spacing w:after="0" w:line="253" w:lineRule="auto"/>
        <w:rPr>
          <w:sz w:val="20"/>
          <w:szCs w:val="20"/>
          <w:color w:val="auto"/>
        </w:rPr>
      </w:pPr>
      <w:r>
        <w:rPr>
          <w:rFonts w:ascii="Times New Roman" w:cs="Times New Roman" w:eastAsia="Times New Roman" w:hAnsi="Times New Roman"/>
          <w:sz w:val="18"/>
          <w:szCs w:val="18"/>
          <w:color w:val="auto"/>
        </w:rPr>
        <w:t>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initiation and outcome of potential, pending and future litigation, investigations and governmental proceedings, including tax-related examinations and other matters; operational risk events, including loss resulting from fraud by employees or persons outside M&amp;T and breaches in data and cybersecurity; changes in accounting policies or procedures as may be required 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the Company does business, and other factors.</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further detail regarding these risks and uncertainties in its 2024 Annual Report, including in the Risk Factors section of such report, as well as in other SEC filings. Forward-looking statements speak only as of the date they are made, and the Company assumes no duty and does not undertake to update forward-looking statements.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Table 1</w:t>
            </w:r>
          </w:p>
        </w:tc>
        <w:tc>
          <w:tcPr>
            <w:tcW w:w="0" w:type="dxa"/>
            <w:vAlign w:val="bottom"/>
          </w:tcPr>
          <w:p>
            <w:pPr>
              <w:spacing w:after="0"/>
              <w:rPr>
                <w:sz w:val="1"/>
                <w:szCs w:val="1"/>
                <w:color w:val="auto"/>
              </w:rPr>
            </w:pPr>
          </w:p>
        </w:tc>
      </w:tr>
      <w:tr>
        <w:trPr>
          <w:trHeight w:val="29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QUARTERLY TRENDS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2025 Quarters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 Quarters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Third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Second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First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Fourth</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Third</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95"/>
              </w:rPr>
              <w:t>Second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1"/>
                <w:szCs w:val="11"/>
                <w:b w:val="1"/>
                <w:bCs w:val="1"/>
                <w:color w:val="auto"/>
              </w:rPr>
              <w:t>First</w:t>
            </w:r>
          </w:p>
        </w:tc>
        <w:tc>
          <w:tcPr>
            <w:tcW w:w="0" w:type="dxa"/>
            <w:vAlign w:val="bottom"/>
          </w:tcPr>
          <w:p>
            <w:pPr>
              <w:spacing w:after="0"/>
              <w:rPr>
                <w:sz w:val="1"/>
                <w:szCs w:val="1"/>
                <w:color w:val="auto"/>
              </w:rPr>
            </w:pPr>
          </w:p>
        </w:tc>
      </w:tr>
      <w:tr>
        <w:trPr>
          <w:trHeight w:val="168"/>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Earnings and dividends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income (taxable-equivalent basis)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2,692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2,618</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2,572</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2,719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2,798</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2,802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2,757</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896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865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1,071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1,065</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1,707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1,739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1,692</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Provision for credit losses</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200</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580</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Other expense</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1,336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1,297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1,396</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773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676</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Applicable income taxes</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133</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Taxable-equivalent adjustment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68"/>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716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584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681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655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531</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available to common shareholders-diluted</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547</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644</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674</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626</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505</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 common share data:</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Basic earnings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3.04</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Diluted earnings</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3.02</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dividends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1.30</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Average common shares outstanding:</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Basic</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155,558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159,221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164,209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165,838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166,671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166,951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166,460</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Diluted</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156,553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160,005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165,047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166,969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167,567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167,659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167,084</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ratios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Annualized return on:</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Average assets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1.01 %</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Average common shareholders’ equity</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10.39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8.36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9.95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8.14</w:t>
            </w:r>
          </w:p>
        </w:tc>
        <w:tc>
          <w:tcPr>
            <w:tcW w:w="0" w:type="dxa"/>
            <w:vAlign w:val="bottom"/>
          </w:tcPr>
          <w:p>
            <w:pPr>
              <w:spacing w:after="0"/>
              <w:rPr>
                <w:sz w:val="1"/>
                <w:szCs w:val="1"/>
                <w:color w:val="auto"/>
              </w:rPr>
            </w:pPr>
          </w:p>
        </w:tc>
      </w:tr>
      <w:tr>
        <w:trPr>
          <w:trHeight w:val="14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interest margin on average earning assets</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3.52</w:t>
            </w:r>
          </w:p>
        </w:tc>
        <w:tc>
          <w:tcPr>
            <w:tcW w:w="0" w:type="dxa"/>
            <w:vAlign w:val="bottom"/>
          </w:tcPr>
          <w:p>
            <w:pPr>
              <w:spacing w:after="0"/>
              <w:rPr>
                <w:sz w:val="1"/>
                <w:szCs w:val="1"/>
                <w:color w:val="auto"/>
              </w:rPr>
            </w:pPr>
          </w:p>
        </w:tc>
      </w:tr>
      <w:tr>
        <w:trPr>
          <w:trHeight w:val="80"/>
        </w:trPr>
        <w:tc>
          <w:tcPr>
            <w:tcW w:w="34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(taxable-equivalent basis)</w:t>
            </w: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4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Nonaccrual loans to total loans</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1.71</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operating (tangible) results (a)</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operating income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798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724</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594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691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731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543</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Diluted net operating income per common share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3.09</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Annualized return on:</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Average tangible assets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1.08 %</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Average tangible common shareholders’ equity</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15.54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15.47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15.27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12.67</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Efficiency ratio (b)</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56.8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55.0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60.8</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sheet data</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Average balances: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 assets (c)</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211,053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210,261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208,321</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211,853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209,581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211,981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211,478</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tangible assets (c)</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202,533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201,733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199,791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203,317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201,031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203,420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202,906</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Earning assets</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190,920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190,535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189,116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193,106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191,366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193,676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193,135</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Investment securities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36,559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35,335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34,480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33,679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31,023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29,695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28,587</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Loans</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136,527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135,407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134,844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135,723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134,751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134,588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133,796</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Deposits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162,706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163,406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161,220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164,639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161,505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163,491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164,065</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Borrowings</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15,633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14,263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14,154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14,228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15,428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16,452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16,001</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shareholders’ equity (c)</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26,189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26,272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26,604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26,313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26,160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25,340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25,008</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Tangible common shareholders’ equity (c)</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17,669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17,744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18,074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17,777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17,610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16,779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16,436</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end of quarter:</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 assets (c)</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211,584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210,321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208,105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211,785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208,855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215,137</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tangible assets (c)</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202,761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203,060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201,789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199,574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203,243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200,302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206,574</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Earning assets</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190,684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191,074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190,463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188,606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192,766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189,787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195,712</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Investment securities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36,864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35,568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35,137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34,051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32,327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29,894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28,496</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Loans</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136,974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136,116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134,574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135,581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135,920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135,002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134,973</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Deposits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163,426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164,453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165,409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161,095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164,554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159,910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167,196</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Borrowings</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14,987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14,451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12,069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13,665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14,188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16,083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16,245</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shareholders’ equity (c)</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26,334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26,131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26,597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26,633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26,482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25,680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25,158</w:t>
            </w:r>
          </w:p>
        </w:tc>
        <w:tc>
          <w:tcPr>
            <w:tcW w:w="0" w:type="dxa"/>
            <w:vAlign w:val="bottom"/>
          </w:tcPr>
          <w:p>
            <w:pPr>
              <w:spacing w:after="0"/>
              <w:rPr>
                <w:sz w:val="1"/>
                <w:szCs w:val="1"/>
                <w:color w:val="auto"/>
              </w:rPr>
            </w:pPr>
          </w:p>
        </w:tc>
      </w:tr>
      <w:tr>
        <w:trPr>
          <w:trHeight w:val="166"/>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Tangible common shareholders’ equity (c)</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17,818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17,607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18,065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18,102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17,940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17,127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16,595</w:t>
            </w: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Equity per common share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170.43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166.94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163.62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160.90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159.38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153.57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150.90</w:t>
            </w:r>
          </w:p>
        </w:tc>
        <w:tc>
          <w:tcPr>
            <w:tcW w:w="0" w:type="dxa"/>
            <w:vAlign w:val="bottom"/>
          </w:tcPr>
          <w:p>
            <w:pPr>
              <w:spacing w:after="0"/>
              <w:rPr>
                <w:sz w:val="1"/>
                <w:szCs w:val="1"/>
                <w:color w:val="auto"/>
              </w:rPr>
            </w:pPr>
          </w:p>
        </w:tc>
      </w:tr>
      <w:tr>
        <w:trPr>
          <w:trHeight w:val="164"/>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Tangible equity per common share</w:t>
            </w: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115.31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111.13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109.36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107.97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102.42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99.54</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line="250" w:lineRule="auto"/>
        <w:tabs>
          <w:tab w:leader="none" w:pos="412" w:val="left"/>
        </w:tabs>
        <w:numPr>
          <w:ilvl w:val="0"/>
          <w:numId w:val="5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400" w:hanging="394"/>
        <w:spacing w:after="0"/>
        <w:tabs>
          <w:tab w:leader="none" w:pos="400" w:val="left"/>
        </w:tabs>
        <w:numPr>
          <w:ilvl w:val="0"/>
          <w:numId w:val="5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Excludes impact of merger-related expenses and net securities transactions.</w:t>
      </w:r>
    </w:p>
    <w:p>
      <w:pPr>
        <w:spacing w:after="0" w:line="6" w:lineRule="exact"/>
        <w:rPr>
          <w:rFonts w:ascii="Times New Roman" w:cs="Times New Roman" w:eastAsia="Times New Roman" w:hAnsi="Times New Roman"/>
          <w:sz w:val="13"/>
          <w:szCs w:val="13"/>
          <w:i w:val="1"/>
          <w:iCs w:val="1"/>
          <w:color w:val="auto"/>
        </w:rPr>
      </w:pPr>
    </w:p>
    <w:p>
      <w:pPr>
        <w:ind w:left="400" w:right="60" w:hanging="394"/>
        <w:spacing w:after="0" w:line="263" w:lineRule="auto"/>
        <w:tabs>
          <w:tab w:leader="none" w:pos="400" w:val="left"/>
        </w:tabs>
        <w:numPr>
          <w:ilvl w:val="0"/>
          <w:numId w:val="5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ectPr>
          <w:pgSz w:w="11900" w:h="16840" w:orient="portrait"/>
          <w:cols w:equalWidth="0" w:num="1">
            <w:col w:w="10580"/>
          </w:cols>
          <w:pgMar w:left="660" w:top="1325" w:right="66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Table 2</w:t>
            </w:r>
          </w:p>
        </w:tc>
        <w:tc>
          <w:tcPr>
            <w:tcW w:w="0" w:type="dxa"/>
            <w:vAlign w:val="bottom"/>
          </w:tcPr>
          <w:p>
            <w:pPr>
              <w:spacing w:after="0"/>
              <w:rPr>
                <w:sz w:val="1"/>
                <w:szCs w:val="1"/>
                <w:color w:val="auto"/>
              </w:rPr>
            </w:pPr>
          </w:p>
        </w:tc>
      </w:tr>
      <w:tr>
        <w:trPr>
          <w:trHeight w:val="294"/>
        </w:trPr>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RECONCILIATION OF QUARTERLY GAAP TO NON-GAAP MEASURES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2025 Quarters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4"/>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2024 Quarters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 except per share)</w:t>
            </w:r>
          </w:p>
        </w:tc>
        <w:tc>
          <w:tcPr>
            <w:tcW w:w="160" w:type="dxa"/>
            <w:vAlign w:val="bottom"/>
          </w:tcPr>
          <w:p>
            <w:pPr>
              <w:spacing w:after="0"/>
              <w:rPr>
                <w:sz w:val="14"/>
                <w:szCs w:val="14"/>
                <w:color w:val="auto"/>
              </w:rPr>
            </w:pPr>
          </w:p>
        </w:tc>
        <w:tc>
          <w:tcPr>
            <w:tcW w:w="64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Third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Second</w:t>
            </w:r>
          </w:p>
        </w:tc>
        <w:tc>
          <w:tcPr>
            <w:tcW w:w="180" w:type="dxa"/>
            <w:vAlign w:val="bottom"/>
          </w:tcPr>
          <w:p>
            <w:pPr>
              <w:spacing w:after="0"/>
              <w:rPr>
                <w:sz w:val="14"/>
                <w:szCs w:val="14"/>
                <w:color w:val="auto"/>
              </w:rPr>
            </w:pP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First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Fourth</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Third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Second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25"/>
              <w:spacing w:after="0"/>
              <w:rPr>
                <w:sz w:val="20"/>
                <w:szCs w:val="20"/>
                <w:color w:val="auto"/>
              </w:rPr>
            </w:pPr>
            <w:r>
              <w:rPr>
                <w:rFonts w:ascii="Times New Roman" w:cs="Times New Roman" w:eastAsia="Times New Roman" w:hAnsi="Times New Roman"/>
                <w:sz w:val="11"/>
                <w:szCs w:val="11"/>
                <w:b w:val="1"/>
                <w:bCs w:val="1"/>
                <w:color w:val="auto"/>
              </w:rPr>
              <w:t>First</w:t>
            </w:r>
          </w:p>
        </w:tc>
        <w:tc>
          <w:tcPr>
            <w:tcW w:w="0" w:type="dxa"/>
            <w:vAlign w:val="bottom"/>
          </w:tcPr>
          <w:p>
            <w:pPr>
              <w:spacing w:after="0"/>
              <w:rPr>
                <w:sz w:val="1"/>
                <w:szCs w:val="1"/>
                <w:color w:val="auto"/>
              </w:rPr>
            </w:pPr>
          </w:p>
        </w:tc>
      </w:tr>
      <w:tr>
        <w:trPr>
          <w:trHeight w:val="168"/>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Income statement data</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716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584</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681</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721</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655</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531</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core deposit and other intangible assets (a)</w:t>
            </w: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operating income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724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594</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691</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731</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665</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543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Diluted earnings per common share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3.32</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3.86</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4.02</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3.73</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3.02</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core deposit and other intangible assets (a)</w:t>
            </w:r>
          </w:p>
        </w:tc>
        <w:tc>
          <w:tcPr>
            <w:tcW w:w="16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.07</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Diluted net operating earnings per common share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3.38</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3.92</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4.08</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3.79</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3.09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Other expense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expense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1,336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1,415</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1,363</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1,303</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1,297</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1,396</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core deposit and other intangible assets</w:t>
            </w: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6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 operating expense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1,327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1,402</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1,350</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1,291</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1,284</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1,381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Efficiency ratio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 operating expense (numerator)</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1,353</w:t>
            </w:r>
          </w:p>
        </w:tc>
        <w:tc>
          <w:tcPr>
            <w:tcW w:w="2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1,327</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1,402</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1,350</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1,291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1,284</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1,381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Taxable-equivalent net interest income</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1,722</w:t>
            </w:r>
          </w:p>
        </w:tc>
        <w:tc>
          <w:tcPr>
            <w:tcW w:w="220" w:type="dxa"/>
            <w:vAlign w:val="bottom"/>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1,707</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1,740</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1,739</w:t>
            </w: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1,731</w:t>
            </w: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1,692</w:t>
            </w: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income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752</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683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611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657</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580</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Gain (loss) on bank investment securities</w:t>
            </w: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Denominator</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2,405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2,318</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2,379</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2,347</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2,323</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2,270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Efficiency ratio</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53.6 %</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55.2 %</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60.5 %</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56.8 %</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55.0 %</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55.3 %</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sheet data</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Average assets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211,053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210,261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208,321</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211,853</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209,581</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211,981</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211,478</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(8,465)</w:t>
            </w: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Core deposit and other intangible assets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(126)</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(140)</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taxes</w:t>
            </w: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Average tangible assets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202,533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201,733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199,791</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203,317</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201,031</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203,420</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202,906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Average common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Average total equity</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28,583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28,666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28,998</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28,707</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28,725</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27,745</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27,019</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stock</w:t>
            </w: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(2,394)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(2,394)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(2,394)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(2,011)</w:t>
            </w: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Average common equity</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26,189</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26,272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26,604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26,313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26,160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25,340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25,008</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(8,465)</w:t>
            </w: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Core deposit and other intangible assets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(126)</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(140)</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taxes</w:t>
            </w: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Average tangible common equity</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17,669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17,744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18,074</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17,777</w:t>
            </w:r>
          </w:p>
        </w:tc>
        <w:tc>
          <w:tcPr>
            <w:tcW w:w="3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17,610</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16,779</w:t>
            </w:r>
          </w:p>
        </w:tc>
        <w:tc>
          <w:tcPr>
            <w:tcW w:w="3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16,436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At end of quarter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211,277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211,584</w:t>
            </w:r>
          </w:p>
        </w:tc>
        <w:tc>
          <w:tcPr>
            <w:tcW w:w="22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210,321</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208,105</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211,785</w:t>
            </w: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208,855</w:t>
            </w: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215,137</w:t>
            </w: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(8,465)</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Core deposit and other intangible assets</w:t>
            </w: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(132)</w:t>
            </w: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68"/>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tangible assets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202,761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203,060</w:t>
            </w:r>
          </w:p>
        </w:tc>
        <w:tc>
          <w:tcPr>
            <w:tcW w:w="22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201,789</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199,574</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203,243</w:t>
            </w: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200,302</w:t>
            </w: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206,574</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equity</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28,728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28,525</w:t>
            </w:r>
          </w:p>
        </w:tc>
        <w:tc>
          <w:tcPr>
            <w:tcW w:w="22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28,991</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29,027</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28,876</w:t>
            </w: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28,424</w:t>
            </w: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27,169</w:t>
            </w: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stock</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(2,394)</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(2,394)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(2,394)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(2,394)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(2,394)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(2,744)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(2,011)</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equity</w:t>
            </w: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26,334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26,131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26,597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26,633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26,482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25,680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25,158</w:t>
            </w: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(8,465)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(8,465)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rPr>
              <w:t>(8,465)</w:t>
            </w:r>
          </w:p>
        </w:tc>
        <w:tc>
          <w:tcPr>
            <w:tcW w:w="0" w:type="dxa"/>
            <w:vAlign w:val="bottom"/>
          </w:tcPr>
          <w:p>
            <w:pPr>
              <w:spacing w:after="0"/>
              <w:rPr>
                <w:sz w:val="1"/>
                <w:szCs w:val="1"/>
                <w:color w:val="auto"/>
              </w:rPr>
            </w:pPr>
          </w:p>
        </w:tc>
      </w:tr>
      <w:tr>
        <w:trPr>
          <w:trHeight w:val="166"/>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Core deposit and other intangible assets</w:t>
            </w: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(132)</w:t>
            </w: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23</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68"/>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tangible common equity</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17,818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17,607</w:t>
            </w:r>
          </w:p>
        </w:tc>
        <w:tc>
          <w:tcPr>
            <w:tcW w:w="22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18,065</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18,102</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17,940</w:t>
            </w: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17,127</w:t>
            </w: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16,595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ind w:left="400" w:hanging="394"/>
        <w:spacing w:after="0"/>
        <w:tabs>
          <w:tab w:leader="none" w:pos="400" w:val="left"/>
        </w:tabs>
        <w:numPr>
          <w:ilvl w:val="0"/>
          <w:numId w:val="5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After any related tax effect.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25" w:right="68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Refer to Part I, Item 2, "Management's Discussion and Analysis of Financial Condition and Results of Operations," under the captions "Liquidity Risk," "Market Risk and Interest Rate Sensitivity" and "Capital."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05" w:lineRule="exact"/>
        <w:rPr>
          <w:sz w:val="20"/>
          <w:szCs w:val="20"/>
          <w:color w:val="auto"/>
        </w:rPr>
      </w:pPr>
    </w:p>
    <w:p>
      <w:pPr>
        <w:jc w:val="both"/>
        <w:ind w:firstLine="6"/>
        <w:spacing w:after="0" w:line="258" w:lineRule="auto"/>
        <w:tabs>
          <w:tab w:leader="none" w:pos="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Based upon an evaluation carried out as of the end of the period covered by this report under the supervision and with the participation of M&amp;T's management, including its Chairman and Chief Executive Officer and its Chief Financial Officer, of the effectiveness of M&amp;T’s disclosure controls and procedures (as defined in Exchange Act rules 13a-15(e)), René F. Jones, Chairman of the Board and Chief Executive Officer, and Daryl N. Bible, Senior Executive Vice President and Chief Financial Officer, concluded that M&amp;T’s disclosure controls and procedures were effective as of September 30, 2025.</w:t>
      </w:r>
    </w:p>
    <w:p>
      <w:pPr>
        <w:spacing w:after="0" w:line="63" w:lineRule="exact"/>
        <w:rPr>
          <w:rFonts w:ascii="Times New Roman" w:cs="Times New Roman" w:eastAsia="Times New Roman" w:hAnsi="Times New Roman"/>
          <w:sz w:val="18"/>
          <w:szCs w:val="18"/>
          <w:color w:val="auto"/>
        </w:rPr>
      </w:pPr>
    </w:p>
    <w:p>
      <w:pPr>
        <w:jc w:val="both"/>
        <w:ind w:firstLine="6"/>
        <w:spacing w:after="0" w:line="258" w:lineRule="auto"/>
        <w:tabs>
          <w:tab w:leader="none" w:pos="27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M&amp;T regularly assesses and enhances its internal control over financial reporting. The Company is conducting a multi-phase implementation of new financial recordkeeping and reporting systems, including its general ledger and certain subledger platforms. In conjunction therewith the Company has and will continue to change certain processes and internal controls over financial reporting. No changes have been identified during the quarter ended September 30, 2025 that have materially affected, or are reasonably likely to materially affect, M&amp;T’s internal control over financial reporting.</w:t>
      </w:r>
    </w:p>
    <w:p>
      <w:pPr>
        <w:spacing w:after="0" w:line="267" w:lineRule="exact"/>
        <w:rPr>
          <w:rFonts w:ascii="Times New Roman" w:cs="Times New Roman" w:eastAsia="Times New Roman" w:hAnsi="Times New Roman"/>
          <w:sz w:val="18"/>
          <w:szCs w:val="18"/>
          <w:color w:val="auto"/>
        </w:rPr>
      </w:pPr>
    </w:p>
    <w:p>
      <w:pPr>
        <w:ind w:left="5220" w:hanging="95"/>
        <w:spacing w:after="0"/>
        <w:tabs>
          <w:tab w:leader="none" w:pos="522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25" w:right="660" w:bottom="1440" w:gutter="0" w:footer="0" w:header="0"/>
        </w:sectPr>
      </w:pPr>
    </w:p>
    <w:bookmarkStart w:id="84" w:name="page85"/>
    <w:bookmarkEnd w:id="84"/>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14 of Notes to Financial Statements filed herewith in Part I, Item 1, “Financial Statements (Unaudited)” regarding legal proceedings.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risk factors relating to the Company to those disclosed in response to Part I, Item 1A of M&amp;T's 2024 Annual Report.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 Not applicable.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3"/>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Issuer Purchases of Equity Securities</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Pr>
          <w:p>
            <w:pPr>
              <w:spacing w:after="0"/>
              <w:rPr>
                <w:sz w:val="13"/>
                <w:szCs w:val="13"/>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9"/>
              </w:rPr>
              <w:t>Number (or</w:t>
            </w: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300" w:type="dxa"/>
            <w:vAlign w:val="bottom"/>
          </w:tcPr>
          <w:p>
            <w:pPr>
              <w:spacing w:after="0"/>
              <w:rPr>
                <w:sz w:val="13"/>
                <w:szCs w:val="13"/>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Approximate</w:t>
            </w: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Pr>
          <w:p>
            <w:pPr>
              <w:spacing w:after="0"/>
              <w:rPr>
                <w:sz w:val="13"/>
                <w:szCs w:val="13"/>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Dollar Value)</w:t>
            </w: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300" w:type="dxa"/>
            <w:vAlign w:val="bottom"/>
          </w:tcPr>
          <w:p>
            <w:pPr>
              <w:spacing w:after="0"/>
              <w:rPr>
                <w:sz w:val="13"/>
                <w:szCs w:val="13"/>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of Shares</w:t>
            </w: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300" w:type="dxa"/>
            <w:vAlign w:val="bottom"/>
          </w:tcPr>
          <w:p>
            <w:pPr>
              <w:spacing w:after="0"/>
              <w:rPr>
                <w:sz w:val="13"/>
                <w:szCs w:val="13"/>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(or Units)</w:t>
            </w: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as Part of</w:t>
            </w:r>
          </w:p>
        </w:tc>
        <w:tc>
          <w:tcPr>
            <w:tcW w:w="300" w:type="dxa"/>
            <w:vAlign w:val="bottom"/>
          </w:tcPr>
          <w:p>
            <w:pPr>
              <w:spacing w:after="0"/>
              <w:rPr>
                <w:sz w:val="13"/>
                <w:szCs w:val="13"/>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that may yet</w:t>
            </w: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Publicly</w:t>
            </w:r>
          </w:p>
        </w:tc>
        <w:tc>
          <w:tcPr>
            <w:tcW w:w="300" w:type="dxa"/>
            <w:vAlign w:val="bottom"/>
          </w:tcPr>
          <w:p>
            <w:pPr>
              <w:spacing w:after="0"/>
              <w:rPr>
                <w:sz w:val="13"/>
                <w:szCs w:val="13"/>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rPr>
              <w:t>be Purchased</w:t>
            </w: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Price Paid</w:t>
            </w:r>
          </w:p>
        </w:tc>
        <w:tc>
          <w:tcPr>
            <w:tcW w:w="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Announced</w:t>
            </w:r>
          </w:p>
        </w:tc>
        <w:tc>
          <w:tcPr>
            <w:tcW w:w="300" w:type="dxa"/>
            <w:vAlign w:val="bottom"/>
          </w:tcPr>
          <w:p>
            <w:pPr>
              <w:spacing w:after="0"/>
              <w:rPr>
                <w:sz w:val="13"/>
                <w:szCs w:val="13"/>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Under the</w:t>
            </w: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Plans or</w:t>
            </w:r>
          </w:p>
        </w:tc>
        <w:tc>
          <w:tcPr>
            <w:tcW w:w="300" w:type="dxa"/>
            <w:vAlign w:val="bottom"/>
          </w:tcPr>
          <w:p>
            <w:pPr>
              <w:spacing w:after="0"/>
              <w:rPr>
                <w:sz w:val="13"/>
                <w:szCs w:val="13"/>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rPr>
              <w:t>Plans or</w:t>
            </w:r>
          </w:p>
        </w:tc>
      </w:tr>
      <w:tr>
        <w:trPr>
          <w:trHeight w:val="146"/>
        </w:trPr>
        <w:tc>
          <w:tcPr>
            <w:tcW w:w="38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(Dollars in millions, except per share)</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Purchased (a)</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3"/>
                <w:szCs w:val="13"/>
                <w:b w:val="1"/>
                <w:bCs w:val="1"/>
                <w:color w:val="auto"/>
              </w:rPr>
              <w:t>(or Unit) (b)</w:t>
            </w:r>
          </w:p>
        </w:tc>
        <w:tc>
          <w:tcPr>
            <w:tcW w:w="80" w:type="dxa"/>
            <w:vAlign w:val="bottom"/>
          </w:tcPr>
          <w:p>
            <w:pPr>
              <w:spacing w:after="0"/>
              <w:rPr>
                <w:sz w:val="12"/>
                <w:szCs w:val="12"/>
                <w:color w:val="auto"/>
              </w:rPr>
            </w:pPr>
          </w:p>
        </w:tc>
        <w:tc>
          <w:tcPr>
            <w:tcW w:w="174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8"/>
              </w:rPr>
              <w:t>Programs</w:t>
            </w:r>
          </w:p>
        </w:tc>
        <w:tc>
          <w:tcPr>
            <w:tcW w:w="300" w:type="dxa"/>
            <w:vAlign w:val="bottom"/>
          </w:tcPr>
          <w:p>
            <w:pPr>
              <w:spacing w:after="0"/>
              <w:rPr>
                <w:sz w:val="12"/>
                <w:szCs w:val="12"/>
                <w:color w:val="auto"/>
              </w:rPr>
            </w:pPr>
          </w:p>
        </w:tc>
        <w:tc>
          <w:tcPr>
            <w:tcW w:w="1280" w:type="dxa"/>
            <w:vAlign w:val="bottom"/>
          </w:tcPr>
          <w:p>
            <w:pPr>
              <w:jc w:val="center"/>
              <w:ind w:right="151"/>
              <w:spacing w:after="0" w:line="146" w:lineRule="exact"/>
              <w:rPr>
                <w:sz w:val="20"/>
                <w:szCs w:val="20"/>
                <w:color w:val="auto"/>
              </w:rPr>
            </w:pPr>
            <w:r>
              <w:rPr>
                <w:rFonts w:ascii="Times New Roman" w:cs="Times New Roman" w:eastAsia="Times New Roman" w:hAnsi="Times New Roman"/>
                <w:sz w:val="13"/>
                <w:szCs w:val="13"/>
                <w:b w:val="1"/>
                <w:bCs w:val="1"/>
                <w:color w:val="auto"/>
              </w:rPr>
              <w:t>Programs (c)</w:t>
            </w:r>
          </w:p>
        </w:tc>
      </w:tr>
      <w:tr>
        <w:trPr>
          <w:trHeight w:val="28"/>
        </w:trPr>
        <w:tc>
          <w:tcPr>
            <w:tcW w:w="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8"/>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 July 31, 2025</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353,368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196.14</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329,766</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2,194</w:t>
            </w:r>
          </w:p>
        </w:tc>
      </w:tr>
      <w:tr>
        <w:trPr>
          <w:trHeight w:val="221"/>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1 - August 31, 2025</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1,244,714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1,243,699</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w:t>
            </w:r>
          </w:p>
        </w:tc>
      </w:tr>
      <w:tr>
        <w:trPr>
          <w:trHeight w:val="235"/>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 September 30, 2025</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517,762</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r>
      <w:tr>
        <w:trPr>
          <w:trHeight w:val="221"/>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2,116,602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2,091,227</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__________________________________________________________________________________</w:t>
      </w:r>
    </w:p>
    <w:p>
      <w:pPr>
        <w:jc w:val="both"/>
        <w:ind w:left="400" w:hanging="394"/>
        <w:spacing w:after="0" w:line="250" w:lineRule="auto"/>
        <w:tabs>
          <w:tab w:leader="none" w:pos="412" w:val="left"/>
        </w:tabs>
        <w:numPr>
          <w:ilvl w:val="0"/>
          <w:numId w:val="5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00" w:hanging="394"/>
        <w:spacing w:after="0"/>
        <w:tabs>
          <w:tab w:leader="none" w:pos="400" w:val="left"/>
        </w:tabs>
        <w:numPr>
          <w:ilvl w:val="0"/>
          <w:numId w:val="5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Inclusive of share repurchase excise tax of 1%.</w:t>
      </w:r>
    </w:p>
    <w:p>
      <w:pPr>
        <w:spacing w:after="0" w:line="6" w:lineRule="exact"/>
        <w:rPr>
          <w:rFonts w:ascii="Times New Roman" w:cs="Times New Roman" w:eastAsia="Times New Roman" w:hAnsi="Times New Roman"/>
          <w:sz w:val="13"/>
          <w:szCs w:val="13"/>
          <w:i w:val="1"/>
          <w:iCs w:val="1"/>
          <w:color w:val="auto"/>
        </w:rPr>
      </w:pPr>
    </w:p>
    <w:p>
      <w:pPr>
        <w:jc w:val="both"/>
        <w:ind w:left="400" w:right="20" w:hanging="394"/>
        <w:spacing w:after="0" w:line="257" w:lineRule="auto"/>
        <w:tabs>
          <w:tab w:leader="none" w:pos="400" w:val="left"/>
        </w:tabs>
        <w:numPr>
          <w:ilvl w:val="0"/>
          <w:numId w:val="5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On January 22, 2025, M&amp;T's Board of Directors authorized a program under which $4.0 billion of common shares may be repurchased with the exact number, timing, price and terms of such repurchases to be determined at the discretion of management and subject to all regulatory limitations. The authorization replaces and terminates, effective January 22, 2025, the prior $3.0 billion share repurchase program authorized by M&amp;T's Board of Directors in July 2022.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 Not applicable.</w:t>
      </w:r>
    </w:p>
    <w:p>
      <w:pPr>
        <w:spacing w:after="0" w:line="27" w:lineRule="exact"/>
        <w:rPr>
          <w:sz w:val="20"/>
          <w:szCs w:val="20"/>
          <w:color w:val="auto"/>
        </w:rPr>
      </w:pPr>
    </w:p>
    <w:p>
      <w:pPr>
        <w:ind w:right="80" w:firstLine="6"/>
        <w:spacing w:after="0" w:line="241" w:lineRule="auto"/>
        <w:tabs>
          <w:tab w:leader="none" w:pos="2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provides a description of Rule 10b5-1 trading arrangements (as defined in Item 408 of Regulation S-K under the Exchange Act) adopted during the three months ended September 30, 2025, by any director or executive officer who is subject to the filing requirements of Section 16 of the Exchange Act:</w:t>
      </w:r>
    </w:p>
    <w:p>
      <w:pPr>
        <w:spacing w:after="0" w:line="6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September 9, 2025, René F. Jones, Chairman and Chief Executive Officer, adopted a trading arrangement intended to satisfy the affirmative defense conditions of Rule 10b5-1(c). The arrangement will terminate on or before June 30, 2026. Under the arrangement, a maximum aggregate number of 124,679 vested stock options may be exercised, and the underlying shares will be held by Mr. Jones after the withholding of shares to cover the cost of the exercise price of the options and tax obligations (also known as a net exercise and hold settlement). The arrangement does not provide for the sale of shares. Transactions under the trading arrangement will not commence until completion of the required cooling off period under Rule 10b5-1 and expiration of any prior trading arrangement.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executive officers and no directors terminated or modified a Rule 10b5-1 trading arrangement in the three months ended September 30, 2025.</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executive officers and directors have made elections to participate in, and are participating in, the Company's tax-qualified 401(k) plan and nonqualified deferred compensation plans, or have made, and may from time to time make, elections to reinvest dividends in M&amp;T common stock, or have shares withheld to cover withholding taxes upon the vesting of equity awards or to pay the exercise price of options, each of which may be designed to satisfy the affirmative defense conditions of Rule 10b5-1(c) or may constitute non-Rule 10b5-1 trading arrangements (as defined in Item 408(c) of Regulation 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a part of this report.</w:t>
      </w:r>
    </w:p>
    <w:p>
      <w:pPr>
        <w:spacing w:after="0" w:line="153"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96774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67740" cy="7620"/>
                    </a:xfrm>
                    <a:prstGeom prst="rect">
                      <a:avLst/>
                    </a:prstGeom>
                    <a:noFill/>
                  </pic:spPr>
                </pic:pic>
              </a:graphicData>
            </a:graphic>
          </wp:anchor>
        </w:drawing>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1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5"/>
              </w:rPr>
              <w:t>31.1</w:t>
            </w:r>
          </w:p>
        </w:tc>
        <w:tc>
          <w:tcPr>
            <w:tcW w:w="80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Certification of Chief Executive Officer under Section 302 of the Sarbanes-Oxley Act of 2002. Filed herewith.</w:t>
              </w:r>
            </w:hyperlink>
          </w:p>
        </w:tc>
        <w:tc>
          <w:tcPr>
            <w:tcW w:w="920" w:type="dxa"/>
            <w:vAlign w:val="bottom"/>
          </w:tcPr>
          <w:p>
            <w:pPr>
              <w:spacing w:after="0"/>
              <w:rPr>
                <w:sz w:val="18"/>
                <w:szCs w:val="18"/>
                <w:color w:val="auto"/>
              </w:rPr>
            </w:pPr>
          </w:p>
        </w:tc>
      </w:tr>
      <w:tr>
        <w:trPr>
          <w:trHeight w:val="484"/>
        </w:trPr>
        <w:tc>
          <w:tcPr>
            <w:tcW w:w="11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5"/>
              </w:rPr>
              <w:t>31.2</w:t>
            </w:r>
          </w:p>
        </w:tc>
        <w:tc>
          <w:tcPr>
            <w:tcW w:w="79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Certification of Chief Financial Officer under Section 302 of the Sarbanes-Oxley Act of 2002. Filed herewith.</w:t>
              </w:r>
            </w:hyperlink>
          </w:p>
        </w:tc>
        <w:tc>
          <w:tcPr>
            <w:tcW w:w="980" w:type="dxa"/>
            <w:vAlign w:val="bottom"/>
            <w:gridSpan w:val="2"/>
          </w:tcPr>
          <w:p>
            <w:pPr>
              <w:spacing w:after="0"/>
              <w:rPr>
                <w:sz w:val="24"/>
                <w:szCs w:val="24"/>
                <w:color w:val="auto"/>
              </w:rPr>
            </w:pPr>
          </w:p>
        </w:tc>
      </w:tr>
      <w:tr>
        <w:trPr>
          <w:trHeight w:val="484"/>
        </w:trPr>
        <w:tc>
          <w:tcPr>
            <w:tcW w:w="11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5"/>
              </w:rPr>
              <w:t>32.1</w:t>
            </w:r>
          </w:p>
        </w:tc>
        <w:tc>
          <w:tcPr>
            <w:tcW w:w="89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1">
              <w:r>
                <w:rPr>
                  <w:rFonts w:ascii="Times New Roman" w:cs="Times New Roman" w:eastAsia="Times New Roman" w:hAnsi="Times New Roman"/>
                  <w:sz w:val="18"/>
                  <w:szCs w:val="18"/>
                  <w:color w:val="0000FF"/>
                  <w:w w:val="99"/>
                </w:rPr>
                <w:t>Certification of Chief Executive Officer under 18 U.S.C. §1350 pursuant to Section 906 of the Sarbanes-Oxley Act of 2002.</w:t>
              </w:r>
            </w:hyperlink>
          </w:p>
        </w:tc>
      </w:tr>
      <w:tr>
        <w:trPr>
          <w:trHeight w:val="196"/>
        </w:trPr>
        <w:tc>
          <w:tcPr>
            <w:tcW w:w="1180" w:type="dxa"/>
            <w:vAlign w:val="bottom"/>
          </w:tcPr>
          <w:p>
            <w:pPr>
              <w:spacing w:after="0"/>
              <w:rPr>
                <w:sz w:val="17"/>
                <w:szCs w:val="17"/>
                <w:color w:val="auto"/>
              </w:rPr>
            </w:pPr>
          </w:p>
        </w:tc>
        <w:tc>
          <w:tcPr>
            <w:tcW w:w="11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1">
              <w:r>
                <w:rPr>
                  <w:rFonts w:ascii="Times New Roman" w:cs="Times New Roman" w:eastAsia="Times New Roman" w:hAnsi="Times New Roman"/>
                  <w:sz w:val="18"/>
                  <w:szCs w:val="18"/>
                  <w:color w:val="0000FF"/>
                  <w:w w:val="99"/>
                </w:rPr>
                <w:t>Filed herewith.</w:t>
              </w:r>
            </w:hyperlink>
          </w:p>
        </w:tc>
        <w:tc>
          <w:tcPr>
            <w:tcW w:w="7840" w:type="dxa"/>
            <w:vAlign w:val="bottom"/>
            <w:gridSpan w:val="3"/>
          </w:tcPr>
          <w:p>
            <w:pPr>
              <w:spacing w:after="0"/>
              <w:rPr>
                <w:sz w:val="17"/>
                <w:szCs w:val="17"/>
                <w:color w:val="auto"/>
              </w:rPr>
            </w:pPr>
          </w:p>
        </w:tc>
      </w:tr>
      <w:tr>
        <w:trPr>
          <w:trHeight w:val="484"/>
        </w:trPr>
        <w:tc>
          <w:tcPr>
            <w:tcW w:w="11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5"/>
              </w:rPr>
              <w:t>32.2</w:t>
            </w:r>
          </w:p>
        </w:tc>
        <w:tc>
          <w:tcPr>
            <w:tcW w:w="89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Certification of Chief Financial Officer under 18 U.S.C. §1350 pursuant to Section 906 of the Sarbanes-Oxley Act of 2002.</w:t>
              </w:r>
            </w:hyperlink>
          </w:p>
        </w:tc>
      </w:tr>
      <w:tr>
        <w:trPr>
          <w:trHeight w:val="196"/>
        </w:trPr>
        <w:tc>
          <w:tcPr>
            <w:tcW w:w="1180" w:type="dxa"/>
            <w:vAlign w:val="bottom"/>
          </w:tcPr>
          <w:p>
            <w:pPr>
              <w:spacing w:after="0"/>
              <w:rPr>
                <w:sz w:val="17"/>
                <w:szCs w:val="17"/>
                <w:color w:val="auto"/>
              </w:rPr>
            </w:pPr>
          </w:p>
        </w:tc>
        <w:tc>
          <w:tcPr>
            <w:tcW w:w="11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1">
              <w:r>
                <w:rPr>
                  <w:rFonts w:ascii="Times New Roman" w:cs="Times New Roman" w:eastAsia="Times New Roman" w:hAnsi="Times New Roman"/>
                  <w:sz w:val="18"/>
                  <w:szCs w:val="18"/>
                  <w:color w:val="0000FF"/>
                  <w:w w:val="99"/>
                </w:rPr>
                <w:t>Filed herewith.</w:t>
              </w:r>
            </w:hyperlink>
          </w:p>
        </w:tc>
        <w:tc>
          <w:tcPr>
            <w:tcW w:w="7840" w:type="dxa"/>
            <w:vAlign w:val="bottom"/>
            <w:gridSpan w:val="3"/>
          </w:tcPr>
          <w:p>
            <w:pPr>
              <w:spacing w:after="0"/>
              <w:rPr>
                <w:sz w:val="17"/>
                <w:szCs w:val="17"/>
                <w:color w:val="auto"/>
              </w:rPr>
            </w:pPr>
          </w:p>
        </w:tc>
      </w:tr>
      <w:tr>
        <w:trPr>
          <w:trHeight w:val="526"/>
        </w:trPr>
        <w:tc>
          <w:tcPr>
            <w:tcW w:w="11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101.INS</w:t>
            </w:r>
          </w:p>
        </w:tc>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Filed herewith.</w:t>
            </w:r>
          </w:p>
        </w:tc>
      </w:tr>
      <w:tr>
        <w:trPr>
          <w:trHeight w:val="504"/>
        </w:trPr>
        <w:tc>
          <w:tcPr>
            <w:tcW w:w="11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101.SCH</w:t>
            </w:r>
          </w:p>
        </w:tc>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 Filed herewith.</w:t>
            </w:r>
          </w:p>
        </w:tc>
      </w:tr>
    </w:tbl>
    <w:p>
      <w:pPr>
        <w:spacing w:after="0" w:line="270" w:lineRule="exact"/>
        <w:rPr>
          <w:sz w:val="20"/>
          <w:szCs w:val="20"/>
          <w:color w:val="auto"/>
        </w:rPr>
      </w:pPr>
    </w:p>
    <w:p>
      <w:pPr>
        <w:ind w:left="1620" w:right="40" w:hanging="990"/>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M&amp;T's Quarterly Report on Form 10-Q for the quarter ended September 30, 2025 has been formatted in Inline XBRL.</w:t>
      </w:r>
    </w:p>
    <w:p>
      <w:pPr>
        <w:spacing w:after="0" w:line="341" w:lineRule="exact"/>
        <w:rPr>
          <w:rFonts w:ascii="Times New Roman" w:cs="Times New Roman" w:eastAsia="Times New Roman" w:hAnsi="Times New Roman"/>
          <w:sz w:val="18"/>
          <w:szCs w:val="18"/>
          <w:color w:val="auto"/>
        </w:rPr>
      </w:pPr>
    </w:p>
    <w:p>
      <w:pPr>
        <w:ind w:left="5220" w:hanging="95"/>
        <w:spacing w:after="0"/>
        <w:tabs>
          <w:tab w:leader="none" w:pos="522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25" w:right="6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297" w:lineRule="exact"/>
        <w:rPr>
          <w:sz w:val="20"/>
          <w:szCs w:val="20"/>
          <w:color w:val="auto"/>
        </w:rPr>
      </w:pPr>
    </w:p>
    <w:p>
      <w:pPr>
        <w:ind w:left="20"/>
        <w:spacing w:after="0"/>
        <w:tabs>
          <w:tab w:leader="none" w:pos="5020" w:val="left"/>
          <w:tab w:leader="none" w:pos="5900" w:val="left"/>
        </w:tabs>
        <w:rPr>
          <w:sz w:val="20"/>
          <w:szCs w:val="20"/>
          <w:color w:val="auto"/>
        </w:rPr>
      </w:pPr>
      <w:r>
        <w:rPr>
          <w:rFonts w:ascii="Times New Roman" w:cs="Times New Roman" w:eastAsia="Times New Roman" w:hAnsi="Times New Roman"/>
          <w:sz w:val="18"/>
          <w:szCs w:val="18"/>
          <w:color w:val="auto"/>
        </w:rPr>
        <w:t>Date: October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28575</wp:posOffset>
            </wp:positionV>
            <wp:extent cx="24009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00935" cy="7620"/>
                    </a:xfrm>
                    <a:prstGeom prst="rect">
                      <a:avLst/>
                    </a:prstGeom>
                    <a:noFill/>
                  </pic:spPr>
                </pic:pic>
              </a:graphicData>
            </a:graphic>
          </wp:anchor>
        </w:drawing>
      </w:r>
    </w:p>
    <w:p>
      <w:pPr>
        <w:spacing w:after="0" w:line="4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Daryl N. Bible</w:t>
      </w:r>
    </w:p>
    <w:p>
      <w:pPr>
        <w:spacing w:after="0" w:line="5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Senior Executive Vice President</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- 87 -</w:t>
      </w:r>
    </w:p>
    <w:p>
      <w:pPr>
        <w:sectPr>
          <w:pgSz w:w="11900" w:h="16840" w:orient="portrait"/>
          <w:cols w:equalWidth="0" w:num="1">
            <w:col w:w="10560"/>
          </w:cols>
          <w:pgMar w:left="660" w:top="1325" w:right="680" w:bottom="1440" w:gutter="0" w:footer="0" w:header="0"/>
        </w:sectPr>
      </w:pPr>
    </w:p>
    <w:bookmarkStart w:id="87" w:name="page88"/>
    <w:bookmarkEnd w:id="87"/>
    <w:p>
      <w:pPr>
        <w:ind w:left="9480"/>
        <w:spacing w:after="0"/>
        <w:rPr>
          <w:sz w:val="20"/>
          <w:szCs w:val="20"/>
          <w:color w:val="auto"/>
        </w:rPr>
      </w:pPr>
      <w:r>
        <w:rPr>
          <w:rFonts w:ascii="Times New Roman" w:cs="Times New Roman" w:eastAsia="Times New Roman" w:hAnsi="Times New Roman"/>
          <w:sz w:val="18"/>
          <w:szCs w:val="18"/>
          <w:color w:val="auto"/>
        </w:rPr>
        <w:t>EXHIBIT 31.1</w:t>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René F. Jones, certify that:</w:t>
      </w:r>
    </w:p>
    <w:p>
      <w:pPr>
        <w:spacing w:after="0" w:line="105" w:lineRule="exact"/>
        <w:rPr>
          <w:sz w:val="20"/>
          <w:szCs w:val="20"/>
          <w:color w:val="auto"/>
        </w:rPr>
      </w:pPr>
    </w:p>
    <w:p>
      <w:pPr>
        <w:ind w:left="580" w:hanging="574"/>
        <w:spacing w:after="0"/>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M&amp;T Bank Corporation;</w:t>
      </w:r>
    </w:p>
    <w:p>
      <w:pPr>
        <w:spacing w:after="0" w:line="105" w:lineRule="exact"/>
        <w:rPr>
          <w:rFonts w:ascii="Times New Roman" w:cs="Times New Roman" w:eastAsia="Times New Roman" w:hAnsi="Times New Roman"/>
          <w:sz w:val="18"/>
          <w:szCs w:val="18"/>
          <w:color w:val="auto"/>
        </w:rPr>
      </w:pPr>
    </w:p>
    <w:p>
      <w:pPr>
        <w:jc w:val="both"/>
        <w:ind w:left="580" w:hanging="574"/>
        <w:spacing w:after="0" w:line="266" w:lineRule="auto"/>
        <w:tabs>
          <w:tab w:leader="none" w:pos="5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8"/>
          <w:szCs w:val="18"/>
          <w:color w:val="auto"/>
        </w:rPr>
      </w:pPr>
    </w:p>
    <w:p>
      <w:pPr>
        <w:ind w:left="580" w:right="20" w:hanging="574"/>
        <w:spacing w:after="0" w:line="282" w:lineRule="auto"/>
        <w:tabs>
          <w:tab w:leader="none" w:pos="5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580" w:right="20" w:hanging="574"/>
        <w:spacing w:after="0" w:line="261" w:lineRule="auto"/>
        <w:tabs>
          <w:tab w:leader="none" w:pos="5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86" w:lineRule="exact"/>
        <w:rPr>
          <w:rFonts w:ascii="Times New Roman" w:cs="Times New Roman" w:eastAsia="Times New Roman" w:hAnsi="Times New Roman"/>
          <w:sz w:val="18"/>
          <w:szCs w:val="18"/>
          <w:color w:val="auto"/>
        </w:rPr>
      </w:pPr>
    </w:p>
    <w:p>
      <w:pPr>
        <w:jc w:val="both"/>
        <w:ind w:left="1160" w:hanging="578"/>
        <w:spacing w:after="0" w:line="266" w:lineRule="auto"/>
        <w:tabs>
          <w:tab w:leader="none" w:pos="11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jc w:val="both"/>
        <w:ind w:left="1160" w:hanging="578"/>
        <w:spacing w:after="0" w:line="266" w:lineRule="auto"/>
        <w:tabs>
          <w:tab w:leader="none" w:pos="114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jc w:val="both"/>
        <w:ind w:left="1160" w:hanging="578"/>
        <w:spacing w:after="0" w:line="266" w:lineRule="auto"/>
        <w:tabs>
          <w:tab w:leader="none" w:pos="11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jc w:val="both"/>
        <w:ind w:left="1160" w:hanging="578"/>
        <w:spacing w:after="0" w:line="266" w:lineRule="auto"/>
        <w:tabs>
          <w:tab w:leader="none" w:pos="114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jc w:val="both"/>
        <w:ind w:left="580" w:hanging="574"/>
        <w:spacing w:after="0" w:line="266" w:lineRule="auto"/>
        <w:tabs>
          <w:tab w:leader="none" w:pos="5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6"/>
          <w:szCs w:val="16"/>
          <w:color w:val="auto"/>
        </w:rPr>
      </w:pPr>
    </w:p>
    <w:p>
      <w:pPr>
        <w:ind w:left="1160" w:hanging="578"/>
        <w:spacing w:after="0" w:line="282" w:lineRule="auto"/>
        <w:tabs>
          <w:tab w:leader="none" w:pos="11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1160" w:right="20" w:hanging="578"/>
        <w:spacing w:after="0" w:line="282" w:lineRule="auto"/>
        <w:tabs>
          <w:tab w:leader="none" w:pos="114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2025</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169227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92275" cy="7620"/>
                    </a:xfrm>
                    <a:prstGeom prst="rect">
                      <a:avLst/>
                    </a:prstGeom>
                    <a:noFill/>
                  </pic:spPr>
                </pic:pic>
              </a:graphicData>
            </a:graphic>
          </wp:anchor>
        </w:drawing>
      </w:r>
    </w:p>
    <w:p>
      <w:pPr>
        <w:spacing w:after="0" w:line="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René F. Jones</w:t>
      </w:r>
    </w:p>
    <w:p>
      <w:pPr>
        <w:spacing w:after="0" w:line="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40" w:orient="portrait"/>
          <w:cols w:equalWidth="0" w:num="1">
            <w:col w:w="10580"/>
          </w:cols>
          <w:pgMar w:left="660" w:top="1133" w:right="660" w:bottom="1440" w:gutter="0" w:footer="0" w:header="0"/>
        </w:sectPr>
      </w:pPr>
    </w:p>
    <w:bookmarkStart w:id="88" w:name="page89"/>
    <w:bookmarkEnd w:id="88"/>
    <w:p>
      <w:pPr>
        <w:ind w:left="9480"/>
        <w:spacing w:after="0"/>
        <w:rPr>
          <w:sz w:val="20"/>
          <w:szCs w:val="20"/>
          <w:color w:val="auto"/>
        </w:rPr>
      </w:pPr>
      <w:r>
        <w:rPr>
          <w:rFonts w:ascii="Times New Roman" w:cs="Times New Roman" w:eastAsia="Times New Roman" w:hAnsi="Times New Roman"/>
          <w:sz w:val="18"/>
          <w:szCs w:val="18"/>
          <w:color w:val="auto"/>
        </w:rPr>
        <w:t>EXHIBIT 31.2</w:t>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Daryl N. Bible, certify that:</w:t>
      </w:r>
    </w:p>
    <w:p>
      <w:pPr>
        <w:spacing w:after="0" w:line="105" w:lineRule="exact"/>
        <w:rPr>
          <w:sz w:val="20"/>
          <w:szCs w:val="20"/>
          <w:color w:val="auto"/>
        </w:rPr>
      </w:pPr>
    </w:p>
    <w:p>
      <w:pPr>
        <w:ind w:left="580" w:hanging="574"/>
        <w:spacing w:after="0"/>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M&amp;T Bank Corporation;</w:t>
      </w:r>
    </w:p>
    <w:p>
      <w:pPr>
        <w:spacing w:after="0" w:line="105" w:lineRule="exact"/>
        <w:rPr>
          <w:rFonts w:ascii="Times New Roman" w:cs="Times New Roman" w:eastAsia="Times New Roman" w:hAnsi="Times New Roman"/>
          <w:sz w:val="18"/>
          <w:szCs w:val="18"/>
          <w:color w:val="auto"/>
        </w:rPr>
      </w:pPr>
    </w:p>
    <w:p>
      <w:pPr>
        <w:jc w:val="both"/>
        <w:ind w:left="580" w:hanging="574"/>
        <w:spacing w:after="0" w:line="266" w:lineRule="auto"/>
        <w:tabs>
          <w:tab w:leader="none" w:pos="5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8"/>
          <w:szCs w:val="18"/>
          <w:color w:val="auto"/>
        </w:rPr>
      </w:pPr>
    </w:p>
    <w:p>
      <w:pPr>
        <w:ind w:left="580" w:right="20" w:hanging="574"/>
        <w:spacing w:after="0" w:line="282" w:lineRule="auto"/>
        <w:tabs>
          <w:tab w:leader="none" w:pos="5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580" w:right="20" w:hanging="574"/>
        <w:spacing w:after="0" w:line="261" w:lineRule="auto"/>
        <w:tabs>
          <w:tab w:leader="none" w:pos="5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86" w:lineRule="exact"/>
        <w:rPr>
          <w:rFonts w:ascii="Times New Roman" w:cs="Times New Roman" w:eastAsia="Times New Roman" w:hAnsi="Times New Roman"/>
          <w:sz w:val="18"/>
          <w:szCs w:val="18"/>
          <w:color w:val="auto"/>
        </w:rPr>
      </w:pPr>
    </w:p>
    <w:p>
      <w:pPr>
        <w:jc w:val="both"/>
        <w:ind w:left="1160" w:hanging="578"/>
        <w:spacing w:after="0" w:line="266" w:lineRule="auto"/>
        <w:tabs>
          <w:tab w:leader="none" w:pos="11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8"/>
          <w:szCs w:val="18"/>
          <w:color w:val="auto"/>
        </w:rPr>
      </w:pPr>
    </w:p>
    <w:p>
      <w:pPr>
        <w:jc w:val="both"/>
        <w:ind w:left="1160" w:hanging="578"/>
        <w:spacing w:after="0" w:line="266" w:lineRule="auto"/>
        <w:tabs>
          <w:tab w:leader="none" w:pos="114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8"/>
          <w:szCs w:val="18"/>
          <w:color w:val="auto"/>
        </w:rPr>
      </w:pPr>
    </w:p>
    <w:p>
      <w:pPr>
        <w:jc w:val="both"/>
        <w:ind w:left="1160" w:hanging="578"/>
        <w:spacing w:after="0" w:line="266" w:lineRule="auto"/>
        <w:tabs>
          <w:tab w:leader="none" w:pos="11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jc w:val="both"/>
        <w:ind w:left="1160" w:hanging="578"/>
        <w:spacing w:after="0" w:line="266" w:lineRule="auto"/>
        <w:tabs>
          <w:tab w:leader="none" w:pos="114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8"/>
          <w:szCs w:val="18"/>
          <w:color w:val="auto"/>
        </w:rPr>
      </w:pPr>
    </w:p>
    <w:p>
      <w:pPr>
        <w:jc w:val="both"/>
        <w:ind w:left="580" w:hanging="574"/>
        <w:spacing w:after="0" w:line="266" w:lineRule="auto"/>
        <w:tabs>
          <w:tab w:leader="none" w:pos="56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160" w:hanging="578"/>
        <w:spacing w:after="0" w:line="282" w:lineRule="auto"/>
        <w:tabs>
          <w:tab w:leader="none" w:pos="11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1160" w:right="20" w:hanging="578"/>
        <w:spacing w:after="0" w:line="282" w:lineRule="auto"/>
        <w:tabs>
          <w:tab w:leader="none" w:pos="114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2025</w:t>
      </w: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13335</wp:posOffset>
            </wp:positionV>
            <wp:extent cx="192849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28495" cy="7620"/>
                    </a:xfrm>
                    <a:prstGeom prst="rect">
                      <a:avLst/>
                    </a:prstGeom>
                    <a:noFill/>
                  </pic:spPr>
                </pic:pic>
              </a:graphicData>
            </a:graphic>
          </wp:anchor>
        </w:drawing>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Daryl N. Bible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Executive Vice President</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40" w:orient="portrait"/>
          <w:cols w:equalWidth="0" w:num="1">
            <w:col w:w="10580"/>
          </w:cols>
          <w:pgMar w:left="660" w:top="1133" w:right="660" w:bottom="1440" w:gutter="0" w:footer="0" w:header="0"/>
        </w:sectPr>
      </w:pPr>
    </w:p>
    <w:bookmarkStart w:id="89" w:name="page90"/>
    <w:bookmarkEnd w:id="89"/>
    <w:p>
      <w:pPr>
        <w:ind w:left="9480"/>
        <w:spacing w:after="0"/>
        <w:rPr>
          <w:sz w:val="20"/>
          <w:szCs w:val="20"/>
          <w:color w:val="auto"/>
        </w:rPr>
      </w:pPr>
      <w:r>
        <w:rPr>
          <w:rFonts w:ascii="Times New Roman" w:cs="Times New Roman" w:eastAsia="Times New Roman" w:hAnsi="Times New Roman"/>
          <w:sz w:val="18"/>
          <w:szCs w:val="18"/>
          <w:color w:val="auto"/>
        </w:rPr>
        <w:t>EXHIBIT 32.1</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OF CHIEF EXECUTIVE OFFICER UNDER 18 U.S.C. §1350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René F. Jones, Chairman of the Board and Chief Executive Officer of M&amp;T Bank Corporation, certify, pursuant to Section 906 of the Sarbanes-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18 U.S.C. Section 1350, that:</w:t>
      </w:r>
    </w:p>
    <w:p>
      <w:pPr>
        <w:spacing w:after="0" w:line="147" w:lineRule="exact"/>
        <w:rPr>
          <w:sz w:val="20"/>
          <w:szCs w:val="20"/>
          <w:color w:val="auto"/>
        </w:rPr>
      </w:pPr>
    </w:p>
    <w:p>
      <w:pPr>
        <w:jc w:val="both"/>
        <w:ind w:left="1300" w:right="1320" w:hanging="718"/>
        <w:spacing w:after="0" w:line="266" w:lineRule="auto"/>
        <w:tabs>
          <w:tab w:leader="none" w:pos="12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M&amp;T Bank Corporation for the quarterly period ended September 30, 2025 (the "Report") fully complies with the requirements of Section 13(a) or 15(d) of the Securities Exchange Act of 1934 (15 U.S.C. 78m or 78o(d)); and</w:t>
      </w:r>
    </w:p>
    <w:p>
      <w:pPr>
        <w:spacing w:after="0" w:line="116" w:lineRule="exact"/>
        <w:rPr>
          <w:rFonts w:ascii="Times New Roman" w:cs="Times New Roman" w:eastAsia="Times New Roman" w:hAnsi="Times New Roman"/>
          <w:sz w:val="18"/>
          <w:szCs w:val="18"/>
          <w:color w:val="auto"/>
        </w:rPr>
      </w:pPr>
    </w:p>
    <w:p>
      <w:pPr>
        <w:ind w:left="1300" w:right="1320" w:hanging="718"/>
        <w:spacing w:after="0" w:line="282" w:lineRule="auto"/>
        <w:tabs>
          <w:tab w:leader="none" w:pos="12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M&amp;T Bank Corporation.</w:t>
      </w:r>
    </w:p>
    <w:p>
      <w:pPr>
        <w:spacing w:after="0" w:line="2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67703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René F. Jones</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27, 2025</w:t>
      </w:r>
    </w:p>
    <w:p>
      <w:pPr>
        <w:spacing w:after="0" w:line="200" w:lineRule="exact"/>
        <w:rPr>
          <w:sz w:val="20"/>
          <w:szCs w:val="20"/>
          <w:color w:val="auto"/>
        </w:rPr>
      </w:pPr>
    </w:p>
    <w:p>
      <w:pPr>
        <w:spacing w:after="0" w:line="3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40" w:orient="portrait"/>
          <w:cols w:equalWidth="0" w:num="1">
            <w:col w:w="10580"/>
          </w:cols>
          <w:pgMar w:left="660" w:top="1277" w:right="660" w:bottom="1440" w:gutter="0" w:footer="0" w:header="0"/>
        </w:sectPr>
      </w:pPr>
    </w:p>
    <w:bookmarkStart w:id="90" w:name="page91"/>
    <w:bookmarkEnd w:id="90"/>
    <w:p>
      <w:pPr>
        <w:ind w:left="9480"/>
        <w:spacing w:after="0"/>
        <w:rPr>
          <w:sz w:val="20"/>
          <w:szCs w:val="20"/>
          <w:color w:val="auto"/>
        </w:rPr>
      </w:pPr>
      <w:r>
        <w:rPr>
          <w:rFonts w:ascii="Times New Roman" w:cs="Times New Roman" w:eastAsia="Times New Roman" w:hAnsi="Times New Roman"/>
          <w:sz w:val="18"/>
          <w:szCs w:val="18"/>
          <w:color w:val="auto"/>
        </w:rPr>
        <w:t>EXHIBIT 32.2</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OF CHIEF FINANCIAL OFFICER UNDER 18 U.S.C. §1350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Daryl N. Bible, Senior Executive Vice President and Chief Financial Officer of M&amp;T Bank Corporation, certify,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w:t>
      </w:r>
    </w:p>
    <w:p>
      <w:pPr>
        <w:spacing w:after="0" w:line="147" w:lineRule="exact"/>
        <w:rPr>
          <w:sz w:val="20"/>
          <w:szCs w:val="20"/>
          <w:color w:val="auto"/>
        </w:rPr>
      </w:pPr>
    </w:p>
    <w:p>
      <w:pPr>
        <w:jc w:val="both"/>
        <w:ind w:left="1300" w:right="1320" w:hanging="718"/>
        <w:spacing w:after="0" w:line="266" w:lineRule="auto"/>
        <w:tabs>
          <w:tab w:leader="none" w:pos="128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Quarterly Report on Form 10-Q of M&amp;T Bank Corporation for the quarterly period ended September 30, 2025 (the "Report") fully complies with the requirements of Section 13(a) or 15(d) of the Securities Exchange Act of 1934 (15 U.S.C. 78m or 78o(d)); and</w:t>
      </w:r>
    </w:p>
    <w:p>
      <w:pPr>
        <w:spacing w:after="0" w:line="116" w:lineRule="exact"/>
        <w:rPr>
          <w:rFonts w:ascii="Times New Roman" w:cs="Times New Roman" w:eastAsia="Times New Roman" w:hAnsi="Times New Roman"/>
          <w:sz w:val="16"/>
          <w:szCs w:val="16"/>
          <w:color w:val="auto"/>
        </w:rPr>
      </w:pPr>
    </w:p>
    <w:p>
      <w:pPr>
        <w:ind w:left="1300" w:right="1320" w:hanging="718"/>
        <w:spacing w:after="0" w:line="282" w:lineRule="auto"/>
        <w:tabs>
          <w:tab w:leader="none" w:pos="128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M&amp;T Bank Corporation.</w:t>
      </w:r>
    </w:p>
    <w:p>
      <w:pPr>
        <w:spacing w:after="0" w:line="2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67703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Daryl N. Bible</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27, 2025</w:t>
      </w:r>
    </w:p>
    <w:p>
      <w:pPr>
        <w:spacing w:after="0" w:line="200" w:lineRule="exact"/>
        <w:rPr>
          <w:sz w:val="20"/>
          <w:szCs w:val="20"/>
          <w:color w:val="auto"/>
        </w:rPr>
      </w:pPr>
    </w:p>
    <w:p>
      <w:pPr>
        <w:spacing w:after="0" w:line="3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40" w:orient="portrait"/>
          <w:cols w:equalWidth="0" w:num="1">
            <w:col w:w="10580"/>
          </w:cols>
          <w:pgMar w:left="660" w:top="1277" w:right="660" w:bottom="1440" w:gutter="0" w:footer="0" w:header="0"/>
        </w:sectPr>
      </w:pPr>
    </w:p>
    <w:bookmarkStart w:id="91" w:name="page92"/>
    <w:bookmarkEnd w:id="9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lowerLetter"/>
      <w:start w:val="1"/>
    </w:lvl>
  </w:abstractNum>
  <w:abstractNum w:abstractNumId="1">
    <w:nsid w:val="4516DDE9"/>
    <w:multiLevelType w:val="hybridMultilevel"/>
    <w:lvl w:ilvl="0">
      <w:lvlJc w:val="left"/>
      <w:lvlText w:val="(%1)"/>
      <w:numFmt w:val="lowerLetter"/>
      <w:start w:val="1"/>
    </w:lvl>
  </w:abstractNum>
  <w:abstractNum w:abstractNumId="2">
    <w:nsid w:val="3006C83E"/>
    <w:multiLevelType w:val="hybridMultilevel"/>
    <w:lvl w:ilvl="0">
      <w:lvlJc w:val="left"/>
      <w:lvlText w:val="(%1)"/>
      <w:numFmt w:val="lowerLetter"/>
      <w:start w:val="1"/>
    </w:lvl>
  </w:abstractNum>
  <w:abstractNum w:abstractNumId="3">
    <w:nsid w:val="614FD4A1"/>
    <w:multiLevelType w:val="hybridMultilevel"/>
    <w:lvl w:ilvl="0">
      <w:lvlJc w:val="left"/>
      <w:lvlText w:val="(%1)"/>
      <w:numFmt w:val="lowerLetter"/>
      <w:start w:val="1"/>
    </w:lvl>
  </w:abstractNum>
  <w:abstractNum w:abstractNumId="4">
    <w:nsid w:val="419AC241"/>
    <w:multiLevelType w:val="hybridMultilevel"/>
    <w:lvl w:ilvl="0">
      <w:lvlJc w:val="left"/>
      <w:lvlText w:val="(%1)"/>
      <w:numFmt w:val="lowerLetter"/>
      <w:start w:val="1"/>
    </w:lvl>
    <w:lvl w:ilvl="1">
      <w:lvlJc w:val="left"/>
      <w:lvlText w:val="-"/>
      <w:numFmt w:val="bullet"/>
      <w:start w:val="1"/>
    </w:lvl>
  </w:abstractNum>
  <w:abstractNum w:abstractNumId="5">
    <w:nsid w:val="5577F8E1"/>
    <w:multiLevelType w:val="hybridMultilevel"/>
    <w:lvl w:ilvl="0">
      <w:lvlJc w:val="left"/>
      <w:lvlText w:val="(%1)"/>
      <w:numFmt w:val="lowerLetter"/>
      <w:start w:val="1"/>
    </w:lvl>
  </w:abstractNum>
  <w:abstractNum w:abstractNumId="6">
    <w:nsid w:val="440BADFC"/>
    <w:multiLevelType w:val="hybridMultilevel"/>
    <w:lvl w:ilvl="0">
      <w:lvlJc w:val="left"/>
      <w:lvlText w:val="(%1)"/>
      <w:numFmt w:val="lowerLetter"/>
      <w:start w:val="1"/>
    </w:lvl>
    <w:lvl w:ilvl="1">
      <w:lvlJc w:val="left"/>
      <w:lvlText w:val="-"/>
      <w:numFmt w:val="bullet"/>
      <w:start w:val="1"/>
    </w:lvl>
  </w:abstractNum>
  <w:abstractNum w:abstractNumId="7">
    <w:nsid w:val="5072367"/>
    <w:multiLevelType w:val="hybridMultilevel"/>
    <w:lvl w:ilvl="0">
      <w:lvlJc w:val="left"/>
      <w:lvlText w:val="(%1)"/>
      <w:numFmt w:val="lowerLetter"/>
      <w:start w:val="1"/>
    </w:lvl>
    <w:lvl w:ilvl="1">
      <w:lvlJc w:val="left"/>
      <w:lvlText w:val="-"/>
      <w:numFmt w:val="bullet"/>
      <w:start w:val="1"/>
    </w:lvl>
  </w:abstractNum>
  <w:abstractNum w:abstractNumId="8">
    <w:nsid w:val="3804823E"/>
    <w:multiLevelType w:val="hybridMultilevel"/>
    <w:lvl w:ilvl="0">
      <w:lvlJc w:val="left"/>
      <w:lvlText w:val="(%1)"/>
      <w:numFmt w:val="lowerLetter"/>
      <w:start w:val="1"/>
    </w:lvl>
  </w:abstractNum>
  <w:abstractNum w:abstractNumId="9">
    <w:nsid w:val="77465F01"/>
    <w:multiLevelType w:val="hybridMultilevel"/>
    <w:lvl w:ilvl="0">
      <w:lvlJc w:val="left"/>
      <w:lvlText w:val="(%1)"/>
      <w:numFmt w:val="lowerLetter"/>
      <w:start w:val="1"/>
    </w:lvl>
    <w:lvl w:ilvl="1">
      <w:lvlJc w:val="left"/>
      <w:lvlText w:val="-"/>
      <w:numFmt w:val="bullet"/>
      <w:start w:val="1"/>
    </w:lvl>
  </w:abstractNum>
  <w:abstractNum w:abstractNumId="10">
    <w:nsid w:val="7724C67E"/>
    <w:multiLevelType w:val="hybridMultilevel"/>
    <w:lvl w:ilvl="0">
      <w:lvlJc w:val="left"/>
      <w:lvlText w:val="(%1)"/>
      <w:numFmt w:val="lowerLetter"/>
      <w:start w:val="1"/>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lowerLetter"/>
      <w:start w:val="1"/>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lowerLetter"/>
      <w:start w:val="1"/>
    </w:lvl>
    <w:lvl w:ilvl="1">
      <w:lvlJc w:val="left"/>
      <w:lvlText w:val="-"/>
      <w:numFmt w:val="bullet"/>
      <w:start w:val="1"/>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1)"/>
      <w:numFmt w:val="lowerLetter"/>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1)"/>
      <w:numFmt w:val="lowerLetter"/>
      <w:start w:val="1"/>
    </w:lvl>
    <w:lvl w:ilvl="1">
      <w:lvlJc w:val="left"/>
      <w:lvlText w:val="-"/>
      <w:numFmt w:val="bullet"/>
      <w:start w:val="1"/>
    </w:lvl>
  </w:abstractNum>
  <w:abstractNum w:abstractNumId="19">
    <w:nsid w:val="70A64E2A"/>
    <w:multiLevelType w:val="hybridMultilevel"/>
    <w:lvl w:ilvl="0">
      <w:lvlJc w:val="left"/>
      <w:lvlText w:val="(%1)"/>
      <w:numFmt w:val="lowerLetter"/>
      <w:start w:val="1"/>
    </w:lvl>
  </w:abstractNum>
  <w:abstractNum w:abstractNumId="20">
    <w:nsid w:val="6A2342EC"/>
    <w:multiLevelType w:val="hybridMultilevel"/>
    <w:lvl w:ilvl="0">
      <w:lvlJc w:val="left"/>
      <w:lvlText w:val="(%1)"/>
      <w:numFmt w:val="lowerLetter"/>
      <w:start w:val="1"/>
    </w:lvl>
  </w:abstractNum>
  <w:abstractNum w:abstractNumId="21">
    <w:nsid w:val="2A487CB0"/>
    <w:multiLevelType w:val="hybridMultilevel"/>
    <w:lvl w:ilvl="0">
      <w:lvlJc w:val="left"/>
      <w:lvlText w:val="•"/>
      <w:numFmt w:val="bullet"/>
      <w:start w:val="1"/>
    </w:lvl>
    <w:lvl w:ilvl="1">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lowerLetter"/>
      <w:start w:val="1"/>
    </w:lvl>
  </w:abstractNum>
  <w:abstractNum w:abstractNumId="24">
    <w:nsid w:val="2CD89A32"/>
    <w:multiLevelType w:val="hybridMultilevel"/>
    <w:lvl w:ilvl="0">
      <w:lvlJc w:val="left"/>
      <w:lvlText w:val="(%1)"/>
      <w:numFmt w:val="lowerLetter"/>
      <w:start w:val="1"/>
    </w:lvl>
    <w:lvl w:ilvl="1">
      <w:lvlJc w:val="left"/>
      <w:lvlText w:val="-"/>
      <w:numFmt w:val="bullet"/>
      <w:start w:val="1"/>
    </w:lvl>
  </w:abstractNum>
  <w:abstractNum w:abstractNumId="25">
    <w:nsid w:val="57E4CCAF"/>
    <w:multiLevelType w:val="hybridMultilevel"/>
    <w:lvl w:ilvl="0">
      <w:lvlJc w:val="left"/>
      <w:lvlText w:val="(%1)"/>
      <w:numFmt w:val="lowerLetter"/>
      <w:start w:val="1"/>
    </w:lvl>
    <w:lvl w:ilvl="1">
      <w:lvlJc w:val="left"/>
      <w:lvlText w:val="-"/>
      <w:numFmt w:val="bullet"/>
      <w:start w:val="1"/>
    </w:lvl>
  </w:abstractNum>
  <w:abstractNum w:abstractNumId="26">
    <w:nsid w:val="7A6D8D3C"/>
    <w:multiLevelType w:val="hybridMultilevel"/>
    <w:lvl w:ilvl="0">
      <w:lvlJc w:val="left"/>
      <w:lvlText w:val="(%1)"/>
      <w:numFmt w:val="lowerLetter"/>
      <w:start w:val="1"/>
    </w:lvl>
  </w:abstractNum>
  <w:abstractNum w:abstractNumId="27">
    <w:nsid w:val="4B588F54"/>
    <w:multiLevelType w:val="hybridMultilevel"/>
    <w:lvl w:ilvl="0">
      <w:lvlJc w:val="left"/>
      <w:lvlText w:val="•"/>
      <w:numFmt w:val="bullet"/>
      <w:start w:val="1"/>
    </w:lvl>
    <w:lvl w:ilvl="1">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lowerLetter"/>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1)"/>
      <w:numFmt w:val="lowerLetter"/>
      <w:start w:val="1"/>
    </w:lvl>
    <w:lvl w:ilvl="1">
      <w:lvlJc w:val="left"/>
      <w:lvlText w:val="-"/>
      <w:numFmt w:val="bullet"/>
      <w:start w:val="1"/>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1)"/>
      <w:numFmt w:val="lowerLetter"/>
      <w:start w:val="2"/>
    </w:lvl>
  </w:abstractNum>
  <w:abstractNum w:abstractNumId="38">
    <w:nsid w:val="79A1DEAA"/>
    <w:multiLevelType w:val="hybridMultilevel"/>
    <w:lvl w:ilvl="0">
      <w:lvlJc w:val="left"/>
      <w:lvlText w:val="(%1)"/>
      <w:numFmt w:val="lowerLetter"/>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1"/>
    </w:lvl>
  </w:abstractNum>
  <w:abstractNum w:abstractNumId="41">
    <w:nsid w:val="70C6A529"/>
    <w:multiLevelType w:val="hybridMultilevel"/>
    <w:lvl w:ilvl="0">
      <w:lvlJc w:val="left"/>
      <w:lvlText w:val="(%1)"/>
      <w:numFmt w:val="lowerLetter"/>
      <w:start w:val="1"/>
    </w:lvl>
    <w:lvl w:ilvl="1">
      <w:lvlJc w:val="left"/>
      <w:lvlText w:val="-"/>
      <w:numFmt w:val="bullet"/>
      <w:start w:val="1"/>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
      <w:numFmt w:val="bullet"/>
      <w:start w:val="1"/>
    </w:lvl>
    <w:lvl w:ilvl="1">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lvl w:ilvl="1">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lvl w:ilvl="1">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lvl w:ilvl="1">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lowerLetter"/>
      <w:start w:val="1"/>
    </w:lvl>
    <w:lvl w:ilvl="1">
      <w:lvlJc w:val="left"/>
      <w:lvlText w:val="-"/>
      <w:numFmt w:val="bullet"/>
      <w:start w:val="1"/>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lowerLetter"/>
      <w:start w:val="3"/>
    </w:lvl>
  </w:abstractNum>
  <w:abstractNum w:abstractNumId="59">
    <w:nsid w:val="61574095"/>
    <w:multiLevelType w:val="hybridMultilevel"/>
    <w:lvl w:ilvl="0">
      <w:lvlJc w:val="left"/>
      <w:lvlText w:val="%1"/>
      <w:numFmt w:val="decimal"/>
      <w:start w:val="104"/>
    </w:lvl>
    <w:lvl w:ilvl="1">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2025-10-27T16:14:44Z</dcterms:created>
  <dcterms:modified xsi:type="dcterms:W3CDTF">2025-10-27T16:14:44Z</dcterms:modified>
</cp:coreProperties>
</file>