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182880</wp:posOffset>
            </wp:positionV>
            <wp:extent cx="7246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200025</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98425</wp:posOffset>
            </wp:positionV>
            <wp:extent cx="14560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130175</wp:posOffset>
            </wp:positionV>
            <wp:extent cx="14560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8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2019</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5"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107315</wp:posOffset>
            </wp:positionV>
            <wp:extent cx="1456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M&amp;T BANK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94615</wp:posOffset>
            </wp:positionV>
            <wp:extent cx="1456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69" w:lineRule="exact"/>
        <w:rPr>
          <w:sz w:val="24"/>
          <w:szCs w:val="24"/>
          <w:color w:val="auto"/>
        </w:rPr>
      </w:pPr>
    </w:p>
    <w:tbl>
      <w:tblPr>
        <w:tblLayout w:type="fixed"/>
        <w:tblInd w:w="1100" w:type="dxa"/>
        <w:tblCellMar>
          <w:top w:w="0" w:type="dxa"/>
          <w:left w:w="0" w:type="dxa"/>
          <w:bottom w:w="0" w:type="dxa"/>
          <w:right w:w="0" w:type="dxa"/>
        </w:tblCellMar>
      </w:tblPr>
      <w:tr>
        <w:trPr>
          <w:trHeight w:val="213"/>
        </w:trPr>
        <w:tc>
          <w:tcPr>
            <w:tcW w:w="270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90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16-0968385</w:t>
            </w:r>
          </w:p>
        </w:tc>
      </w:tr>
      <w:tr>
        <w:trPr>
          <w:trHeight w:val="148"/>
        </w:trPr>
        <w:tc>
          <w:tcPr>
            <w:tcW w:w="270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900" w:type="dxa"/>
            <w:vAlign w:val="bottom"/>
          </w:tcPr>
          <w:p>
            <w:pPr>
              <w:jc w:val="center"/>
              <w:ind w:left="47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900" w:type="dxa"/>
            <w:vAlign w:val="bottom"/>
          </w:tcPr>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70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9"/>
              </w:rPr>
              <w:t>One M &amp; T Plaza</w:t>
            </w:r>
          </w:p>
        </w:tc>
        <w:tc>
          <w:tcPr>
            <w:tcW w:w="5900" w:type="dxa"/>
            <w:vAlign w:val="bottom"/>
          </w:tcPr>
          <w:p>
            <w:pPr>
              <w:spacing w:after="0"/>
              <w:rPr>
                <w:sz w:val="24"/>
                <w:szCs w:val="24"/>
                <w:color w:val="auto"/>
              </w:rPr>
            </w:pPr>
          </w:p>
        </w:tc>
      </w:tr>
      <w:tr>
        <w:trPr>
          <w:trHeight w:val="213"/>
        </w:trPr>
        <w:tc>
          <w:tcPr>
            <w:tcW w:w="270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8"/>
              </w:rPr>
              <w:t>Buffalo, New York</w:t>
            </w:r>
          </w:p>
        </w:tc>
        <w:tc>
          <w:tcPr>
            <w:tcW w:w="590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14203</w:t>
            </w:r>
          </w:p>
        </w:tc>
      </w:tr>
      <w:tr>
        <w:trPr>
          <w:trHeight w:val="190"/>
        </w:trPr>
        <w:tc>
          <w:tcPr>
            <w:tcW w:w="27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900" w:type="dxa"/>
            <w:vAlign w:val="bottom"/>
          </w:tcPr>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56"/>
        </w:trPr>
        <w:tc>
          <w:tcPr>
            <w:tcW w:w="2700" w:type="dxa"/>
            <w:vAlign w:val="bottom"/>
          </w:tcPr>
          <w:p>
            <w:pPr>
              <w:spacing w:after="0"/>
              <w:rPr>
                <w:sz w:val="22"/>
                <w:szCs w:val="22"/>
                <w:color w:val="auto"/>
              </w:rPr>
            </w:pPr>
          </w:p>
        </w:tc>
        <w:tc>
          <w:tcPr>
            <w:tcW w:w="5900" w:type="dxa"/>
            <w:vAlign w:val="bottom"/>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53"/>
        </w:trPr>
        <w:tc>
          <w:tcPr>
            <w:tcW w:w="2700" w:type="dxa"/>
            <w:vAlign w:val="bottom"/>
          </w:tcPr>
          <w:p>
            <w:pPr>
              <w:spacing w:after="0"/>
              <w:rPr>
                <w:sz w:val="21"/>
                <w:szCs w:val="21"/>
                <w:color w:val="auto"/>
              </w:rPr>
            </w:pPr>
          </w:p>
        </w:tc>
        <w:tc>
          <w:tcPr>
            <w:tcW w:w="5900" w:type="dxa"/>
            <w:vAlign w:val="bottom"/>
          </w:tcPr>
          <w:p>
            <w:pPr>
              <w:jc w:val="right"/>
              <w:ind w:right="3340"/>
              <w:spacing w:after="0"/>
              <w:rPr>
                <w:sz w:val="20"/>
                <w:szCs w:val="20"/>
                <w:color w:val="auto"/>
              </w:rPr>
            </w:pPr>
            <w:r>
              <w:rPr>
                <w:rFonts w:ascii="Times New Roman" w:cs="Times New Roman" w:eastAsia="Times New Roman" w:hAnsi="Times New Roman"/>
                <w:sz w:val="18"/>
                <w:szCs w:val="18"/>
                <w:b w:val="1"/>
                <w:bCs w:val="1"/>
                <w:color w:val="auto"/>
              </w:rPr>
              <w:t>(716) 635-4000</w:t>
            </w:r>
          </w:p>
        </w:tc>
      </w:tr>
    </w:tbl>
    <w:p>
      <w:pPr>
        <w:spacing w:after="0" w:line="29" w:lineRule="exact"/>
        <w:rPr>
          <w:sz w:val="24"/>
          <w:szCs w:val="24"/>
          <w:color w:val="auto"/>
        </w:rPr>
      </w:pPr>
    </w:p>
    <w:p>
      <w:pPr>
        <w:sectPr>
          <w:pgSz w:w="11900" w:h="16838" w:orient="portrait"/>
          <w:cols w:equalWidth="0" w:num="1">
            <w:col w:w="11420"/>
          </w:cols>
          <w:pgMar w:left="240" w:top="371" w:right="239" w:bottom="1440" w:gutter="0" w:footer="0" w:header="0"/>
        </w:sectPr>
      </w:pPr>
    </w:p>
    <w:p>
      <w:pPr>
        <w:spacing w:after="0" w:line="256"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u w:val="single" w:color="auto"/>
          <w:color w:val="auto"/>
        </w:rPr>
        <w:t>Title of Each Class</w:t>
      </w:r>
    </w:p>
    <w:p>
      <w:pPr>
        <w:jc w:val="center"/>
        <w:ind w:left="500"/>
        <w:spacing w:after="0" w:line="229" w:lineRule="auto"/>
        <w:rPr>
          <w:sz w:val="20"/>
          <w:szCs w:val="20"/>
          <w:color w:val="auto"/>
        </w:rPr>
      </w:pPr>
      <w:r>
        <w:rPr>
          <w:rFonts w:ascii="Times New Roman" w:cs="Times New Roman" w:eastAsia="Times New Roman" w:hAnsi="Times New Roman"/>
          <w:sz w:val="14"/>
          <w:szCs w:val="14"/>
          <w:color w:val="auto"/>
        </w:rPr>
        <w:t>Common Stock, $.50 par value</w:t>
      </w:r>
    </w:p>
    <w:p>
      <w:pPr>
        <w:jc w:val="center"/>
        <w:ind w:left="500"/>
        <w:spacing w:after="0" w:line="230" w:lineRule="auto"/>
        <w:rPr>
          <w:sz w:val="20"/>
          <w:szCs w:val="20"/>
          <w:color w:val="auto"/>
        </w:rPr>
      </w:pPr>
      <w:r>
        <w:rPr>
          <w:rFonts w:ascii="Times New Roman" w:cs="Times New Roman" w:eastAsia="Times New Roman" w:hAnsi="Times New Roman"/>
          <w:sz w:val="14"/>
          <w:szCs w:val="14"/>
          <w:color w:val="auto"/>
        </w:rPr>
        <w:t>6.375% Cumulative Perpetual Preferred Stock, Series A, $1,000 liquidation preference per share 6.375% Cumulative Perpetual Preferred Stock, Series C, $1,000 liquidation preference per 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2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6"/>
        </w:trPr>
        <w:tc>
          <w:tcPr>
            <w:tcW w:w="1240" w:type="dxa"/>
            <w:vAlign w:val="bottom"/>
          </w:tcPr>
          <w:p>
            <w:pPr>
              <w:spacing w:after="0"/>
              <w:rPr>
                <w:sz w:val="19"/>
                <w:szCs w:val="19"/>
                <w:color w:val="auto"/>
              </w:rPr>
            </w:pPr>
          </w:p>
        </w:tc>
        <w:tc>
          <w:tcPr>
            <w:tcW w:w="2980" w:type="dxa"/>
            <w:vAlign w:val="bottom"/>
            <w:gridSpan w:val="2"/>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124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MTB</w:t>
            </w:r>
          </w:p>
        </w:tc>
        <w:tc>
          <w:tcPr>
            <w:tcW w:w="1920" w:type="dxa"/>
            <w:vAlign w:val="bottom"/>
          </w:tcPr>
          <w:p>
            <w:pPr>
              <w:spacing w:after="0"/>
              <w:rPr>
                <w:sz w:val="15"/>
                <w:szCs w:val="15"/>
                <w:color w:val="auto"/>
              </w:rPr>
            </w:pPr>
          </w:p>
        </w:tc>
        <w:tc>
          <w:tcPr>
            <w:tcW w:w="28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New York Stock Exchange</w:t>
            </w:r>
          </w:p>
        </w:tc>
        <w:tc>
          <w:tcPr>
            <w:tcW w:w="20" w:type="dxa"/>
            <w:vAlign w:val="bottom"/>
          </w:tcPr>
          <w:p>
            <w:pPr>
              <w:spacing w:after="0"/>
              <w:rPr>
                <w:sz w:val="15"/>
                <w:szCs w:val="15"/>
                <w:color w:val="auto"/>
              </w:rPr>
            </w:pPr>
          </w:p>
        </w:tc>
      </w:tr>
      <w:tr>
        <w:trPr>
          <w:trHeight w:val="193"/>
        </w:trPr>
        <w:tc>
          <w:tcPr>
            <w:tcW w:w="1240" w:type="dxa"/>
            <w:vAlign w:val="bottom"/>
          </w:tcPr>
          <w:p>
            <w:pPr>
              <w:spacing w:after="0"/>
              <w:rPr>
                <w:sz w:val="16"/>
                <w:szCs w:val="16"/>
                <w:color w:val="auto"/>
              </w:rPr>
            </w:pPr>
          </w:p>
        </w:tc>
        <w:tc>
          <w:tcPr>
            <w:tcW w:w="2980" w:type="dxa"/>
            <w:vAlign w:val="bottom"/>
            <w:gridSpan w:val="2"/>
          </w:tcPr>
          <w:p>
            <w:pPr>
              <w:jc w:val="center"/>
              <w:ind w:right="1940"/>
              <w:spacing w:after="0"/>
              <w:rPr>
                <w:sz w:val="20"/>
                <w:szCs w:val="20"/>
                <w:color w:val="auto"/>
              </w:rPr>
            </w:pPr>
            <w:r>
              <w:rPr>
                <w:rFonts w:ascii="Times New Roman" w:cs="Times New Roman" w:eastAsia="Times New Roman" w:hAnsi="Times New Roman"/>
                <w:sz w:val="14"/>
                <w:szCs w:val="14"/>
                <w:color w:val="auto"/>
              </w:rPr>
              <w:t>MTBPr</w:t>
            </w:r>
          </w:p>
        </w:tc>
        <w:tc>
          <w:tcPr>
            <w:tcW w:w="2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97"/>
        </w:trPr>
        <w:tc>
          <w:tcPr>
            <w:tcW w:w="1240" w:type="dxa"/>
            <w:vAlign w:val="bottom"/>
          </w:tcPr>
          <w:p>
            <w:pPr>
              <w:spacing w:after="0"/>
              <w:rPr>
                <w:sz w:val="24"/>
                <w:szCs w:val="24"/>
                <w:color w:val="auto"/>
              </w:rPr>
            </w:pPr>
          </w:p>
        </w:tc>
        <w:tc>
          <w:tcPr>
            <w:tcW w:w="2980" w:type="dxa"/>
            <w:vAlign w:val="bottom"/>
            <w:gridSpan w:val="2"/>
          </w:tcPr>
          <w:p>
            <w:pPr>
              <w:jc w:val="center"/>
              <w:ind w:right="1920"/>
              <w:spacing w:after="0"/>
              <w:rPr>
                <w:sz w:val="20"/>
                <w:szCs w:val="20"/>
                <w:color w:val="auto"/>
              </w:rPr>
            </w:pPr>
            <w:r>
              <w:rPr>
                <w:rFonts w:ascii="Times New Roman" w:cs="Times New Roman" w:eastAsia="Times New Roman" w:hAnsi="Times New Roman"/>
                <w:sz w:val="14"/>
                <w:szCs w:val="14"/>
                <w:color w:val="auto"/>
              </w:rPr>
              <w:t>MTBPrC</w:t>
            </w:r>
          </w:p>
        </w:tc>
        <w:tc>
          <w:tcPr>
            <w:tcW w:w="2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385445</wp:posOffset>
            </wp:positionH>
            <wp:positionV relativeFrom="paragraph">
              <wp:posOffset>151765</wp:posOffset>
            </wp:positionV>
            <wp:extent cx="145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80" w:lineRule="exact"/>
        <w:rPr>
          <w:sz w:val="24"/>
          <w:szCs w:val="24"/>
          <w:color w:val="auto"/>
        </w:rPr>
      </w:pPr>
    </w:p>
    <w:p>
      <w:pPr>
        <w:sectPr>
          <w:pgSz w:w="11900" w:h="16838" w:orient="portrait"/>
          <w:cols w:equalWidth="0" w:num="2">
            <w:col w:w="3320" w:space="640"/>
            <w:col w:w="7460"/>
          </w:cols>
          <w:pgMar w:left="240" w:top="371" w:right="239" w:bottom="1440" w:gutter="0" w:footer="0" w:header="0"/>
          <w:type w:val="continuous"/>
        </w:sectPr>
      </w:pPr>
    </w:p>
    <w:p>
      <w:pPr>
        <w:spacing w:after="0" w:line="57"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8"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4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6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161" w:lineRule="exact"/>
        <w:tabs>
          <w:tab w:leader="none" w:pos="67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the registrant's Common Stock, $0.50 par value, outstanding as of the close of business on July 31, 2019: 133,666,679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336550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13"/>
          </w:tcPr>
          <w:p>
            <w:pPr>
              <w:jc w:val="center"/>
              <w:ind w:right="4200"/>
              <w:spacing w:after="0"/>
              <w:rPr>
                <w:sz w:val="20"/>
                <w:szCs w:val="20"/>
                <w:color w:val="auto"/>
              </w:rPr>
            </w:pPr>
            <w:r>
              <w:rPr>
                <w:rFonts w:ascii="Times New Roman" w:cs="Times New Roman" w:eastAsia="Times New Roman" w:hAnsi="Times New Roman"/>
                <w:sz w:val="18"/>
                <w:szCs w:val="18"/>
                <w:color w:val="auto"/>
                <w:w w:val="98"/>
              </w:rPr>
              <w:t>M&amp;T BANK CORPORATION</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FORM 10-Q</w:t>
            </w:r>
          </w:p>
        </w:tc>
        <w:tc>
          <w:tcPr>
            <w:tcW w:w="660" w:type="dxa"/>
            <w:vAlign w:val="bottom"/>
            <w:tcBorders>
              <w:top w:val="single" w:sz="8" w:color="auto"/>
            </w:tcBorders>
          </w:tcPr>
          <w:p>
            <w:pPr>
              <w:spacing w:after="0"/>
              <w:rPr>
                <w:sz w:val="24"/>
                <w:szCs w:val="24"/>
                <w:color w:val="auto"/>
              </w:rPr>
            </w:pPr>
          </w:p>
        </w:tc>
        <w:tc>
          <w:tcPr>
            <w:tcW w:w="420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40" w:type="dxa"/>
            <w:vAlign w:val="bottom"/>
            <w:gridSpan w:val="16"/>
          </w:tcPr>
          <w:p>
            <w:pPr>
              <w:jc w:val="center"/>
              <w:ind w:right="3400"/>
              <w:spacing w:after="0"/>
              <w:rPr>
                <w:sz w:val="20"/>
                <w:szCs w:val="20"/>
                <w:color w:val="auto"/>
              </w:rPr>
            </w:pPr>
            <w:r>
              <w:rPr>
                <w:rFonts w:ascii="Times New Roman" w:cs="Times New Roman" w:eastAsia="Times New Roman" w:hAnsi="Times New Roman"/>
                <w:sz w:val="18"/>
                <w:szCs w:val="18"/>
                <w:color w:val="auto"/>
                <w:w w:val="99"/>
              </w:rPr>
              <w:t>For the Quarterly Period Ended June 30, 2019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Table of Contents of Information Required in Report</w:t>
            </w:r>
          </w:p>
        </w:tc>
        <w:tc>
          <w:tcPr>
            <w:tcW w:w="3320" w:type="dxa"/>
            <w:vAlign w:val="bottom"/>
            <w:tcBorders>
              <w:top w:val="single" w:sz="8" w:color="auto"/>
            </w:tcBorders>
            <w:gridSpan w:val="9"/>
          </w:tcPr>
          <w:p>
            <w:pPr>
              <w:spacing w:after="0"/>
              <w:rPr>
                <w:sz w:val="24"/>
                <w:szCs w:val="24"/>
                <w:color w:val="auto"/>
              </w:rPr>
            </w:pPr>
          </w:p>
        </w:tc>
        <w:tc>
          <w:tcPr>
            <w:tcW w:w="36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0"/>
        </w:trPr>
        <w:tc>
          <w:tcPr>
            <w:tcW w:w="3800" w:type="dxa"/>
            <w:vAlign w:val="bottom"/>
            <w:tcBorders>
              <w:top w:val="single" w:sz="8" w:color="auto"/>
              <w:bottom w:val="single" w:sz="8" w:color="auto"/>
            </w:tcBorders>
            <w:gridSpan w:val="14"/>
            <w:vMerge w:val="restart"/>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FINANCIAL INFORMATION</w:t>
              </w:r>
            </w:hyperlink>
          </w:p>
        </w:tc>
        <w:tc>
          <w:tcPr>
            <w:tcW w:w="7240" w:type="dxa"/>
            <w:vAlign w:val="bottom"/>
            <w:gridSpan w:val="16"/>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800" w:type="dxa"/>
            <w:vAlign w:val="bottom"/>
            <w:gridSpan w:val="14"/>
            <w:vMerge w:val="continue"/>
          </w:tcPr>
          <w:p>
            <w:pPr>
              <w:spacing w:after="0"/>
              <w:rPr>
                <w:sz w:val="24"/>
                <w:szCs w:val="24"/>
                <w:color w:val="auto"/>
              </w:rPr>
            </w:pPr>
          </w:p>
        </w:tc>
        <w:tc>
          <w:tcPr>
            <w:tcW w:w="7240" w:type="dxa"/>
            <w:vAlign w:val="bottom"/>
            <w:gridSpan w:val="16"/>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w:t>
              </w:r>
            </w:hyperlink>
          </w:p>
        </w:tc>
        <w:tc>
          <w:tcPr>
            <w:tcW w:w="8200" w:type="dxa"/>
            <w:vAlign w:val="bottom"/>
            <w:gridSpan w:val="1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 – June 30, 2019 and December 31, 2018</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 OF INCOME –Three and six months ended June 30, 2019 and 2018</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9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 OF COMPREHENSIVE INCOME –Three and six months ended June 30, 2019 and 2018</w:t>
              </w:r>
            </w:hyperlink>
          </w:p>
        </w:tc>
        <w:tc>
          <w:tcPr>
            <w:tcW w:w="80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 OF CASH FLOWS – Six months ended June 30, 2019 and 2018</w:t>
              </w:r>
            </w:hyperlink>
          </w:p>
        </w:tc>
        <w:tc>
          <w:tcPr>
            <w:tcW w:w="262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 OF CHANGES IN SHAREHOLDERS' EQUITY – Three and six months ended June 30, 2019 and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Times New Roman" w:cs="Times New Roman" w:eastAsia="Times New Roman" w:hAnsi="Times New Roman"/>
                <w:sz w:val="18"/>
                <w:szCs w:val="18"/>
                <w:color w:val="0000EE"/>
                <w:w w:val="94"/>
              </w:rPr>
            </w:pPr>
            <w:hyperlink w:anchor="page7">
              <w:r>
                <w:rPr>
                  <w:rFonts w:ascii="Times New Roman" w:cs="Times New Roman" w:eastAsia="Times New Roman" w:hAnsi="Times New Roman"/>
                  <w:sz w:val="18"/>
                  <w:szCs w:val="18"/>
                  <w:color w:val="0000EE"/>
                  <w:w w:val="94"/>
                </w:rPr>
                <w:t>2018</w:t>
              </w:r>
            </w:hyperlink>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FINANCIAL STATEMENTS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648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Quantitative and Qualitative Disclosures About Market Risk.</w:t>
              </w:r>
            </w:hyperlink>
          </w:p>
        </w:tc>
        <w:tc>
          <w:tcPr>
            <w:tcW w:w="328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440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Controls and Procedures.</w:t>
              </w:r>
            </w:hyperlink>
          </w:p>
        </w:tc>
        <w:tc>
          <w:tcPr>
            <w:tcW w:w="536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540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91">
              <w:r>
                <w:rPr>
                  <w:rFonts w:ascii="Times New Roman" w:cs="Times New Roman" w:eastAsia="Times New Roman" w:hAnsi="Times New Roman"/>
                  <w:sz w:val="18"/>
                  <w:szCs w:val="18"/>
                  <w:color w:val="0000EE"/>
                  <w:w w:val="98"/>
                </w:rPr>
                <w:t>Part II. OTHER INFORMATION</w:t>
              </w:r>
            </w:hyperlink>
          </w:p>
        </w:tc>
        <w:tc>
          <w:tcPr>
            <w:tcW w:w="8600" w:type="dxa"/>
            <w:vAlign w:val="bottom"/>
            <w:gridSpan w:val="2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Legal Proceedings.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Risk Factors</w:t>
              </w:r>
            </w:hyperlink>
          </w:p>
        </w:tc>
        <w:tc>
          <w:tcPr>
            <w:tcW w:w="460" w:type="dxa"/>
            <w:vAlign w:val="bottom"/>
            <w:tcBorders>
              <w:top w:val="single" w:sz="8" w:color="0000EE"/>
            </w:tcBorders>
            <w:gridSpan w:val="3"/>
          </w:tcPr>
          <w:p>
            <w:pPr>
              <w:spacing w:after="0"/>
              <w:rPr>
                <w:sz w:val="24"/>
                <w:szCs w:val="24"/>
                <w:color w:val="auto"/>
              </w:rPr>
            </w:pPr>
          </w:p>
        </w:tc>
        <w:tc>
          <w:tcPr>
            <w:tcW w:w="838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Unregistered Sales of Equity Securities and Use of Proceeds</w:t>
              </w:r>
            </w:hyperlink>
          </w:p>
        </w:tc>
        <w:tc>
          <w:tcPr>
            <w:tcW w:w="540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Defaults Upon Senior Securities.</w:t>
              </w:r>
            </w:hyperlink>
          </w:p>
        </w:tc>
        <w:tc>
          <w:tcPr>
            <w:tcW w:w="738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8"/>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Mine Safety Disclosures.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182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Other Information.</w:t>
              </w:r>
            </w:hyperlink>
          </w:p>
        </w:tc>
        <w:tc>
          <w:tcPr>
            <w:tcW w:w="794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13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Exhibits.</w:t>
              </w:r>
            </w:hyperlink>
          </w:p>
        </w:tc>
        <w:tc>
          <w:tcPr>
            <w:tcW w:w="8400" w:type="dxa"/>
            <w:vAlign w:val="bottom"/>
            <w:gridSpan w:val="2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17"/>
        </w:trPr>
        <w:tc>
          <w:tcPr>
            <w:tcW w:w="1280" w:type="dxa"/>
            <w:vAlign w:val="bottom"/>
            <w:gridSpan w:val="2"/>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789"/>
        </w:trPr>
        <w:tc>
          <w:tcPr>
            <w:tcW w:w="1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gridSpan w:val="19"/>
          </w:tcPr>
          <w:p>
            <w:pPr>
              <w:jc w:val="center"/>
              <w:ind w:left="3870"/>
              <w:spacing w:after="0"/>
              <w:rPr>
                <w:sz w:val="20"/>
                <w:szCs w:val="20"/>
                <w:color w:val="auto"/>
              </w:rPr>
            </w:pPr>
            <w:r>
              <w:rPr>
                <w:rFonts w:ascii="Times New Roman" w:cs="Times New Roman" w:eastAsia="Times New Roman" w:hAnsi="Times New Roman"/>
                <w:sz w:val="18"/>
                <w:szCs w:val="18"/>
                <w:color w:val="auto"/>
                <w:w w:val="99"/>
              </w:rPr>
              <w:t>- 2 -</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color w:val="auto"/>
        </w:rPr>
        <w:t>PART I. FINANCIAL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Financial Statements.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BALANCE SHEET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Cash and due from banks</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1,271,611</w:t>
            </w:r>
          </w:p>
        </w:tc>
        <w:tc>
          <w:tcPr>
            <w:tcW w:w="260" w:type="dxa"/>
            <w:vAlign w:val="bottom"/>
          </w:tcPr>
          <w:p>
            <w:pPr>
              <w:spacing w:after="0"/>
              <w:rPr>
                <w:sz w:val="15"/>
                <w:szCs w:val="15"/>
                <w:color w:val="auto"/>
              </w:rPr>
            </w:pPr>
          </w:p>
        </w:tc>
        <w:tc>
          <w:tcPr>
            <w:tcW w:w="38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1,605,439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Interest-bearing deposits at banks</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8,791,753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8,105,197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Trading account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479,403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185,584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02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Investment securities (includes pledged securities that can be sold or repledged of</w:t>
            </w:r>
          </w:p>
        </w:tc>
        <w:tc>
          <w:tcPr>
            <w:tcW w:w="2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$167,935 at June 30, 2019; $487,365 at December 31, 2018)</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020" w:type="dxa"/>
            <w:vAlign w:val="bottom"/>
          </w:tcPr>
          <w:p>
            <w:pPr>
              <w:ind w:left="260"/>
              <w:spacing w:after="0" w:line="158" w:lineRule="exact"/>
              <w:rPr>
                <w:sz w:val="20"/>
                <w:szCs w:val="20"/>
                <w:color w:val="auto"/>
              </w:rPr>
            </w:pPr>
            <w:r>
              <w:rPr>
                <w:rFonts w:ascii="Times New Roman" w:cs="Times New Roman" w:eastAsia="Times New Roman" w:hAnsi="Times New Roman"/>
                <w:sz w:val="15"/>
                <w:szCs w:val="15"/>
                <w:color w:val="auto"/>
              </w:rPr>
              <w:t>Available for sale (cost: $7,359,445 at June 30, 2019;</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$8,869,423 at December 31, 2018)</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7,380,340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8,682,509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020" w:type="dxa"/>
            <w:vAlign w:val="bottom"/>
            <w:shd w:val="clear" w:color="auto" w:fill="CFF0FC"/>
          </w:tcPr>
          <w:p>
            <w:pPr>
              <w:ind w:left="260"/>
              <w:spacing w:after="0" w:line="158" w:lineRule="exact"/>
              <w:rPr>
                <w:sz w:val="20"/>
                <w:szCs w:val="20"/>
                <w:color w:val="auto"/>
              </w:rPr>
            </w:pPr>
            <w:r>
              <w:rPr>
                <w:rFonts w:ascii="Times New Roman" w:cs="Times New Roman" w:eastAsia="Times New Roman" w:hAnsi="Times New Roman"/>
                <w:sz w:val="15"/>
                <w:szCs w:val="15"/>
                <w:color w:val="auto"/>
              </w:rPr>
              <w:t>Held to maturity (fair value: $3,630,158 at June 30, 2019;</w:t>
            </w:r>
          </w:p>
        </w:tc>
        <w:tc>
          <w:tcPr>
            <w:tcW w:w="2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$3,255,483 at December 31, 2018)</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3,604,233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3,316,640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020" w:type="dxa"/>
            <w:vAlign w:val="bottom"/>
          </w:tcPr>
          <w:p>
            <w:pPr>
              <w:ind w:left="260"/>
              <w:spacing w:after="0" w:line="158" w:lineRule="exact"/>
              <w:rPr>
                <w:sz w:val="20"/>
                <w:szCs w:val="20"/>
                <w:color w:val="auto"/>
              </w:rPr>
            </w:pPr>
            <w:r>
              <w:rPr>
                <w:rFonts w:ascii="Times New Roman" w:cs="Times New Roman" w:eastAsia="Times New Roman" w:hAnsi="Times New Roman"/>
                <w:sz w:val="15"/>
                <w:szCs w:val="15"/>
                <w:color w:val="auto"/>
              </w:rPr>
              <w:t>Equity and other securities (cost: $558,440 at June 30, 2019;</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2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5"/>
                <w:szCs w:val="15"/>
                <w:color w:val="auto"/>
              </w:rPr>
              <w:t>$677,187 at December 31, 2018)</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595,676</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693,664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investment securities</w:t>
            </w:r>
          </w:p>
        </w:tc>
        <w:tc>
          <w:tcPr>
            <w:tcW w:w="2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11,580,249</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12,692,813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Loans and leases</w:t>
            </w:r>
          </w:p>
        </w:tc>
        <w:tc>
          <w:tcPr>
            <w:tcW w:w="26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90,142,482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88,733,492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Unearned discount</w:t>
            </w:r>
          </w:p>
        </w:tc>
        <w:tc>
          <w:tcPr>
            <w:tcW w:w="2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(264,424)</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(267,015)</w:t>
            </w:r>
          </w:p>
        </w:tc>
        <w:tc>
          <w:tcPr>
            <w:tcW w:w="0" w:type="dxa"/>
            <w:vAlign w:val="bottom"/>
          </w:tcPr>
          <w:p>
            <w:pPr>
              <w:spacing w:after="0"/>
              <w:rPr>
                <w:sz w:val="1"/>
                <w:szCs w:val="1"/>
                <w:color w:val="auto"/>
              </w:rPr>
            </w:pPr>
          </w:p>
        </w:tc>
      </w:tr>
      <w:tr>
        <w:trPr>
          <w:trHeight w:val="169"/>
        </w:trPr>
        <w:tc>
          <w:tcPr>
            <w:tcW w:w="8020" w:type="dxa"/>
            <w:vAlign w:val="bottom"/>
          </w:tcPr>
          <w:p>
            <w:pPr>
              <w:ind w:left="380"/>
              <w:spacing w:after="0" w:line="169" w:lineRule="exact"/>
              <w:rPr>
                <w:sz w:val="20"/>
                <w:szCs w:val="20"/>
                <w:color w:val="auto"/>
              </w:rPr>
            </w:pPr>
            <w:r>
              <w:rPr>
                <w:rFonts w:ascii="Times New Roman" w:cs="Times New Roman" w:eastAsia="Times New Roman" w:hAnsi="Times New Roman"/>
                <w:sz w:val="15"/>
                <w:szCs w:val="15"/>
                <w:color w:val="auto"/>
              </w:rPr>
              <w:t>Loans and leases, net of unearned discount</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89,878,058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88,466,477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2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(1,029,867)</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(1,019,444)</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FF0FC"/>
            </w:tcBorders>
          </w:tcPr>
          <w:p>
            <w:pPr>
              <w:ind w:left="380"/>
              <w:spacing w:after="0" w:line="169" w:lineRule="exact"/>
              <w:rPr>
                <w:sz w:val="20"/>
                <w:szCs w:val="20"/>
                <w:color w:val="auto"/>
              </w:rPr>
            </w:pPr>
            <w:r>
              <w:rPr>
                <w:rFonts w:ascii="Times New Roman" w:cs="Times New Roman" w:eastAsia="Times New Roman" w:hAnsi="Times New Roman"/>
                <w:sz w:val="15"/>
                <w:szCs w:val="15"/>
                <w:color w:val="auto"/>
              </w:rPr>
              <w:t>Loans and leases, net</w:t>
            </w: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88,848,191</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87,447,033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Premises and equipment</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1,066,511</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647,408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4,593,112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4,593,112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Core deposit and other intangible assets</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38,428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47,067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Accrued interest and other assets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4,885,637</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4,773,750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20" w:type="dxa"/>
            <w:vAlign w:val="bottom"/>
            <w:tcBorders>
              <w:bottom w:val="single" w:sz="8" w:color="CFF0FC"/>
            </w:tcBorders>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assets</w:t>
            </w:r>
          </w:p>
        </w:tc>
        <w:tc>
          <w:tcPr>
            <w:tcW w:w="260" w:type="dxa"/>
            <w:vAlign w:val="bottom"/>
            <w:tcBorders>
              <w:bottom w:val="single" w:sz="8" w:color="auto"/>
            </w:tcBorders>
            <w:shd w:val="clear" w:color="auto" w:fill="CFF0FC"/>
          </w:tcPr>
          <w:p>
            <w:pPr>
              <w:jc w:val="right"/>
              <w:ind w:right="10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121,554,895</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120,097,403</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Noninterest-bearing deposits</w:t>
            </w: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30,747,946</w:t>
            </w:r>
          </w:p>
        </w:tc>
        <w:tc>
          <w:tcPr>
            <w:tcW w:w="26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32,256,668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Savings and interest-checking deposits</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53,221,672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50,963,744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Time deposits</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6,346,551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6,124,254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Deposits at Cayman Islands office</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1,364,855</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811,906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deposits</w:t>
            </w:r>
          </w:p>
        </w:tc>
        <w:tc>
          <w:tcPr>
            <w:tcW w:w="2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91,681,024</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90,156,572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Short-term borrowings</w:t>
            </w:r>
          </w:p>
        </w:tc>
        <w:tc>
          <w:tcPr>
            <w:tcW w:w="26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4,611,390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4,398,378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Accrued interest and other liabilities</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1,915,147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1,637,348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Long-term borrowings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7,655,507</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8,444,914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liabilities</w:t>
            </w:r>
          </w:p>
        </w:tc>
        <w:tc>
          <w:tcPr>
            <w:tcW w:w="2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105,863,068</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104,637,212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5"/>
                <w:szCs w:val="15"/>
                <w:color w:val="auto"/>
              </w:rPr>
              <w:t>Preferred stock, $1.00 par, 1,000,000 shares authorized;</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Issued and outstanding: Liquidation preference of $1,000 per</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share: 731,500 shares at June 30, 2019 and December 31, 2018;</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Liquidation preference of $10,000 per share: 50,000</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shares at June 30, 2019 and December 31, 2018</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1,231,500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1,231,500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02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Common stock, $.50 par, 250,000,000 shares authorized,</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159,741,898 shares issued at June 30, 2019;</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159,765,044 shares issued at December 31, 2018</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79,871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79,883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02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Common stock issuable, 21,327 shares at June 30, 2019;</w:t>
            </w:r>
          </w:p>
        </w:tc>
        <w:tc>
          <w:tcPr>
            <w:tcW w:w="2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24,563 shares at December 31, 2018</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1,526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1,726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6,577,603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6,579,342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Retained earnings</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12,162,278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11,516,672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Accumulated other comprehensive income (loss), net</w:t>
            </w:r>
          </w:p>
        </w:tc>
        <w:tc>
          <w:tcPr>
            <w:tcW w:w="26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(112,958)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(420,081)</w:t>
            </w:r>
          </w:p>
        </w:tc>
        <w:tc>
          <w:tcPr>
            <w:tcW w:w="0" w:type="dxa"/>
            <w:vAlign w:val="bottom"/>
          </w:tcPr>
          <w:p>
            <w:pPr>
              <w:spacing w:after="0"/>
              <w:rPr>
                <w:sz w:val="1"/>
                <w:szCs w:val="1"/>
                <w:color w:val="auto"/>
              </w:rPr>
            </w:pPr>
          </w:p>
        </w:tc>
      </w:tr>
      <w:tr>
        <w:trPr>
          <w:trHeight w:val="158"/>
        </w:trPr>
        <w:tc>
          <w:tcPr>
            <w:tcW w:w="802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Treasury stock — common, at cost — 25,563,347 shares at June 30, 2019;</w:t>
            </w:r>
          </w:p>
        </w:tc>
        <w:tc>
          <w:tcPr>
            <w:tcW w:w="2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21,255,275 shares at December 31, 2018</w:t>
            </w:r>
          </w:p>
        </w:tc>
        <w:tc>
          <w:tcPr>
            <w:tcW w:w="2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(4,247,993)</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(3,528,851)</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shareholders’ equity</w:t>
            </w: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15,691,827</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15,460,191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tcBorders>
              <w:bottom w:val="single" w:sz="8" w:color="CFF0FC"/>
            </w:tcBorders>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liabilities and shareholders’ equity</w:t>
            </w:r>
          </w:p>
        </w:tc>
        <w:tc>
          <w:tcPr>
            <w:tcW w:w="260" w:type="dxa"/>
            <w:vAlign w:val="bottom"/>
            <w:tcBorders>
              <w:bottom w:val="single" w:sz="8" w:color="auto"/>
            </w:tcBorders>
            <w:shd w:val="clear" w:color="auto" w:fill="CFF0FC"/>
          </w:tcPr>
          <w:p>
            <w:pPr>
              <w:jc w:val="right"/>
              <w:ind w:right="10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121,554,895</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120,097,403</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r>
        <w:rPr>
          <w:rFonts w:ascii="Times New Roman" w:cs="Times New Roman" w:eastAsia="Times New Roman" w:hAnsi="Times New Roman"/>
          <w:sz w:val="10"/>
          <w:szCs w:val="10"/>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INCOME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4"/>
                <w:szCs w:val="14"/>
                <w:color w:val="auto"/>
              </w:rPr>
            </w:pPr>
          </w:p>
        </w:tc>
        <w:tc>
          <w:tcPr>
            <w:tcW w:w="22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1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and leases, including fees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1,125,577</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1,024,471</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2,243,490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Fully taxable</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82,019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155,989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Exempt from federal taxes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at banks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interest income</w:t>
            </w:r>
          </w:p>
        </w:tc>
        <w:tc>
          <w:tcPr>
            <w:tcW w:w="1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1,237,913</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1,128,905</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2,464,222</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2,211,055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91,557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48,738</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167,695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66,012</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58,093</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133,591</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interest expense</w:t>
            </w:r>
          </w:p>
        </w:tc>
        <w:tc>
          <w:tcPr>
            <w:tcW w:w="1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196,432</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120,118</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372,681</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1,041,481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1,008,787</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2,091,541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986,481</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973,787</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2,014,541</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 banking revenues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92,499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202,632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210,899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Trust income</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144,382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137,641</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277,168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Brokerage services income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 account and foreign exchange gains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bank investment securities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(7,105)</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1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112,763</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100,280</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247,200</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income</w:t>
            </w:r>
          </w:p>
        </w:tc>
        <w:tc>
          <w:tcPr>
            <w:tcW w:w="1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512,095</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457,414</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1,012,860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916,110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455,737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418,537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954,937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net occupancy</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73,031</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158,497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Outside data processing and software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FDIC assessments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19,560</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Printing, postage and supplies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core deposit and other intangible assets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costs of operations</w:t>
            </w:r>
          </w:p>
        </w:tc>
        <w:tc>
          <w:tcPr>
            <w:tcW w:w="1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233,692</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178,862</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452,500</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expense</w:t>
            </w:r>
          </w:p>
        </w:tc>
        <w:tc>
          <w:tcPr>
            <w:tcW w:w="1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873,032</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776,577</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1,767,380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1,709,921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625,544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654,624</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1,260,021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152,284</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161,464</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304,019</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1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473,260</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493,160</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956,002</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w:t>
            </w: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452,632</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472,598</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914,718</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452,633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914,719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common shares outstanding</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135,433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144,825</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136,654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135,464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144,998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136,685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COMPREHENSIVE INCOME (Unaudited)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r>
      <w:tr>
        <w:trPr>
          <w:trHeight w:val="155"/>
        </w:trPr>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473,260</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493,160</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956,002</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845,770</w:t>
            </w:r>
          </w:p>
        </w:tc>
        <w:tc>
          <w:tcPr>
            <w:tcW w:w="100" w:type="dxa"/>
            <w:vAlign w:val="bottom"/>
            <w:shd w:val="clear" w:color="auto" w:fill="CFF0FC"/>
          </w:tcPr>
          <w:p>
            <w:pPr>
              <w:spacing w:after="0"/>
              <w:rPr>
                <w:sz w:val="19"/>
                <w:szCs w:val="19"/>
                <w:color w:val="auto"/>
              </w:rPr>
            </w:pPr>
          </w:p>
        </w:tc>
      </w:tr>
      <w:tr>
        <w:trPr>
          <w:trHeight w:val="211"/>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and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unrealized gains (losses) on investment securities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69,853</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(36,733)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154,444</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(137,417)</w:t>
            </w:r>
          </w:p>
        </w:tc>
      </w:tr>
      <w:tr>
        <w:trPr>
          <w:trHeight w:val="229"/>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flow hedges adjustments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102,050</w:t>
            </w:r>
          </w:p>
        </w:tc>
        <w:tc>
          <w:tcPr>
            <w:tcW w:w="3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146,971</w:t>
            </w:r>
          </w:p>
        </w:tc>
        <w:tc>
          <w:tcPr>
            <w:tcW w:w="3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(13,011)</w:t>
            </w:r>
          </w:p>
        </w:tc>
      </w:tr>
      <w:tr>
        <w:trPr>
          <w:trHeight w:val="229"/>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(675)</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(2,434)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(1,144)</w:t>
            </w:r>
          </w:p>
        </w:tc>
      </w:tr>
      <w:tr>
        <w:trPr>
          <w:trHeight w:val="229"/>
        </w:trPr>
        <w:tc>
          <w:tcPr>
            <w:tcW w:w="64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plans liability adjustments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3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3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00" w:type="dxa"/>
            <w:vAlign w:val="bottom"/>
            <w:tcBorders>
              <w:bottom w:val="single" w:sz="8" w:color="CFF0FC"/>
            </w:tcBorders>
          </w:tcPr>
          <w:p>
            <w:pPr>
              <w:spacing w:after="0"/>
              <w:rPr>
                <w:sz w:val="19"/>
                <w:szCs w:val="19"/>
                <w:color w:val="auto"/>
              </w:rPr>
            </w:pPr>
          </w:p>
        </w:tc>
      </w:tr>
      <w:tr>
        <w:trPr>
          <w:trHeight w:val="223"/>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175,051</w:t>
            </w:r>
          </w:p>
        </w:tc>
        <w:tc>
          <w:tcPr>
            <w:tcW w:w="3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307,123</w:t>
            </w:r>
          </w:p>
        </w:tc>
        <w:tc>
          <w:tcPr>
            <w:tcW w:w="3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(137,274)</w:t>
            </w:r>
          </w:p>
        </w:tc>
        <w:tc>
          <w:tcPr>
            <w:tcW w:w="100" w:type="dxa"/>
            <w:vAlign w:val="bottom"/>
            <w:shd w:val="clear" w:color="auto" w:fill="CFF0FC"/>
          </w:tcPr>
          <w:p>
            <w:pPr>
              <w:spacing w:after="0"/>
              <w:rPr>
                <w:sz w:val="19"/>
                <w:szCs w:val="19"/>
                <w:color w:val="auto"/>
              </w:rPr>
            </w:pPr>
          </w:p>
        </w:tc>
      </w:tr>
      <w:tr>
        <w:trPr>
          <w:trHeight w:val="223"/>
        </w:trPr>
        <w:tc>
          <w:tcPr>
            <w:tcW w:w="6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648,311</w:t>
            </w:r>
          </w:p>
        </w:tc>
        <w:tc>
          <w:tcPr>
            <w:tcW w:w="3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458,462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1,263,125</w:t>
            </w:r>
          </w:p>
        </w:tc>
        <w:tc>
          <w:tcPr>
            <w:tcW w:w="3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708,496</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CASH FLOWS (Unaudited)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8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5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956,002</w:t>
            </w:r>
          </w:p>
        </w:tc>
        <w:tc>
          <w:tcPr>
            <w:tcW w:w="42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845,770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77,000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Depreciation and amortization of premises and equipment</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101,983</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Amortization of capitalized servicing rights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34,017</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Amortization of core deposit and other intangible assets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10,097</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Provision for deferred income taxes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15,817</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(123,980)</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Asset write-downs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52,324</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gain on sales of assets</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(10,521)</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(8,738)</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change in accrued interest receivable, payable</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5,650</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change in other accrued income and expense</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(144,714)</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change in loans originated for sale</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(218,925)</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(756,003)</w:t>
            </w:r>
          </w:p>
        </w:tc>
        <w:tc>
          <w:tcPr>
            <w:tcW w:w="0" w:type="dxa"/>
            <w:vAlign w:val="bottom"/>
          </w:tcPr>
          <w:p>
            <w:pPr>
              <w:spacing w:after="0"/>
              <w:rPr>
                <w:sz w:val="1"/>
                <w:szCs w:val="1"/>
                <w:color w:val="auto"/>
              </w:rPr>
            </w:pPr>
          </w:p>
        </w:tc>
      </w:tr>
      <w:tr>
        <w:trPr>
          <w:trHeight w:val="162"/>
        </w:trPr>
        <w:tc>
          <w:tcPr>
            <w:tcW w:w="8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change in trading account assets and liabilities</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(398,552)</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40" w:type="dxa"/>
            <w:vAlign w:val="bottom"/>
            <w:tcBorders>
              <w:top w:val="single" w:sz="8" w:color="CFF0FC"/>
            </w:tcBorders>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480,178</w:t>
            </w:r>
          </w:p>
        </w:tc>
        <w:tc>
          <w:tcPr>
            <w:tcW w:w="4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521,242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sales of investment securities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Available for sale</w:t>
            </w:r>
          </w:p>
        </w:tc>
        <w:tc>
          <w:tcPr>
            <w:tcW w:w="24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Equity and other securities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580,489</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505,841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maturities of investment securities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Available for sale</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1,506,273</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950,071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Held to maturity</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213,086</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Available for sale</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(2,694)</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(5,799)</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Held to maturity</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(495,277)</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and other securities</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(461,749)</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(520,040)</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(increase) decrease in loans and leases</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(1,259,545)</w:t>
            </w: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859,071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interest-bearing deposits at banks</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(686,556)</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(1,591,082)</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expenditures, net</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(82,657)</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(37,116)</w:t>
            </w: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Net decrease in loan servicing advances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23,663</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84,108</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(8,708)</w:t>
            </w:r>
          </w:p>
        </w:tc>
        <w:tc>
          <w:tcPr>
            <w:tcW w:w="0" w:type="dxa"/>
            <w:vAlign w:val="bottom"/>
          </w:tcPr>
          <w:p>
            <w:pPr>
              <w:spacing w:after="0"/>
              <w:rPr>
                <w:sz w:val="1"/>
                <w:szCs w:val="1"/>
                <w:color w:val="auto"/>
              </w:rPr>
            </w:pPr>
          </w:p>
        </w:tc>
      </w:tr>
      <w:tr>
        <w:trPr>
          <w:trHeight w:val="155"/>
        </w:trPr>
        <w:tc>
          <w:tcPr>
            <w:tcW w:w="8540" w:type="dxa"/>
            <w:vAlign w:val="bottom"/>
            <w:tcBorders>
              <w:bottom w:val="single" w:sz="8" w:color="CFF0FC"/>
            </w:tcBorders>
          </w:tcPr>
          <w:p>
            <w:pPr>
              <w:ind w:left="260"/>
              <w:spacing w:after="0" w:line="155" w:lineRule="exact"/>
              <w:rPr>
                <w:sz w:val="20"/>
                <w:szCs w:val="20"/>
                <w:color w:val="auto"/>
              </w:rPr>
            </w:pPr>
            <w:r>
              <w:rPr>
                <w:rFonts w:ascii="Times New Roman" w:cs="Times New Roman" w:eastAsia="Times New Roman" w:hAnsi="Times New Roman"/>
                <w:sz w:val="14"/>
                <w:szCs w:val="14"/>
                <w:color w:val="auto"/>
              </w:rPr>
              <w:t>Net cash provided (used) by investing activities</w:t>
            </w: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(580,859)</w:t>
            </w:r>
          </w:p>
        </w:tc>
        <w:tc>
          <w:tcPr>
            <w:tcW w:w="4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662,988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deposits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1,525,777</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(3,157,898)</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increase in short-term borrowings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213,012</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3,064,317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4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999,594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Payments on long-term borrowings</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(876,581)</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(706,370)</w:t>
            </w: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(767,612)</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(1,196,062)</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Dividends paid — common</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(274,037)</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(227,565)</w:t>
            </w: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 — preferred</w:t>
            </w:r>
          </w:p>
        </w:tc>
        <w:tc>
          <w:tcPr>
            <w:tcW w:w="2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(36,260)</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(36,260)</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(17,446)</w:t>
            </w: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40" w:type="dxa"/>
            <w:vAlign w:val="bottom"/>
            <w:tcBorders>
              <w:bottom w:val="single" w:sz="8" w:color="CFF0FC"/>
            </w:tcBorders>
          </w:tcPr>
          <w:p>
            <w:pPr>
              <w:ind w:left="260"/>
              <w:spacing w:after="0" w:line="155" w:lineRule="exact"/>
              <w:rPr>
                <w:sz w:val="20"/>
                <w:szCs w:val="20"/>
                <w:color w:val="auto"/>
              </w:rPr>
            </w:pPr>
            <w:r>
              <w:rPr>
                <w:rFonts w:ascii="Times New Roman" w:cs="Times New Roman" w:eastAsia="Times New Roman" w:hAnsi="Times New Roman"/>
                <w:sz w:val="14"/>
                <w:szCs w:val="14"/>
                <w:color w:val="auto"/>
              </w:rPr>
              <w:t>Net cash used by financing activities</w:t>
            </w: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(233,147)</w:t>
            </w:r>
          </w:p>
        </w:tc>
        <w:tc>
          <w:tcPr>
            <w:tcW w:w="4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(1,236,024)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(333,828)</w:t>
            </w: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(51,794)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1,605,439</w:t>
            </w:r>
          </w:p>
        </w:tc>
        <w:tc>
          <w:tcPr>
            <w:tcW w:w="4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1,420,888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4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40" w:type="dxa"/>
            <w:vAlign w:val="bottom"/>
            <w:tcBorders>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1,271,611</w:t>
            </w:r>
          </w:p>
        </w:tc>
        <w:tc>
          <w:tcPr>
            <w:tcW w:w="4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1,369,094</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received during the period</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2,444,623</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2,210,063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 during the period</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361,179</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taxes paid during the period</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243,404</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175,619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Real estate acquired in settlement of loans</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39,456</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Securitization of residential mortgage loans allocated to</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Available-for-sale investment securities</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Capitalized servicing rights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Adoption of lease accounting standard</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Right-of-use assets</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393,877</w:t>
            </w:r>
          </w:p>
        </w:tc>
        <w:tc>
          <w:tcPr>
            <w:tcW w:w="42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398,810</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Additions to right-of-use assets under operating leases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44,928</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CHANGES IN SHAREHOLDERS’ EQUITY (Unaudited)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thousands, except per share</w:t>
            </w:r>
          </w:p>
        </w:tc>
        <w:tc>
          <w:tcPr>
            <w:tcW w:w="1100" w:type="dxa"/>
            <w:vAlign w:val="bottom"/>
          </w:tcPr>
          <w:p>
            <w:pPr>
              <w:spacing w:after="0"/>
              <w:rPr>
                <w:sz w:val="14"/>
                <w:szCs w:val="14"/>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Issuable</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 Net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Three Months Ended June 30, 2019</w:t>
            </w:r>
          </w:p>
        </w:tc>
        <w:tc>
          <w:tcPr>
            <w:tcW w:w="110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 April 1, 2019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6,568,480</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11,842,371</w:t>
            </w:r>
          </w:p>
        </w:tc>
        <w:tc>
          <w:tcPr>
            <w:tcW w:w="2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(288,009)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(3,848,198)</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$ 15,587,529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473,260</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175,051</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648,311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(18,130)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(18,130)</w:t>
            </w:r>
          </w:p>
        </w:tc>
        <w:tc>
          <w:tcPr>
            <w:tcW w:w="0" w:type="dxa"/>
            <w:vAlign w:val="bottom"/>
          </w:tcPr>
          <w:p>
            <w:pPr>
              <w:spacing w:after="0"/>
              <w:rPr>
                <w:sz w:val="1"/>
                <w:szCs w:val="1"/>
                <w:color w:val="auto"/>
              </w:rPr>
            </w:pPr>
          </w:p>
        </w:tc>
      </w:tr>
      <w:tr>
        <w:trPr>
          <w:trHeight w:val="162"/>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(401,984)</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(401,984)</w:t>
            </w:r>
          </w:p>
        </w:tc>
        <w:tc>
          <w:tcPr>
            <w:tcW w:w="0" w:type="dxa"/>
            <w:vAlign w:val="bottom"/>
          </w:tcPr>
          <w:p>
            <w:pPr>
              <w:spacing w:after="0"/>
              <w:rPr>
                <w:sz w:val="1"/>
                <w:szCs w:val="1"/>
                <w:color w:val="auto"/>
              </w:rPr>
            </w:pPr>
          </w:p>
        </w:tc>
      </w:tr>
      <w:tr>
        <w:trPr>
          <w:trHeight w:val="162"/>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Compensation expense, net</w:t>
            </w:r>
          </w:p>
        </w:tc>
        <w:tc>
          <w:tcPr>
            <w:tcW w:w="1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9,137</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10,735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Directors’ stock plan</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Deferred compensation plans, net,</w:t>
            </w:r>
          </w:p>
        </w:tc>
        <w:tc>
          <w:tcPr>
            <w:tcW w:w="1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including dividend equivalents</w:t>
            </w:r>
          </w:p>
        </w:tc>
        <w:tc>
          <w:tcPr>
            <w:tcW w:w="1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(21)</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Performance share unit dividends</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1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$1.00 per share</w:t>
            </w:r>
          </w:p>
        </w:tc>
        <w:tc>
          <w:tcPr>
            <w:tcW w:w="1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(135,173)</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(135,173)</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Balance — June 30, 2019</w:t>
            </w:r>
          </w:p>
        </w:tc>
        <w:tc>
          <w:tcPr>
            <w:tcW w:w="1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00" w:type="dxa"/>
            <w:vAlign w:val="bottom"/>
            <w:gridSpan w:val="2"/>
            <w:vMerge w:val="continue"/>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6,577,603</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12,162,278</w:t>
            </w:r>
          </w:p>
        </w:tc>
        <w:tc>
          <w:tcPr>
            <w:tcW w:w="2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(112,958)</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(4,247,993)</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$ 15,691,827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0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Six Months Ended June 30, 2019</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January 1, 2019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79,883</w:t>
            </w: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1,726</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6,579,342</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11,516,672</w:t>
            </w: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(420,081)</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(3,528,851)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$ 15,460,191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956,002</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307,123</w:t>
            </w:r>
          </w:p>
        </w:tc>
        <w:tc>
          <w:tcPr>
            <w:tcW w:w="2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1,263,125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(36,260)</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(36,260)</w:t>
            </w:r>
          </w:p>
        </w:tc>
        <w:tc>
          <w:tcPr>
            <w:tcW w:w="0" w:type="dxa"/>
            <w:vAlign w:val="bottom"/>
          </w:tcPr>
          <w:p>
            <w:pPr>
              <w:spacing w:after="0"/>
              <w:rPr>
                <w:sz w:val="1"/>
                <w:szCs w:val="1"/>
                <w:color w:val="auto"/>
              </w:rPr>
            </w:pPr>
          </w:p>
        </w:tc>
      </w:tr>
      <w:tr>
        <w:trPr>
          <w:trHeight w:val="162"/>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(767,612)</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(767,612)</w:t>
            </w:r>
          </w:p>
        </w:tc>
        <w:tc>
          <w:tcPr>
            <w:tcW w:w="0" w:type="dxa"/>
            <w:vAlign w:val="bottom"/>
          </w:tcPr>
          <w:p>
            <w:pPr>
              <w:spacing w:after="0"/>
              <w:rPr>
                <w:sz w:val="1"/>
                <w:szCs w:val="1"/>
                <w:color w:val="auto"/>
              </w:rPr>
            </w:pPr>
          </w:p>
        </w:tc>
      </w:tr>
      <w:tr>
        <w:trPr>
          <w:trHeight w:val="162"/>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1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Compensation expense, net</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(12)</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27,336</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Exercises of stock options, net</w:t>
            </w:r>
          </w:p>
        </w:tc>
        <w:tc>
          <w:tcPr>
            <w:tcW w:w="1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(2,818)</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7,545</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Stock purchase plan</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(67)</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11,899</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Directors’ stock plan</w:t>
            </w:r>
          </w:p>
        </w:tc>
        <w:tc>
          <w:tcPr>
            <w:tcW w:w="1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(116)</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Deferred compensation plans, net,</w:t>
            </w: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including dividend equivalents</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(327)</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2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2"/>
        </w:trPr>
        <w:tc>
          <w:tcPr>
            <w:tcW w:w="3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Performance share unit dividends</w:t>
            </w:r>
          </w:p>
        </w:tc>
        <w:tc>
          <w:tcPr>
            <w:tcW w:w="1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(58)</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$2.00 per share</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(274,035)</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(274,035)</w:t>
            </w: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June 30, 2019</w:t>
            </w:r>
          </w:p>
        </w:tc>
        <w:tc>
          <w:tcPr>
            <w:tcW w:w="1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00" w:type="dxa"/>
            <w:vAlign w:val="bottom"/>
            <w:gridSpan w:val="2"/>
            <w:vMerge w:val="continue"/>
            <w:shd w:val="clear" w:color="auto" w:fill="CFF0FC"/>
          </w:tcPr>
          <w:p>
            <w:pPr>
              <w:spacing w:after="0"/>
              <w:rPr>
                <w:sz w:val="13"/>
                <w:szCs w:val="13"/>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1,526</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6,577,603</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12,162,278</w:t>
            </w:r>
          </w:p>
        </w:tc>
        <w:tc>
          <w:tcPr>
            <w:tcW w:w="2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(112,958)</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(4,247,993)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$ 15,691,827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CHANGES IN SHAREHOLDERS’ EQUITY (Unaudited),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thousands, except per share</w:t>
            </w:r>
          </w:p>
        </w:tc>
        <w:tc>
          <w:tcPr>
            <w:tcW w:w="1140" w:type="dxa"/>
            <w:vAlign w:val="bottom"/>
          </w:tcPr>
          <w:p>
            <w:pPr>
              <w:spacing w:after="0"/>
              <w:rPr>
                <w:sz w:val="14"/>
                <w:szCs w:val="14"/>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Issuable</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 Net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Three Months Ended June 30, 2018</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April 1, 2018</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79,884</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1,675</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6,572,281</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10,404,458</w:t>
            </w:r>
          </w:p>
        </w:tc>
        <w:tc>
          <w:tcPr>
            <w:tcW w:w="120" w:type="dxa"/>
            <w:vAlign w:val="bottom"/>
            <w:shd w:val="clear" w:color="auto" w:fill="CFF0FC"/>
          </w:tcPr>
          <w:p>
            <w:pPr>
              <w:spacing w:after="0"/>
              <w:rPr>
                <w:sz w:val="14"/>
                <w:szCs w:val="14"/>
                <w:color w:val="auto"/>
              </w:rPr>
            </w:pPr>
          </w:p>
        </w:tc>
        <w:tc>
          <w:tcPr>
            <w:tcW w:w="11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(483,243)</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(2,096,861)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$ 15,709,694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493,160</w:t>
            </w:r>
          </w:p>
        </w:tc>
        <w:tc>
          <w:tcPr>
            <w:tcW w:w="12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(34,698)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458,462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(18,130)</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(18,130)</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Exercise of 17,252 Series A stock</w:t>
            </w: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3"/>
                <w:szCs w:val="13"/>
                <w:color w:val="auto"/>
              </w:rPr>
              <w:t>warrants into 10,115 shares of</w:t>
            </w: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(1,668)</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(475,096)</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(475,096)</w:t>
            </w: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Compensation expense, net</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9,168</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Exercises of stock options, net</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(457)</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9,028</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Directors’ stock plan</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Deferred compensation plans, net,</w:t>
            </w: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including dividend equivalents</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w:t>
            </w:r>
          </w:p>
        </w:tc>
        <w:tc>
          <w:tcPr>
            <w:tcW w:w="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1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$.80 per share</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(115,831)</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(115,831)</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Balance — June 30, 2018</w:t>
            </w:r>
          </w:p>
        </w:tc>
        <w:tc>
          <w:tcPr>
            <w:tcW w:w="1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79,884</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6,579,395</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10,763,638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(517,941)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(2,560,282)</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$ 15,577,885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0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Six Months Ended June 30, 2018</w:t>
            </w: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January 1, 2018</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79,909</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1,847</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6,590,855</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10,164,804</w:t>
            </w:r>
          </w:p>
        </w:tc>
        <w:tc>
          <w:tcPr>
            <w:tcW w:w="120" w:type="dxa"/>
            <w:vAlign w:val="bottom"/>
            <w:shd w:val="clear" w:color="auto" w:fill="CFF0FC"/>
          </w:tcPr>
          <w:p>
            <w:pPr>
              <w:spacing w:after="0"/>
              <w:rPr>
                <w:sz w:val="14"/>
                <w:szCs w:val="14"/>
                <w:color w:val="auto"/>
              </w:rPr>
            </w:pPr>
          </w:p>
        </w:tc>
        <w:tc>
          <w:tcPr>
            <w:tcW w:w="11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(363,814)</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(1,454,282)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$ 16,250,819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Cumulative effect of change in</w:t>
            </w: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3"/>
                <w:szCs w:val="13"/>
                <w:color w:val="auto"/>
              </w:rPr>
              <w:t>accounting principle — equity</w:t>
            </w: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securities</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16,853</w:t>
            </w:r>
          </w:p>
        </w:tc>
        <w:tc>
          <w:tcPr>
            <w:tcW w:w="12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(16,853)</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845,770</w:t>
            </w:r>
          </w:p>
        </w:tc>
        <w:tc>
          <w:tcPr>
            <w:tcW w:w="120" w:type="dxa"/>
            <w:vAlign w:val="bottom"/>
            <w:shd w:val="clear" w:color="auto" w:fill="CFF0FC"/>
          </w:tcPr>
          <w:p>
            <w:pPr>
              <w:spacing w:after="0"/>
              <w:rPr>
                <w:sz w:val="14"/>
                <w:szCs w:val="14"/>
                <w:color w:val="auto"/>
              </w:rPr>
            </w:pPr>
          </w:p>
        </w:tc>
        <w:tc>
          <w:tcPr>
            <w:tcW w:w="11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(137,274)</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708,496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(36,260)</w:t>
            </w:r>
          </w:p>
        </w:tc>
        <w:tc>
          <w:tcPr>
            <w:tcW w:w="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(36,260)</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54,226 Series A stock</w:t>
            </w:r>
          </w:p>
        </w:tc>
        <w:tc>
          <w:tcPr>
            <w:tcW w:w="1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3"/>
                <w:szCs w:val="13"/>
                <w:color w:val="auto"/>
              </w:rPr>
              <w:t>warrants into 32,668 shares of</w:t>
            </w:r>
          </w:p>
        </w:tc>
        <w:tc>
          <w:tcPr>
            <w:tcW w:w="1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(5,123)</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5,123</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(1,196,062)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(1,196,062)</w:t>
            </w: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Compensation expense, net</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(25)</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(6,194)</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21,665</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Exercises of stock options, net</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(2,402)</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53,073</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Stock purchase plan</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2,358</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8,766</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Directors’ stock plan</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1,043</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Deferred compensation plans, net,</w:t>
            </w: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including dividend equivalents</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(156)</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(248)</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w:t>
            </w:r>
          </w:p>
        </w:tc>
        <w:tc>
          <w:tcPr>
            <w:tcW w:w="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1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$1.55 per share</w:t>
            </w:r>
          </w:p>
        </w:tc>
        <w:tc>
          <w:tcPr>
            <w:tcW w:w="1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(227,492)</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(227,492)</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Balance — June 30, 2018</w:t>
            </w:r>
          </w:p>
        </w:tc>
        <w:tc>
          <w:tcPr>
            <w:tcW w:w="1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$ 1,231,500</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79,884</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6,579,395</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10,763,638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(517,941)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(2,560,282)</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$ 15,577,885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right="60" w:hanging="572"/>
        <w:spacing w:after="0" w:line="272" w:lineRule="auto"/>
        <w:tabs>
          <w:tab w:leader="none" w:pos="58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each of the three-month periods ended June 30, 2019 and 2018, dividends per preferred share were: Preferred Series A- $15.9375; Preferred Series C - $15.9375; Preferred Series E - $16.125; and Preferred Series F - $128.125. For each of the six-month periods ended June 30, 2019 and 2018, dividends per preferred share were: Preferred Series A- $31.875; Preferred Series C - $31.875; Preferred Series E - $32.25; and Preferred Series F - $256.25.</w:t>
      </w:r>
    </w:p>
    <w:p>
      <w:pPr>
        <w:spacing w:after="0" w:line="8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color w:val="auto"/>
        </w:rPr>
        <w:t>NOTES TO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Significant accounting policies</w:t>
      </w:r>
    </w:p>
    <w:p>
      <w:pPr>
        <w:spacing w:after="0" w:line="1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2018 (“2018 Annual Report”), except that effective January 1, 2019 the Company adopted accounting guidance that is discussed in notes 3, 4 and 16 herein. The financial statements contain all adjustments which are, in the opinion of management, necessary for a fair statement of the Company’s financial position, results of operations and cash flows for the interim periods presented.</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2. Investment securities</w:t>
      </w:r>
    </w:p>
    <w:p>
      <w:pPr>
        <w:spacing w:after="0" w:line="1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On January 1, 2018, the Company adopted amended guidance requiring equity investments with readily determinable fair values to be measured at fair value with changes in fair value recognized in the consolidated statement of income. This amended guidance excludes equity method investments, investments in consolidated subsidiaries, exchange membership ownership interests, and Federal Home Loan Bank of New York and Federal Reserve Bank of New York capital stock. Upon adoption the Company reclassified $17 million, after-tax effect, from accumulated other comprehensive income to retained earnings, representing the difference between fair value and the cost basis of equity investments with readily determinable fair values at January 1, 2018.</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amortized cost and estimated fair value of investment securities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20" w:type="dxa"/>
            <w:vAlign w:val="bottom"/>
            <w:tcBorders>
              <w:top w:val="single" w:sz="8" w:color="auto"/>
            </w:tcBorders>
            <w:gridSpan w:val="4"/>
          </w:tcPr>
          <w:p>
            <w:pPr>
              <w:jc w:val="right"/>
              <w:ind w:right="63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2019</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431,334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429,813</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6,789,309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6,818,333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137,771</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131,163</w:t>
            </w:r>
          </w:p>
        </w:tc>
        <w:tc>
          <w:tcPr>
            <w:tcW w:w="12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7,359,445</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67,944</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47,049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7,380,340</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946,782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948,329</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2,543,906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2,576,996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104,592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95,848</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3,604,233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51,160</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25,235</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3,630,158</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debt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10,963,678</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119,104</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72,284</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11,010,498</w:t>
            </w:r>
          </w:p>
        </w:tc>
        <w:tc>
          <w:tcPr>
            <w:tcW w:w="12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 securities: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Readily marketable equity —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114,565</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151,801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 at cost</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443,875</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443,875</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and other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558,440</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37,558</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595,676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- 9 -</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5"/>
          </w:tcPr>
          <w:p>
            <w:pPr>
              <w:ind w:left="6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1,346,782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1,336,931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7,383,340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137,617</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8,869,423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8,682,509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446,542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2,745,776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113,160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3,316,640</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3,255,483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debt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12,186,063</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281,131</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11,937,992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 securities: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Readily marketable equity —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77,440</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 at cost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599,747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and other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677,187</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There were no significant gross realized gains or losses from sales of investment securities for the three-month and six-month periods ended June 30, 2019 and 2018. Net unrealized gains recorded as gain (loss) on bank investment securities in the consolidated statement of income during the three months and six months ended June 30, 2019 were $9 million and $21 million, respectively, compared with net unrealized gains of $2 million during the three months ended June 30, 2018 and net unrealized losses of $7 million during the six months ended June 30, 2018.</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At June 30, 2019, the amortized cost and estimated fair value of debt securities by contractual maturity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Amortized</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Estimated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Cost</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securities available for sale:</w:t>
            </w:r>
          </w:p>
        </w:tc>
        <w:tc>
          <w:tcPr>
            <w:tcW w:w="3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429,891</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428,384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102,181</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34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26,202</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570,120</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561,991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 available for sale</w:t>
            </w:r>
          </w:p>
        </w:tc>
        <w:tc>
          <w:tcPr>
            <w:tcW w:w="34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6,789,325</w:t>
            </w:r>
          </w:p>
        </w:tc>
        <w:tc>
          <w:tcPr>
            <w:tcW w:w="3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6,818,349</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tcPr>
          <w:p>
            <w:pPr>
              <w:spacing w:after="0"/>
              <w:rPr>
                <w:sz w:val="22"/>
                <w:szCs w:val="22"/>
                <w:color w:val="auto"/>
              </w:rPr>
            </w:pPr>
          </w:p>
        </w:tc>
        <w:tc>
          <w:tcPr>
            <w:tcW w:w="34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7,359,445</w:t>
            </w:r>
          </w:p>
        </w:tc>
        <w:tc>
          <w:tcPr>
            <w:tcW w:w="34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7,380,340</w:t>
            </w:r>
          </w:p>
        </w:tc>
        <w:tc>
          <w:tcPr>
            <w:tcW w:w="12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securities held to maturity:</w:t>
            </w:r>
          </w:p>
        </w:tc>
        <w:tc>
          <w:tcPr>
            <w:tcW w:w="3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948,757</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950,308</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34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3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19"/>
                <w:szCs w:val="19"/>
                <w:color w:val="auto"/>
              </w:rPr>
            </w:pPr>
          </w:p>
        </w:tc>
        <w:tc>
          <w:tcPr>
            <w:tcW w:w="3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955,735</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957,314</w:t>
            </w:r>
          </w:p>
        </w:tc>
        <w:tc>
          <w:tcPr>
            <w:tcW w:w="1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Mortgage-backed securities held to maturity</w:t>
            </w:r>
          </w:p>
        </w:tc>
        <w:tc>
          <w:tcPr>
            <w:tcW w:w="34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2,648,498</w:t>
            </w:r>
          </w:p>
        </w:tc>
        <w:tc>
          <w:tcPr>
            <w:tcW w:w="3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2,672,844</w:t>
            </w:r>
          </w:p>
        </w:tc>
        <w:tc>
          <w:tcPr>
            <w:tcW w:w="12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spacing w:after="0"/>
              <w:rPr>
                <w:sz w:val="19"/>
                <w:szCs w:val="19"/>
                <w:color w:val="auto"/>
              </w:rPr>
            </w:pPr>
          </w:p>
        </w:tc>
        <w:tc>
          <w:tcPr>
            <w:tcW w:w="34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3,604,233</w:t>
            </w:r>
          </w:p>
        </w:tc>
        <w:tc>
          <w:tcPr>
            <w:tcW w:w="3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3,630,158</w:t>
            </w: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44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- 11 -</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113"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A summary of investment securities that as of June 30, 2019 and December 31, 2018 had been in a continuous unrealized loss position for less than twelve months and those that had been in a continuous unrealized loss position for twelve months or longer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1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12 Months or More</w:t>
            </w:r>
          </w:p>
        </w:tc>
      </w:tr>
      <w:tr>
        <w:trPr>
          <w:trHeight w:val="131"/>
        </w:trPr>
        <w:tc>
          <w:tcPr>
            <w:tcW w:w="51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tcBorders>
              <w:top w:val="single" w:sz="8" w:color="auto"/>
            </w:tcBorders>
          </w:tcPr>
          <w:p>
            <w:pPr>
              <w:jc w:val="right"/>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tcBorders>
              <w:top w:val="single" w:sz="8" w:color="auto"/>
            </w:tcBorders>
          </w:tcPr>
          <w:p>
            <w:pPr>
              <w:jc w:val="right"/>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r>
      <w:tr>
        <w:trPr>
          <w:trHeight w:val="173"/>
        </w:trPr>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55"/>
        </w:trPr>
        <w:tc>
          <w:tcPr>
            <w:tcW w:w="5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4"/>
          </w:tcPr>
          <w:p>
            <w:pPr>
              <w:ind w:left="5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2019</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428,193</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(1,538)</w:t>
            </w: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3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2,911,625</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(37,754)</w:t>
            </w: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(474)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67,921</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(7,252)</w:t>
            </w:r>
          </w:p>
        </w:tc>
      </w:tr>
      <w:tr>
        <w:trPr>
          <w:trHeight w:val="223"/>
        </w:trPr>
        <w:tc>
          <w:tcPr>
            <w:tcW w:w="5160" w:type="dxa"/>
            <w:vAlign w:val="bottom"/>
            <w:tcBorders>
              <w:bottom w:val="single" w:sz="8" w:color="CFF0FC"/>
            </w:tcBorders>
          </w:tcPr>
          <w:p>
            <w:pPr>
              <w:spacing w:after="0"/>
              <w:rPr>
                <w:sz w:val="19"/>
                <w:szCs w:val="19"/>
                <w:color w:val="auto"/>
              </w:rPr>
            </w:pPr>
          </w:p>
        </w:tc>
        <w:tc>
          <w:tcPr>
            <w:tcW w:w="18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50,215</w:t>
            </w:r>
          </w:p>
        </w:tc>
        <w:tc>
          <w:tcPr>
            <w:tcW w:w="3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3,408,196</w:t>
            </w:r>
          </w:p>
        </w:tc>
        <w:tc>
          <w:tcPr>
            <w:tcW w:w="3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(46,547)</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318,799</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(4,505)</w:t>
            </w: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50,757</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(20,730)</w:t>
            </w:r>
          </w:p>
        </w:tc>
      </w:tr>
      <w:tr>
        <w:trPr>
          <w:trHeight w:val="223"/>
        </w:trPr>
        <w:tc>
          <w:tcPr>
            <w:tcW w:w="516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369,556</w:t>
            </w:r>
          </w:p>
        </w:tc>
        <w:tc>
          <w:tcPr>
            <w:tcW w:w="3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50,215</w:t>
            </w:r>
          </w:p>
        </w:tc>
        <w:tc>
          <w:tcPr>
            <w:tcW w:w="32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3,777,752</w:t>
            </w:r>
          </w:p>
        </w:tc>
        <w:tc>
          <w:tcPr>
            <w:tcW w:w="32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(71,782)</w:t>
            </w:r>
          </w:p>
        </w:tc>
        <w:tc>
          <w:tcPr>
            <w:tcW w:w="120" w:type="dxa"/>
            <w:vAlign w:val="bottom"/>
            <w:tcBorders>
              <w:bottom w:val="single" w:sz="8" w:color="CFF0FC"/>
            </w:tcBorders>
          </w:tcPr>
          <w:p>
            <w:pPr>
              <w:spacing w:after="0"/>
              <w:rPr>
                <w:sz w:val="22"/>
                <w:szCs w:val="22"/>
                <w:color w:val="auto"/>
              </w:rPr>
            </w:pPr>
          </w:p>
        </w:tc>
      </w:tr>
      <w:tr>
        <w:trPr>
          <w:trHeight w:val="210"/>
        </w:trPr>
        <w:tc>
          <w:tcPr>
            <w:tcW w:w="5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1,335,559</w:t>
            </w: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(9,849)</w:t>
            </w: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405,558</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(2,892)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5,646,773</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(179,211)</w:t>
            </w:r>
          </w:p>
        </w:tc>
      </w:tr>
      <w:tr>
        <w:trPr>
          <w:trHeight w:val="243"/>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53,478</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(2,187)</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66,014</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(9,294)</w:t>
            </w:r>
          </w:p>
        </w:tc>
      </w:tr>
      <w:tr>
        <w:trPr>
          <w:trHeight w:val="20"/>
        </w:trPr>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459,960</w:t>
            </w:r>
          </w:p>
        </w:tc>
        <w:tc>
          <w:tcPr>
            <w:tcW w:w="3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7,048,346</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(198,354)</w:t>
            </w:r>
          </w:p>
        </w:tc>
      </w:tr>
      <w:tr>
        <w:trPr>
          <w:trHeight w:val="236"/>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8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446,303</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179,354</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(989)</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2,082,723</w:t>
            </w: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(54,122)</w:t>
            </w:r>
          </w:p>
        </w:tc>
      </w:tr>
      <w:tr>
        <w:trPr>
          <w:trHeight w:val="243"/>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51,943</w:t>
            </w: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(22,327)</w:t>
            </w:r>
          </w:p>
        </w:tc>
      </w:tr>
      <w:tr>
        <w:trPr>
          <w:trHeight w:val="20"/>
        </w:trPr>
        <w:tc>
          <w:tcPr>
            <w:tcW w:w="516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6"/>
        </w:trPr>
        <w:tc>
          <w:tcPr>
            <w:tcW w:w="516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625,657</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(1,228)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2,137,792</w:t>
            </w:r>
          </w:p>
        </w:tc>
        <w:tc>
          <w:tcPr>
            <w:tcW w:w="3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(76,461)</w:t>
            </w:r>
          </w:p>
        </w:tc>
      </w:tr>
      <w:tr>
        <w:trPr>
          <w:trHeight w:val="20"/>
        </w:trPr>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1,085,617</w:t>
            </w:r>
          </w:p>
        </w:tc>
        <w:tc>
          <w:tcPr>
            <w:tcW w:w="3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9,186,138</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(274,815)</w:t>
            </w:r>
          </w:p>
        </w:tc>
      </w:tr>
      <w:tr>
        <w:trPr>
          <w:trHeight w:val="20"/>
        </w:trPr>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Company owned 801 individual debt securities with aggregate gross unrealized losses of $72 million at June 30, 2019. Based on a review of each of the securities in the investment securities portfolio at June 30, 2019, the Company concluded that it expected to recover the amortized cost basis of its investment. As of June 30, 2019, the Company does not intend to sell nor is it anticipated that it would be required to sell any of its impaired investment securities at a loss. At June 30, 2019, the Company has not identified events or changes in circumstances which may have a significant adverse effect on the fair value of the $444 million of cost method equity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current, past due and nonaccrual loans as of June 30, 2019 and December 31, 2018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Acquired at</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Loans Past</w:t>
            </w: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 Discount</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Due 90</w:t>
            </w: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12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Days or</w:t>
            </w: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90 days</w:t>
            </w:r>
          </w:p>
        </w:tc>
        <w:tc>
          <w:tcPr>
            <w:tcW w:w="1120" w:type="dxa"/>
            <w:vAlign w:val="bottom"/>
            <w:gridSpan w:val="2"/>
            <w:vMerge w:val="continue"/>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More (a)</w:t>
            </w:r>
          </w:p>
        </w:tc>
        <w:tc>
          <w:tcPr>
            <w:tcW w:w="3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or More (b)</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Impaired (c)</w:t>
            </w:r>
          </w:p>
        </w:tc>
        <w:tc>
          <w:tcPr>
            <w:tcW w:w="11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2019</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$ 23,177,367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223,733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$ 23,431,408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25,829,322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26,204,849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1,665,951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7,217,573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13,206,787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462,391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321,810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172,718</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210,922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14,380,609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 limited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documentation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2,067,375</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81,857</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76,345</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87,551</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4,562,840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4,759,183</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4,795,116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3,639,155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1,315,662</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32,053</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87,441,215</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916,630</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348,725</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43,079</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263,025</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865,384</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89,878,058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$ 22,701,020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39,798</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234,423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$ 22,977,976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25,250,983</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134,474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203,672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25,610,365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1,665,178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6,982,077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7,062,882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13,591,790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404,808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189,682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233,352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 limited</w:t>
            </w: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documentation</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2,278,040</w:t>
            </w: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72,544</w:t>
            </w: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89,851</w:t>
            </w: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84,685</w:t>
            </w: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2,525,120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4,758,513</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4,085,781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3,555,757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79,804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1,271,811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27,654</w:t>
            </w:r>
          </w:p>
        </w:tc>
        <w:tc>
          <w:tcPr>
            <w:tcW w:w="3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86,140,950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222,527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303,305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88,466,477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loans acquired at a discount.</w:t>
      </w:r>
    </w:p>
    <w:p>
      <w:pPr>
        <w:spacing w:after="0" w:line="29" w:lineRule="exact"/>
        <w:rPr>
          <w:rFonts w:ascii="Times New Roman" w:cs="Times New Roman" w:eastAsia="Times New Roman" w:hAnsi="Times New Roman"/>
          <w:sz w:val="18"/>
          <w:szCs w:val="18"/>
          <w:i w:val="1"/>
          <w:iCs w:val="1"/>
          <w:color w:val="auto"/>
        </w:rPr>
      </w:pPr>
    </w:p>
    <w:p>
      <w:pPr>
        <w:ind w:left="580" w:right="20" w:hanging="572"/>
        <w:spacing w:after="0" w:line="250" w:lineRule="auto"/>
        <w:tabs>
          <w:tab w:leader="none" w:pos="5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Loans acquired at a discount that were recorded at fair value at acquisition date. This category does not include purchased impaired loans that are presented separately.</w:t>
      </w:r>
    </w:p>
    <w:p>
      <w:pPr>
        <w:ind w:left="580" w:hanging="572"/>
        <w:spacing w:after="0"/>
        <w:tabs>
          <w:tab w:leader="none" w:pos="5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Accruing loans acquired at a discount that were impaired at acquisition date and recorded at fair value.</w:t>
      </w:r>
    </w:p>
    <w:p>
      <w:pPr>
        <w:spacing w:after="0" w:line="200" w:lineRule="exact"/>
        <w:rPr>
          <w:rFonts w:ascii="Times New Roman" w:cs="Times New Roman" w:eastAsia="Times New Roman" w:hAnsi="Times New Roman"/>
          <w:sz w:val="18"/>
          <w:szCs w:val="18"/>
          <w:i w:val="1"/>
          <w:iCs w:val="1"/>
          <w:color w:val="auto"/>
        </w:rPr>
      </w:pPr>
    </w:p>
    <w:p>
      <w:pPr>
        <w:spacing w:after="0" w:line="222"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One-to-four family residential mortgage loans held for sale were $294 million and $205 million at June 30, 2019 and December 31, 2018, respectively. Commercial real estate loans held for sale were $504 million at June 30, 2019 and $347 million at December 31, 2018.</w:t>
      </w:r>
    </w:p>
    <w:p>
      <w:pPr>
        <w:spacing w:after="0" w:line="70"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The outstanding principal balance and the carrying amount of loans acquired at a discount that were recorded at fair value at the acquisition date and included in the consolidated balance sheet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7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r>
      <w:tr>
        <w:trPr>
          <w:trHeight w:val="184"/>
        </w:trPr>
        <w:tc>
          <w:tcPr>
            <w:tcW w:w="47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r>
      <w:tr>
        <w:trPr>
          <w:trHeight w:val="201"/>
        </w:trPr>
        <w:tc>
          <w:tcPr>
            <w:tcW w:w="4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920,481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1,016,785</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27,073</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125,737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135,047</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415,242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473,511</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9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91,860</w:t>
            </w:r>
          </w:p>
        </w:tc>
        <w:tc>
          <w:tcPr>
            <w:tcW w:w="8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655,037</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727,491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Purchased impaired loans included in the table above totaled $263 million at June 30, 2019 and $303 million at December 31, 2018, representing less than 1% of the Company’s assets as of each date. A summary of changes in the accretable yield for loans acquired at a discount for the three months and six months ended June 30, 2019 and 2018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5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4"/>
        </w:trPr>
        <w:tc>
          <w:tcPr>
            <w:tcW w:w="5100" w:type="dxa"/>
            <w:vAlign w:val="bottom"/>
          </w:tcPr>
          <w:p>
            <w:pPr>
              <w:spacing w:after="0"/>
              <w:rPr>
                <w:sz w:val="12"/>
                <w:szCs w:val="12"/>
                <w:color w:val="auto"/>
              </w:rPr>
            </w:pPr>
          </w:p>
        </w:tc>
        <w:tc>
          <w:tcPr>
            <w:tcW w:w="940" w:type="dxa"/>
            <w:vAlign w:val="bottom"/>
            <w:gridSpan w:val="3"/>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060" w:type="dxa"/>
            <w:vAlign w:val="bottom"/>
            <w:gridSpan w:val="3"/>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2"/>
                <w:szCs w:val="12"/>
                <w:color w:val="auto"/>
              </w:rPr>
            </w:pPr>
          </w:p>
        </w:tc>
        <w:tc>
          <w:tcPr>
            <w:tcW w:w="700" w:type="dxa"/>
            <w:vAlign w:val="bottom"/>
          </w:tcPr>
          <w:p>
            <w:pPr>
              <w:jc w:val="center"/>
              <w:ind w:right="35"/>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r>
      <w:tr>
        <w:trPr>
          <w:trHeight w:val="17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Impaired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Impaired</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Acquired</w:t>
            </w:r>
          </w:p>
        </w:tc>
      </w:tr>
      <w:tr>
        <w:trPr>
          <w:trHeight w:val="184"/>
        </w:trPr>
        <w:tc>
          <w:tcPr>
            <w:tcW w:w="5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4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140,317</w:t>
            </w:r>
          </w:p>
        </w:tc>
        <w:tc>
          <w:tcPr>
            <w:tcW w:w="16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93,687</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149,007</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118,184</w:t>
            </w:r>
          </w:p>
        </w:tc>
        <w:tc>
          <w:tcPr>
            <w:tcW w:w="80" w:type="dxa"/>
            <w:vAlign w:val="bottom"/>
          </w:tcPr>
          <w:p>
            <w:pPr>
              <w:spacing w:after="0"/>
              <w:rPr>
                <w:sz w:val="24"/>
                <w:szCs w:val="24"/>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(9,666)</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(15,394)</w:t>
            </w: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from nonaccretable balance</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80" w:type="dxa"/>
            <w:vAlign w:val="bottom"/>
            <w:shd w:val="clear" w:color="auto" w:fill="CFF0FC"/>
          </w:tcPr>
          <w:p>
            <w:pPr>
              <w:spacing w:after="0"/>
              <w:rPr>
                <w:sz w:val="19"/>
                <w:szCs w:val="19"/>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90,911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149,388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117,715</w:t>
            </w:r>
          </w:p>
        </w:tc>
        <w:tc>
          <w:tcPr>
            <w:tcW w:w="8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1"/>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5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4"/>
        </w:trPr>
        <w:tc>
          <w:tcPr>
            <w:tcW w:w="5100" w:type="dxa"/>
            <w:vAlign w:val="bottom"/>
          </w:tcPr>
          <w:p>
            <w:pPr>
              <w:spacing w:after="0"/>
              <w:rPr>
                <w:sz w:val="12"/>
                <w:szCs w:val="12"/>
                <w:color w:val="auto"/>
              </w:rPr>
            </w:pPr>
          </w:p>
        </w:tc>
        <w:tc>
          <w:tcPr>
            <w:tcW w:w="940" w:type="dxa"/>
            <w:vAlign w:val="bottom"/>
            <w:gridSpan w:val="3"/>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060" w:type="dxa"/>
            <w:vAlign w:val="bottom"/>
            <w:gridSpan w:val="3"/>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2"/>
                <w:szCs w:val="12"/>
                <w:color w:val="auto"/>
              </w:rPr>
            </w:pPr>
          </w:p>
        </w:tc>
        <w:tc>
          <w:tcPr>
            <w:tcW w:w="700" w:type="dxa"/>
            <w:vAlign w:val="bottom"/>
          </w:tcPr>
          <w:p>
            <w:pPr>
              <w:jc w:val="center"/>
              <w:ind w:right="35"/>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r>
      <w:tr>
        <w:trPr>
          <w:trHeight w:val="17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Impaired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Impaired</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Acquired</w:t>
            </w:r>
          </w:p>
        </w:tc>
      </w:tr>
      <w:tr>
        <w:trPr>
          <w:trHeight w:val="184"/>
        </w:trPr>
        <w:tc>
          <w:tcPr>
            <w:tcW w:w="5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1"/>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147,210</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96,907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157,918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133,162</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(19,383)</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(17,788)</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(30,506)</w:t>
            </w: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 from nonaccretable balance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11,205</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(a)</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tcPr>
          <w:p>
            <w:pPr>
              <w:spacing w:after="0"/>
              <w:rPr>
                <w:sz w:val="19"/>
                <w:szCs w:val="19"/>
                <w:color w:val="auto"/>
              </w:rPr>
            </w:pPr>
          </w:p>
        </w:tc>
      </w:tr>
      <w:tr>
        <w:trPr>
          <w:trHeight w:val="223"/>
        </w:trPr>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147,104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149,388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380" w:hanging="372"/>
        <w:spacing w:after="0"/>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changes in expected cash flows including changes in interest rates and prepayment assumptions.</w:t>
      </w:r>
    </w:p>
    <w:p>
      <w:pPr>
        <w:spacing w:after="0" w:line="206"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three months ended June 30, 2019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16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160" w:type="dxa"/>
            <w:vAlign w:val="bottom"/>
            <w:gridSpan w:val="4"/>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1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080" w:type="dxa"/>
            <w:vAlign w:val="bottom"/>
            <w:tcBorders>
              <w:top w:val="single" w:sz="8" w:color="auto"/>
            </w:tcBorders>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0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9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335,620</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337,995</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65,136</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203,045</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77,541</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$ 1,019,337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(2,376)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31,594</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(16,608)</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(10,165)</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(3,263)</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(39,370)</w:t>
            </w: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(69,406)</w:t>
            </w: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3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335,855</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343,296</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211,220</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78,485</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$ 1,029,867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three months ended June 30, 2018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16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160" w:type="dxa"/>
            <w:vAlign w:val="bottom"/>
            <w:gridSpan w:val="4"/>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1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080" w:type="dxa"/>
            <w:vAlign w:val="bottom"/>
            <w:tcBorders>
              <w:top w:val="single" w:sz="8" w:color="auto"/>
            </w:tcBorders>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06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9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4"/>
          </w:tcPr>
          <w:p>
            <w:pPr>
              <w:jc w:val="right"/>
              <w:ind w:right="7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326,071</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367,717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73,047</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173,841</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$ 1,019,671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(10,845)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30,801</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(1,448)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(14,900)</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(4,548)</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(3,966)</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(34,033)</w:t>
            </w: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(57,447)</w:t>
            </w: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3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328,830</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353,761</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76,123</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182,987</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77,547</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$ 1,019,248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six months ended June 30, 2019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160" w:type="dxa"/>
            <w:vAlign w:val="bottom"/>
            <w:gridSpan w:val="4"/>
            <w:vMerge w:val="restart"/>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160" w:type="dxa"/>
            <w:vAlign w:val="bottom"/>
            <w:gridSpan w:val="4"/>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1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080" w:type="dxa"/>
            <w:vAlign w:val="bottom"/>
            <w:tcBorders>
              <w:top w:val="single" w:sz="8" w:color="auto"/>
            </w:tcBorders>
            <w:gridSpan w:val="2"/>
          </w:tcPr>
          <w:p>
            <w:pPr>
              <w:jc w:val="right"/>
              <w:ind w:right="241"/>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0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960" w:type="dxa"/>
            <w:vAlign w:val="bottom"/>
            <w:gridSpan w:val="2"/>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4"/>
          </w:tcPr>
          <w:p>
            <w:pPr>
              <w:jc w:val="right"/>
              <w:ind w:right="681"/>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330,055</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341,655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69,125</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$ 1,019,444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(4,823)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54,477</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(25,108)</w:t>
            </w:r>
          </w:p>
        </w:tc>
        <w:tc>
          <w:tcPr>
            <w:tcW w:w="108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(10,448)</w:t>
            </w:r>
          </w:p>
        </w:tc>
        <w:tc>
          <w:tcPr>
            <w:tcW w:w="108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(6,635)</w:t>
            </w:r>
          </w:p>
        </w:tc>
        <w:tc>
          <w:tcPr>
            <w:tcW w:w="10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(72,315)</w:t>
            </w: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(114,506)</w:t>
            </w: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28,494</w:t>
            </w: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3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300" w:type="dxa"/>
            <w:vAlign w:val="bottom"/>
            <w:tcBorders>
              <w:top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320" w:type="dxa"/>
            <w:vAlign w:val="bottom"/>
            <w:tcBorders>
              <w:top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(43,821</w:t>
            </w:r>
          </w:p>
        </w:tc>
        <w:tc>
          <w:tcPr>
            <w:tcW w:w="320" w:type="dxa"/>
            <w:vAlign w:val="bottom"/>
            <w:tcBorders>
              <w:top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(66,577</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335,855</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343,296</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211,220</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78,485</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$ 1,029,867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- 15 -</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six months ended June 30, 2018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680" w:type="dxa"/>
            <w:vAlign w:val="bottom"/>
            <w:gridSpan w:val="3"/>
          </w:tcPr>
          <w:p>
            <w:pPr>
              <w:jc w:val="center"/>
              <w:ind w:left="1214"/>
              <w:spacing w:after="0"/>
              <w:rPr>
                <w:sz w:val="20"/>
                <w:szCs w:val="20"/>
                <w:color w:val="auto"/>
              </w:rPr>
            </w:pPr>
            <w:r>
              <w:rPr>
                <w:rFonts w:ascii="Times New Roman" w:cs="Times New Roman" w:eastAsia="Times New Roman" w:hAnsi="Times New Roman"/>
                <w:sz w:val="14"/>
                <w:szCs w:val="14"/>
                <w:color w:val="auto"/>
              </w:rPr>
              <w:t>Commercial,</w:t>
            </w:r>
          </w:p>
        </w:tc>
        <w:tc>
          <w:tcPr>
            <w:tcW w:w="2140" w:type="dxa"/>
            <w:vAlign w:val="bottom"/>
            <w:gridSpan w:val="4"/>
            <w:vMerge w:val="restart"/>
          </w:tcPr>
          <w:p>
            <w:pPr>
              <w:jc w:val="right"/>
              <w:ind w:right="821"/>
              <w:spacing w:after="0"/>
              <w:rPr>
                <w:sz w:val="20"/>
                <w:szCs w:val="20"/>
                <w:color w:val="auto"/>
              </w:rPr>
            </w:pPr>
            <w:r>
              <w:rPr>
                <w:rFonts w:ascii="Times New Roman" w:cs="Times New Roman" w:eastAsia="Times New Roman" w:hAnsi="Times New Roman"/>
                <w:sz w:val="14"/>
                <w:szCs w:val="14"/>
                <w:color w:val="auto"/>
              </w:rPr>
              <w:t>Real Estate</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color w:val="auto"/>
              </w:rPr>
              <w:t>Financial,</w:t>
            </w:r>
          </w:p>
        </w:tc>
        <w:tc>
          <w:tcPr>
            <w:tcW w:w="214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60" w:type="dxa"/>
            <w:vAlign w:val="bottom"/>
            <w:gridSpan w:val="2"/>
          </w:tcPr>
          <w:p>
            <w:pPr>
              <w:jc w:val="center"/>
              <w:ind w:right="241"/>
              <w:spacing w:after="0" w:line="155" w:lineRule="exact"/>
              <w:rPr>
                <w:sz w:val="20"/>
                <w:szCs w:val="20"/>
                <w:color w:val="auto"/>
              </w:rPr>
            </w:pPr>
            <w:r>
              <w:rPr>
                <w:rFonts w:ascii="Times New Roman" w:cs="Times New Roman" w:eastAsia="Times New Roman" w:hAnsi="Times New Roman"/>
                <w:sz w:val="14"/>
                <w:szCs w:val="14"/>
                <w:color w:val="auto"/>
              </w:rPr>
              <w:t>Leasing, etc.</w:t>
            </w:r>
          </w:p>
        </w:tc>
        <w:tc>
          <w:tcPr>
            <w:tcW w:w="1080" w:type="dxa"/>
            <w:vAlign w:val="bottom"/>
            <w:tcBorders>
              <w:top w:val="single" w:sz="8" w:color="auto"/>
            </w:tcBorders>
            <w:gridSpan w:val="2"/>
          </w:tcPr>
          <w:p>
            <w:pPr>
              <w:jc w:val="right"/>
              <w:ind w:right="261"/>
              <w:spacing w:after="0" w:line="155" w:lineRule="exact"/>
              <w:rPr>
                <w:sz w:val="20"/>
                <w:szCs w:val="20"/>
                <w:color w:val="auto"/>
              </w:rPr>
            </w:pPr>
            <w:r>
              <w:rPr>
                <w:rFonts w:ascii="Times New Roman" w:cs="Times New Roman" w:eastAsia="Times New Roman" w:hAnsi="Times New Roman"/>
                <w:sz w:val="14"/>
                <w:szCs w:val="14"/>
                <w:color w:val="auto"/>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21"/>
              <w:spacing w:after="0" w:line="155" w:lineRule="exact"/>
              <w:rPr>
                <w:sz w:val="20"/>
                <w:szCs w:val="20"/>
                <w:color w:val="auto"/>
              </w:rPr>
            </w:pPr>
            <w:r>
              <w:rPr>
                <w:rFonts w:ascii="Times New Roman" w:cs="Times New Roman" w:eastAsia="Times New Roman" w:hAnsi="Times New Roman"/>
                <w:sz w:val="14"/>
                <w:szCs w:val="14"/>
                <w:color w:val="auto"/>
              </w:rPr>
              <w:t>Consumer</w:t>
            </w:r>
          </w:p>
        </w:tc>
        <w:tc>
          <w:tcPr>
            <w:tcW w:w="106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Unallocated</w:t>
            </w:r>
          </w:p>
        </w:tc>
        <w:tc>
          <w:tcPr>
            <w:tcW w:w="20" w:type="dxa"/>
            <w:vAlign w:val="bottom"/>
          </w:tcPr>
          <w:p>
            <w:pPr>
              <w:spacing w:after="0"/>
              <w:rPr>
                <w:sz w:val="13"/>
                <w:szCs w:val="13"/>
                <w:color w:val="auto"/>
              </w:rPr>
            </w:pPr>
          </w:p>
        </w:tc>
        <w:tc>
          <w:tcPr>
            <w:tcW w:w="960" w:type="dxa"/>
            <w:vAlign w:val="bottom"/>
            <w:gridSpan w:val="2"/>
          </w:tcPr>
          <w:p>
            <w:pPr>
              <w:jc w:val="right"/>
              <w:ind w:right="321"/>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4"/>
          </w:tcPr>
          <w:p>
            <w:pPr>
              <w:jc w:val="right"/>
              <w:ind w:right="681"/>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$ 328,599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374,085</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170,809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78,300</w:t>
            </w:r>
          </w:p>
        </w:tc>
        <w:tc>
          <w:tcPr>
            <w:tcW w:w="3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$ 1,017,198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(16,070)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60,615</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(753)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2680" w:type="dxa"/>
            <w:vAlign w:val="bottom"/>
            <w:gridSpan w:val="3"/>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(29,481)</w:t>
            </w:r>
          </w:p>
        </w:tc>
        <w:tc>
          <w:tcPr>
            <w:tcW w:w="108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(5,914)</w:t>
            </w:r>
          </w:p>
        </w:tc>
        <w:tc>
          <w:tcPr>
            <w:tcW w:w="10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(8,320)</w:t>
            </w:r>
          </w:p>
        </w:tc>
        <w:tc>
          <w:tcPr>
            <w:tcW w:w="10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(70,484)</w:t>
            </w: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(114,199)</w:t>
            </w: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3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6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(18,249</w:t>
            </w:r>
          </w:p>
        </w:tc>
        <w:tc>
          <w:tcPr>
            <w:tcW w:w="300" w:type="dxa"/>
            <w:vAlign w:val="bottom"/>
            <w:tcBorders>
              <w:top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320" w:type="dxa"/>
            <w:vAlign w:val="bottom"/>
            <w:tcBorders>
              <w:top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320" w:type="dxa"/>
            <w:vAlign w:val="bottom"/>
            <w:tcBorders>
              <w:top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(48,437</w:t>
            </w:r>
          </w:p>
        </w:tc>
        <w:tc>
          <w:tcPr>
            <w:tcW w:w="300" w:type="dxa"/>
            <w:vAlign w:val="bottom"/>
            <w:tcBorders>
              <w:top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(75,950</w:t>
            </w: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$ 328,830</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353,761</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76,123</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182,987</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$ 1,019,248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Despite the allocation in the preceding tables, the allowance for credit losses is general in nature and is available to absorb losses from any loan or lease type.</w:t>
      </w:r>
    </w:p>
    <w:p>
      <w:pPr>
        <w:spacing w:after="0" w:line="5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In establishing the allowance for credit losses, the Company estimates losses attributable to specific troubled credits identified through both normal and targeted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Information with respect to loans and leases that were considered impaired as of June 30, 2019 and December 31, 2018 and for the three-month and six-month periods ended June 30, 2019 and 2018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7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00" w:type="dxa"/>
            <w:vAlign w:val="bottom"/>
          </w:tcPr>
          <w:p>
            <w:pPr>
              <w:spacing w:after="0"/>
              <w:rPr>
                <w:sz w:val="11"/>
                <w:szCs w:val="11"/>
                <w:color w:val="auto"/>
              </w:rPr>
            </w:pPr>
          </w:p>
        </w:tc>
        <w:tc>
          <w:tcPr>
            <w:tcW w:w="10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Unpaid</w:t>
            </w: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0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Unpaid</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$ 192,660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220,662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153,478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175,549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70,777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125,117</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22,851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34,782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125,607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147,097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124,974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147,817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69,340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83,920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90,066</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52,838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53,248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Recreational finance</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Automobile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542,528</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639,016</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67,677</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542,255</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630,609</w:t>
            </w:r>
          </w:p>
        </w:tc>
        <w:tc>
          <w:tcPr>
            <w:tcW w:w="30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73,247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77,171</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136,128</w:t>
            </w:r>
          </w:p>
        </w:tc>
        <w:tc>
          <w:tcPr>
            <w:tcW w:w="3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150,804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168,046</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113,376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124,657</w:t>
            </w:r>
          </w:p>
        </w:tc>
        <w:tc>
          <w:tcPr>
            <w:tcW w:w="3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3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3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261,451</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292,631</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254,196</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305,559</w:t>
            </w:r>
          </w:p>
        </w:tc>
        <w:tc>
          <w:tcPr>
            <w:tcW w:w="3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265,907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297,833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258,985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311,677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214,040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238,823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223,629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249,774</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45,095</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22,993</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143,137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170,252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168,313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74,737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99,862</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47,437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53,248</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Recreational finance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Automobile</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$ 803,979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931,647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67,677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936,168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00" w:type="dxa"/>
            <w:vAlign w:val="bottom"/>
          </w:tcPr>
          <w:p>
            <w:pPr>
              <w:spacing w:after="0"/>
              <w:rPr>
                <w:sz w:val="24"/>
                <w:szCs w:val="24"/>
                <w:color w:val="auto"/>
              </w:rPr>
            </w:pPr>
          </w:p>
        </w:tc>
        <w:tc>
          <w:tcPr>
            <w:tcW w:w="182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- 17 -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31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3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5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Borders>
              <w:bottom w:val="single" w:sz="8" w:color="auto"/>
            </w:tcBorders>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1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30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80" w:type="dxa"/>
            <w:vAlign w:val="bottom"/>
            <w:gridSpan w:val="2"/>
            <w:vMerge w:val="continue"/>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32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00" w:type="dxa"/>
            <w:vAlign w:val="bottom"/>
            <w:gridSpan w:val="3"/>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20" w:type="dxa"/>
            <w:vAlign w:val="bottom"/>
            <w:gridSpan w:val="3"/>
            <w:vMerge w:val="continue"/>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273,924</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271,413</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214,775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168,224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3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142,555</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126,185</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801,024</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729,881</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312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3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5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Borders>
              <w:bottom w:val="single" w:sz="8" w:color="auto"/>
            </w:tcBorders>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1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30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80" w:type="dxa"/>
            <w:vAlign w:val="bottom"/>
            <w:gridSpan w:val="2"/>
            <w:vMerge w:val="continue"/>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32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00" w:type="dxa"/>
            <w:vAlign w:val="bottom"/>
            <w:gridSpan w:val="3"/>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20" w:type="dxa"/>
            <w:vAlign w:val="bottom"/>
            <w:gridSpan w:val="3"/>
            <w:vMerge w:val="continue"/>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269,586</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271,793</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220,075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141,479</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123,697</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77,089</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800,947</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19,191</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737,845</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Furthermore, criticized nonaccrual commercial loans and commercial real estate loans are considered impaired and, as a result, specific loss allowances on such loans are established within the allowance for credit losses to the extent appropriate in each individual instance.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The following table summarizes the loan grades applied to the various classes of the Company’s commercial loans and commercial real estate loans.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9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9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Builder and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Leasing, etc.</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Developer</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4"/>
          </w:tcPr>
          <w:p>
            <w:pPr>
              <w:ind w:left="6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2019</w:t>
            </w:r>
          </w:p>
        </w:tc>
        <w:tc>
          <w:tcPr>
            <w:tcW w:w="2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$ 22,112,126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25,213,055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1,476,023</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Criticized accrual</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1,095,549</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788,678</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196,891</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Criticized nonaccrual</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223,733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203,116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23,431,408</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26,204,849</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1,678,899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7,310,627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2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Pass</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$ 21,693,705</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24,539,706</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1,546,002</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6,890,562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Criticized accrual</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1,049,848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866,987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Criticized nonaccrual</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234,423</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203,672</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22,977,976</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25,610,365</w:t>
            </w:r>
          </w:p>
        </w:tc>
        <w:tc>
          <w:tcPr>
            <w:tcW w:w="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1,690,309</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totaled $26 million and $21 million, respectively, at June 30, 2019 and $29 million and $23 million, respectively, at December 31, 2018. Residential real estate loans and home equity loans and lines of credit that were more than 150 days past due but did not require a partial charge-off because the net realizable value of the collateral exceeded the outstanding customer balance were $18 million and $31 million, respectively, at June 30, 2019 and $21 million and $31 million, respectively, at December 31, 2018.</w:t>
      </w:r>
    </w:p>
    <w:p>
      <w:pPr>
        <w:spacing w:after="0" w:line="83"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The allocation of the allowance for credit losses summarized on the basis of the Company’s impairment methodology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060" w:type="dxa"/>
            <w:vAlign w:val="bottom"/>
            <w:gridSpan w:val="4"/>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3060" w:type="dxa"/>
            <w:vAlign w:val="bottom"/>
            <w:gridSpan w:val="4"/>
            <w:vMerge w:val="continue"/>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520" w:type="dxa"/>
            <w:vAlign w:val="bottom"/>
            <w:tcBorders>
              <w:top w:val="single" w:sz="8" w:color="auto"/>
            </w:tcBorders>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1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80" w:type="dxa"/>
            <w:vAlign w:val="bottom"/>
          </w:tcPr>
          <w:p>
            <w:pPr>
              <w:spacing w:after="0"/>
              <w:rPr>
                <w:sz w:val="13"/>
                <w:szCs w:val="13"/>
                <w:color w:val="auto"/>
              </w:rPr>
            </w:pPr>
          </w:p>
        </w:tc>
        <w:tc>
          <w:tcPr>
            <w:tcW w:w="152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260" w:type="dxa"/>
            <w:vAlign w:val="bottom"/>
          </w:tcPr>
          <w:p>
            <w:pPr>
              <w:spacing w:after="0"/>
              <w:rPr>
                <w:sz w:val="13"/>
                <w:szCs w:val="13"/>
                <w:color w:val="auto"/>
              </w:rPr>
            </w:pPr>
          </w:p>
        </w:tc>
        <w:tc>
          <w:tcPr>
            <w:tcW w:w="10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2019</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36,496</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3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299,359</w:t>
            </w: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332,833</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45,666</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199,322</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Purchased impaired</w:t>
            </w:r>
          </w:p>
        </w:tc>
        <w:tc>
          <w:tcPr>
            <w:tcW w:w="1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38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335,855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343,296</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211,220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951,382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78,485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tcBorders>
              <w:bottom w:val="single" w:sz="8" w:color="CFF0FC"/>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1,029,867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284,021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328,616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48,326</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impaired</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Allocated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330,055</w:t>
            </w:r>
          </w:p>
        </w:tc>
        <w:tc>
          <w:tcPr>
            <w:tcW w:w="38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341,655</w:t>
            </w:r>
          </w:p>
        </w:tc>
        <w:tc>
          <w:tcPr>
            <w:tcW w:w="36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69,125</w:t>
            </w:r>
          </w:p>
        </w:tc>
        <w:tc>
          <w:tcPr>
            <w:tcW w:w="380" w:type="dxa"/>
            <w:vAlign w:val="bottom"/>
            <w:tcBorders>
              <w:bottom w:val="single" w:sz="8" w:color="CFF0FC"/>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200,564</w:t>
            </w:r>
          </w:p>
        </w:tc>
        <w:tc>
          <w:tcPr>
            <w:tcW w:w="3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CFF0FC"/>
            </w:tcBorders>
          </w:tcPr>
          <w:p>
            <w:pPr>
              <w:spacing w:after="0"/>
              <w:rPr>
                <w:sz w:val="22"/>
                <w:szCs w:val="22"/>
                <w:color w:val="auto"/>
              </w:rPr>
            </w:pPr>
          </w:p>
        </w:tc>
        <w:tc>
          <w:tcPr>
            <w:tcW w:w="92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941,399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recorded investment in loans and leases summarized on the basis of the Company’s impairment methodology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960" w:type="dxa"/>
            <w:vAlign w:val="bottom"/>
            <w:gridSpan w:val="4"/>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9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Leasing, etc.</w:t>
            </w:r>
          </w:p>
        </w:tc>
        <w:tc>
          <w:tcPr>
            <w:tcW w:w="1500" w:type="dxa"/>
            <w:vAlign w:val="bottom"/>
            <w:tcBorders>
              <w:top w:val="single" w:sz="8" w:color="auto"/>
            </w:tcBorders>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380" w:type="dxa"/>
            <w:vAlign w:val="bottom"/>
          </w:tcPr>
          <w:p>
            <w:pPr>
              <w:spacing w:after="0"/>
              <w:rPr>
                <w:sz w:val="13"/>
                <w:szCs w:val="13"/>
                <w:color w:val="auto"/>
              </w:rPr>
            </w:pPr>
          </w:p>
        </w:tc>
        <w:tc>
          <w:tcPr>
            <w:tcW w:w="148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2019</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265,907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258,854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217,874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61,344</w:t>
            </w:r>
          </w:p>
        </w:tc>
        <w:tc>
          <w:tcPr>
            <w:tcW w:w="380" w:type="dxa"/>
            <w:vAlign w:val="bottom"/>
          </w:tcPr>
          <w:p>
            <w:pPr>
              <w:spacing w:after="0"/>
              <w:rPr>
                <w:sz w:val="19"/>
                <w:szCs w:val="19"/>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23,165,499</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34,921,561</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16,226,800</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14,497,194</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88,811,054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Purchased impaired</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249,063</w:t>
            </w:r>
          </w:p>
        </w:tc>
        <w:tc>
          <w:tcPr>
            <w:tcW w:w="38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23,431,408</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35,194,375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16,693,737</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14,558,538</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89,878,058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258,985</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254,476</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220,140</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62,850</w:t>
            </w:r>
          </w:p>
        </w:tc>
        <w:tc>
          <w:tcPr>
            <w:tcW w:w="3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22,718,991</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34,098,670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16,641,411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13,907,649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87,366,721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impaired</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292,895</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22,977,976</w:t>
            </w:r>
          </w:p>
        </w:tc>
        <w:tc>
          <w:tcPr>
            <w:tcW w:w="3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34,363,556</w:t>
            </w:r>
          </w:p>
        </w:tc>
        <w:tc>
          <w:tcPr>
            <w:tcW w:w="3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17,154,446</w:t>
            </w:r>
          </w:p>
        </w:tc>
        <w:tc>
          <w:tcPr>
            <w:tcW w:w="3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13,970,499</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88,466,477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The table that follows summarizes the Company’s loan modification activities that were considered troubled debt restructurings for the three-month and six-month periods ended June 30, 2019 and 2018:</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Pre-</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Post-modification (a)</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6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Concession</w:t>
            </w:r>
          </w:p>
        </w:tc>
        <w:tc>
          <w:tcPr>
            <w:tcW w:w="12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12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Deferral</w:t>
            </w:r>
          </w:p>
        </w:tc>
        <w:tc>
          <w:tcPr>
            <w:tcW w:w="30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Types</w:t>
            </w: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CFF0FC"/>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23,577</w:t>
            </w:r>
          </w:p>
        </w:tc>
        <w:tc>
          <w:tcPr>
            <w:tcW w:w="3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3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16,289</w:t>
            </w:r>
          </w:p>
        </w:tc>
        <w:tc>
          <w:tcPr>
            <w:tcW w:w="3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180" w:type="dxa"/>
            <w:vAlign w:val="bottom"/>
            <w:tcBorders>
              <w:top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41,390</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28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25,021</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58,013</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20,384</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31,816</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- 21 -</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Post-modification (a)</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Concession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52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20" w:type="dxa"/>
            <w:vAlign w:val="bottom"/>
            <w:gridSpan w:val="3"/>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860" w:type="dxa"/>
            <w:vAlign w:val="bottom"/>
            <w:gridSpan w:val="3"/>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Deferral</w:t>
            </w:r>
          </w:p>
        </w:tc>
        <w:tc>
          <w:tcPr>
            <w:tcW w:w="88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5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2"/>
              <w:spacing w:after="0" w:line="159" w:lineRule="exact"/>
              <w:rPr>
                <w:sz w:val="20"/>
                <w:szCs w:val="20"/>
                <w:color w:val="auto"/>
              </w:rPr>
            </w:pPr>
            <w:r>
              <w:rPr>
                <w:rFonts w:ascii="Times New Roman" w:cs="Times New Roman" w:eastAsia="Times New Roman" w:hAnsi="Times New Roman"/>
                <w:sz w:val="14"/>
                <w:szCs w:val="14"/>
                <w:b w:val="1"/>
                <w:bCs w:val="1"/>
                <w:color w:val="auto"/>
              </w:rPr>
              <w:t>Types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20" w:type="dxa"/>
            <w:vAlign w:val="bottom"/>
            <w:tcBorders>
              <w:top w:val="single" w:sz="8" w:color="auto"/>
            </w:tcBorders>
          </w:tcPr>
          <w:p>
            <w:pPr>
              <w:spacing w:after="0"/>
              <w:rPr>
                <w:sz w:val="16"/>
                <w:szCs w:val="16"/>
                <w:color w:val="auto"/>
              </w:rPr>
            </w:pPr>
          </w:p>
        </w:tc>
        <w:tc>
          <w:tcPr>
            <w:tcW w:w="324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7"/>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33,212</w:t>
            </w: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2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70,114</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18,593</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51,656</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20" w:type="dxa"/>
            <w:vAlign w:val="bottom"/>
            <w:shd w:val="clear" w:color="auto" w:fill="CFF0FC"/>
          </w:tcPr>
          <w:p>
            <w:pPr>
              <w:spacing w:after="0"/>
              <w:rPr>
                <w:sz w:val="18"/>
                <w:szCs w:val="18"/>
                <w:color w:val="auto"/>
              </w:rPr>
            </w:pPr>
          </w:p>
        </w:tc>
        <w:tc>
          <w:tcPr>
            <w:tcW w:w="3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Borders>
              <w:top w:val="single" w:sz="8" w:color="auto"/>
            </w:tcBorders>
            <w:shd w:val="clear" w:color="auto" w:fill="CFF0FC"/>
          </w:tcPr>
          <w:p>
            <w:pPr>
              <w:spacing w:after="0"/>
              <w:rPr>
                <w:sz w:val="19"/>
                <w:szCs w:val="19"/>
                <w:color w:val="auto"/>
              </w:rPr>
            </w:pPr>
          </w:p>
        </w:tc>
        <w:tc>
          <w:tcPr>
            <w:tcW w:w="3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89,384</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45,346</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6,111</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13,200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287</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128,015</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70,040</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828</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6,505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54,158</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131,531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80" w:right="20" w:hanging="372"/>
        <w:spacing w:after="0" w:line="284" w:lineRule="auto"/>
        <w:tabs>
          <w:tab w:leader="none" w:pos="3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-306070</wp:posOffset>
            </wp:positionV>
            <wp:extent cx="38461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46195" cy="8255"/>
                    </a:xfrm>
                    <a:prstGeom prst="rect">
                      <a:avLst/>
                    </a:prstGeom>
                    <a:noFill/>
                  </pic:spPr>
                </pic:pic>
              </a:graphicData>
            </a:graphic>
          </wp:anchor>
        </w:drawing>
      </w:r>
    </w:p>
    <w:p>
      <w:pPr>
        <w:spacing w:after="0" w:line="33"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June 30, 2019 and 2018 and for which there was a subsequent payment default during the six-month periods ended June 30, 2019 and 2018, respectively, were not material.</w:t>
      </w:r>
    </w:p>
    <w:p>
      <w:pPr>
        <w:spacing w:after="0" w:line="82"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The amount of foreclosed residential real estate property held by the Company was $72 million and $77 million at June 30, 2019 and December 31, 2018, respectively. There were $380 million and $391 million at June 30, 2019 and December 31, 2018, respectively, in loans secured by residential real estate that were in the process of foreclosure. Of all loans in the process of foreclosure at June 30, 2019, approximately 33% were classified as purchased impaired and 24% were government guaranteed.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the allowance for credit losses, continued</w:t>
      </w:r>
    </w:p>
    <w:p>
      <w:pPr>
        <w:spacing w:after="0" w:line="113"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Company’s loan and lease portfolio includes commercial lease financing receivables consisting of direct financing and leveraged leases for machinery and equipment, railroad equipment, commercial trucks and trailers, and aircraft. Certain leases contain payment schedules that are tied to variable interest rate indices. In general, early termination options are provided if the lessee is not in default, returns the leased equipment and pays an early termination fee. Additionally, options to purchase the underlying asset by the lessee are generally at the fair market value of the equipment. Effective January 1, 2019, the Company adopted new guidance related to lease accounting published by the Financial Accounting Standards Board (“FASB”). Under the new guidance, the accounting applied by lessors is largely unchanged from previous GAAP, however, the guidance eliminates the accounting model for leveraged leases that commence after the effective date of the guidance. A summary of lease financing receivables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r>
      <w:tr>
        <w:trPr>
          <w:trHeight w:val="155"/>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4"/>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5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Commercial leases:</w:t>
            </w:r>
          </w:p>
        </w:tc>
        <w:tc>
          <w:tcPr>
            <w:tcW w:w="1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688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Direct financings:</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6"/>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21"/>
                <w:szCs w:val="21"/>
                <w:color w:val="auto"/>
              </w:rPr>
              <w:t>Lease payments receivable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97"/>
              </w:rPr>
              <w:t>1,188,750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97"/>
              </w:rPr>
              <w:t>1,155,464</w:t>
            </w:r>
          </w:p>
        </w:tc>
        <w:tc>
          <w:tcPr>
            <w:tcW w:w="80" w:type="dxa"/>
            <w:vAlign w:val="bottom"/>
            <w:shd w:val="clear" w:color="auto" w:fill="CFF0FC"/>
          </w:tcPr>
          <w:p>
            <w:pPr>
              <w:spacing w:after="0"/>
              <w:rPr>
                <w:sz w:val="22"/>
                <w:szCs w:val="22"/>
                <w:color w:val="auto"/>
              </w:rPr>
            </w:pPr>
          </w:p>
        </w:tc>
      </w:tr>
      <w:tr>
        <w:trPr>
          <w:trHeight w:val="256"/>
        </w:trPr>
        <w:tc>
          <w:tcPr>
            <w:tcW w:w="6880" w:type="dxa"/>
            <w:vAlign w:val="bottom"/>
          </w:tcPr>
          <w:p>
            <w:pPr>
              <w:ind w:left="500"/>
              <w:spacing w:after="0"/>
              <w:rPr>
                <w:sz w:val="20"/>
                <w:szCs w:val="20"/>
                <w:color w:val="auto"/>
              </w:rPr>
            </w:pPr>
            <w:r>
              <w:rPr>
                <w:rFonts w:ascii="Times New Roman" w:cs="Times New Roman" w:eastAsia="Times New Roman" w:hAnsi="Times New Roman"/>
                <w:sz w:val="21"/>
                <w:szCs w:val="21"/>
                <w:color w:val="auto"/>
              </w:rPr>
              <w:t>Estimated residual value of leased assets</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82,021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85,169</w:t>
            </w:r>
          </w:p>
        </w:tc>
        <w:tc>
          <w:tcPr>
            <w:tcW w:w="80" w:type="dxa"/>
            <w:vAlign w:val="bottom"/>
          </w:tcPr>
          <w:p>
            <w:pPr>
              <w:spacing w:after="0"/>
              <w:rPr>
                <w:sz w:val="22"/>
                <w:szCs w:val="22"/>
                <w:color w:val="auto"/>
              </w:rPr>
            </w:pPr>
          </w:p>
        </w:tc>
      </w:tr>
      <w:tr>
        <w:trPr>
          <w:trHeight w:val="256"/>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21"/>
                <w:szCs w:val="21"/>
                <w:color w:val="auto"/>
              </w:rPr>
              <w:t>Unearned income</w:t>
            </w:r>
          </w:p>
        </w:tc>
        <w:tc>
          <w:tcPr>
            <w:tcW w:w="1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1"/>
                <w:szCs w:val="21"/>
                <w:color w:val="auto"/>
              </w:rPr>
              <w:t>(107,409)</w:t>
            </w:r>
          </w:p>
        </w:tc>
        <w:tc>
          <w:tcPr>
            <w:tcW w:w="1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1"/>
                <w:szCs w:val="21"/>
                <w:color w:val="auto"/>
              </w:rPr>
              <w:t>(110,458)</w:t>
            </w:r>
          </w:p>
        </w:tc>
      </w:tr>
      <w:tr>
        <w:trPr>
          <w:trHeight w:val="250"/>
        </w:trPr>
        <w:tc>
          <w:tcPr>
            <w:tcW w:w="688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Investment in direct financings</w:t>
            </w: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1,163,362</w:t>
            </w: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1,130,175</w:t>
            </w:r>
          </w:p>
        </w:tc>
        <w:tc>
          <w:tcPr>
            <w:tcW w:w="80" w:type="dxa"/>
            <w:vAlign w:val="bottom"/>
          </w:tcPr>
          <w:p>
            <w:pPr>
              <w:spacing w:after="0"/>
              <w:rPr>
                <w:sz w:val="21"/>
                <w:szCs w:val="21"/>
                <w:color w:val="auto"/>
              </w:rPr>
            </w:pPr>
          </w:p>
        </w:tc>
      </w:tr>
      <w:tr>
        <w:trPr>
          <w:trHeight w:val="256"/>
        </w:trPr>
        <w:tc>
          <w:tcPr>
            <w:tcW w:w="6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Leveraged leases:</w:t>
            </w:r>
          </w:p>
        </w:tc>
        <w:tc>
          <w:tcPr>
            <w:tcW w:w="1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6880" w:type="dxa"/>
            <w:vAlign w:val="bottom"/>
          </w:tcPr>
          <w:p>
            <w:pPr>
              <w:ind w:left="500"/>
              <w:spacing w:after="0"/>
              <w:rPr>
                <w:sz w:val="20"/>
                <w:szCs w:val="20"/>
                <w:color w:val="auto"/>
              </w:rPr>
            </w:pPr>
            <w:r>
              <w:rPr>
                <w:rFonts w:ascii="Times New Roman" w:cs="Times New Roman" w:eastAsia="Times New Roman" w:hAnsi="Times New Roman"/>
                <w:sz w:val="21"/>
                <w:szCs w:val="21"/>
                <w:color w:val="auto"/>
              </w:rPr>
              <w:t>Lease payments receivable</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82,828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85,007</w:t>
            </w:r>
          </w:p>
        </w:tc>
        <w:tc>
          <w:tcPr>
            <w:tcW w:w="80" w:type="dxa"/>
            <w:vAlign w:val="bottom"/>
          </w:tcPr>
          <w:p>
            <w:pPr>
              <w:spacing w:after="0"/>
              <w:rPr>
                <w:sz w:val="22"/>
                <w:szCs w:val="22"/>
                <w:color w:val="auto"/>
              </w:rPr>
            </w:pPr>
          </w:p>
        </w:tc>
      </w:tr>
      <w:tr>
        <w:trPr>
          <w:trHeight w:val="256"/>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21"/>
                <w:szCs w:val="21"/>
                <w:color w:val="auto"/>
              </w:rPr>
              <w:t>Estimated residual value of leased assets</w:t>
            </w:r>
          </w:p>
        </w:tc>
        <w:tc>
          <w:tcPr>
            <w:tcW w:w="1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81,244</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81,261</w:t>
            </w:r>
          </w:p>
        </w:tc>
        <w:tc>
          <w:tcPr>
            <w:tcW w:w="80" w:type="dxa"/>
            <w:vAlign w:val="bottom"/>
            <w:shd w:val="clear" w:color="auto" w:fill="CFF0FC"/>
          </w:tcPr>
          <w:p>
            <w:pPr>
              <w:spacing w:after="0"/>
              <w:rPr>
                <w:sz w:val="22"/>
                <w:szCs w:val="22"/>
                <w:color w:val="auto"/>
              </w:rPr>
            </w:pPr>
          </w:p>
        </w:tc>
      </w:tr>
      <w:tr>
        <w:trPr>
          <w:trHeight w:val="256"/>
        </w:trPr>
        <w:tc>
          <w:tcPr>
            <w:tcW w:w="6880" w:type="dxa"/>
            <w:vAlign w:val="bottom"/>
          </w:tcPr>
          <w:p>
            <w:pPr>
              <w:ind w:left="500"/>
              <w:spacing w:after="0"/>
              <w:rPr>
                <w:sz w:val="20"/>
                <w:szCs w:val="20"/>
                <w:color w:val="auto"/>
              </w:rPr>
            </w:pPr>
            <w:r>
              <w:rPr>
                <w:rFonts w:ascii="Times New Roman" w:cs="Times New Roman" w:eastAsia="Times New Roman" w:hAnsi="Times New Roman"/>
                <w:sz w:val="21"/>
                <w:szCs w:val="21"/>
                <w:color w:val="auto"/>
              </w:rPr>
              <w:t>Unearned income</w:t>
            </w:r>
          </w:p>
        </w:tc>
        <w:tc>
          <w:tcPr>
            <w:tcW w:w="1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1"/>
                <w:szCs w:val="21"/>
                <w:color w:val="auto"/>
              </w:rPr>
              <w:t>(32,774)</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(33,717)</w:t>
            </w:r>
          </w:p>
        </w:tc>
      </w:tr>
      <w:tr>
        <w:trPr>
          <w:trHeight w:val="250"/>
        </w:trPr>
        <w:tc>
          <w:tcPr>
            <w:tcW w:w="688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21"/>
                <w:szCs w:val="21"/>
                <w:color w:val="auto"/>
              </w:rPr>
              <w:t>Investment in leveraged leases</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131,298</w:t>
            </w:r>
          </w:p>
        </w:tc>
        <w:tc>
          <w:tcPr>
            <w:tcW w:w="2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132,551</w:t>
            </w:r>
          </w:p>
        </w:tc>
        <w:tc>
          <w:tcPr>
            <w:tcW w:w="80" w:type="dxa"/>
            <w:vAlign w:val="bottom"/>
            <w:tcBorders>
              <w:top w:val="single" w:sz="8" w:color="CFF0FC"/>
            </w:tcBorders>
            <w:shd w:val="clear" w:color="auto" w:fill="CFF0FC"/>
          </w:tcPr>
          <w:p>
            <w:pPr>
              <w:spacing w:after="0"/>
              <w:rPr>
                <w:sz w:val="21"/>
                <w:szCs w:val="21"/>
                <w:color w:val="auto"/>
              </w:rPr>
            </w:pPr>
          </w:p>
        </w:tc>
      </w:tr>
      <w:tr>
        <w:trPr>
          <w:trHeight w:val="290"/>
        </w:trPr>
        <w:tc>
          <w:tcPr>
            <w:tcW w:w="6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1"/>
                <w:szCs w:val="21"/>
                <w:color w:val="auto"/>
              </w:rPr>
              <w:t>Total investment in leases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1,294,660</w:t>
            </w: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1,262,726</w:t>
            </w:r>
          </w:p>
        </w:tc>
        <w:tc>
          <w:tcPr>
            <w:tcW w:w="80" w:type="dxa"/>
            <w:vAlign w:val="bottom"/>
            <w:tcBorders>
              <w:bottom w:val="single" w:sz="8" w:color="CFF0FC"/>
            </w:tcBorders>
          </w:tcPr>
          <w:p>
            <w:pPr>
              <w:spacing w:after="0"/>
              <w:rPr>
                <w:sz w:val="24"/>
                <w:szCs w:val="24"/>
                <w:color w:val="auto"/>
              </w:rPr>
            </w:pPr>
          </w:p>
        </w:tc>
      </w:tr>
      <w:tr>
        <w:trPr>
          <w:trHeight w:val="237"/>
        </w:trPr>
        <w:tc>
          <w:tcPr>
            <w:tcW w:w="68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1"/>
                <w:szCs w:val="21"/>
                <w:color w:val="auto"/>
              </w:rPr>
              <w:t>Deferred taxes payable arising from leveraged leases</w:t>
            </w:r>
          </w:p>
        </w:tc>
        <w:tc>
          <w:tcPr>
            <w:tcW w:w="1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8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1"/>
                <w:szCs w:val="21"/>
                <w:color w:val="auto"/>
              </w:rPr>
              <w:t>72,620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1"/>
                <w:szCs w:val="21"/>
                <w:color w:val="auto"/>
              </w:rPr>
              <w:t>74,995</w:t>
            </w:r>
          </w:p>
        </w:tc>
        <w:tc>
          <w:tcPr>
            <w:tcW w:w="80" w:type="dxa"/>
            <w:vAlign w:val="bottom"/>
            <w:shd w:val="clear" w:color="auto" w:fill="CFF0FC"/>
          </w:tcPr>
          <w:p>
            <w:pPr>
              <w:spacing w:after="0"/>
              <w:rPr>
                <w:sz w:val="20"/>
                <w:szCs w:val="20"/>
                <w:color w:val="auto"/>
              </w:rPr>
            </w:pPr>
          </w:p>
        </w:tc>
      </w:tr>
    </w:tbl>
    <w:p>
      <w:pPr>
        <w:spacing w:after="0" w:line="225"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Included within the estimated residual value of leased assets at June 30, 2019 and December 31, 2018 were $37 million and $39 million, respectively, in residual value associated with direct financing leases that are guaranteed by the lessees or others.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At June 30, 2019, the minimum future lease payments to be received from lease financings were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Twelve-month period ending June 30:</w:t>
            </w:r>
          </w:p>
        </w:tc>
        <w:tc>
          <w:tcPr>
            <w:tcW w:w="35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2020</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356,518</w:t>
            </w:r>
          </w:p>
        </w:tc>
        <w:tc>
          <w:tcPr>
            <w:tcW w:w="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2021</w:t>
            </w:r>
          </w:p>
        </w:tc>
        <w:tc>
          <w:tcPr>
            <w:tcW w:w="35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294,985</w:t>
            </w:r>
          </w:p>
        </w:tc>
        <w:tc>
          <w:tcPr>
            <w:tcW w:w="80" w:type="dxa"/>
            <w:vAlign w:val="bottom"/>
            <w:shd w:val="clear" w:color="auto" w:fill="CFF0FC"/>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2022</w:t>
            </w:r>
          </w:p>
        </w:tc>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223,456</w:t>
            </w:r>
          </w:p>
        </w:tc>
        <w:tc>
          <w:tcPr>
            <w:tcW w:w="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2023</w:t>
            </w:r>
          </w:p>
        </w:tc>
        <w:tc>
          <w:tcPr>
            <w:tcW w:w="35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145,794</w:t>
            </w:r>
          </w:p>
        </w:tc>
        <w:tc>
          <w:tcPr>
            <w:tcW w:w="80" w:type="dxa"/>
            <w:vAlign w:val="bottom"/>
            <w:shd w:val="clear" w:color="auto" w:fill="CFF0FC"/>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2024</w:t>
            </w:r>
          </w:p>
        </w:tc>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105,567</w:t>
            </w:r>
          </w:p>
        </w:tc>
        <w:tc>
          <w:tcPr>
            <w:tcW w:w="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Later years</w:t>
            </w:r>
          </w:p>
        </w:tc>
        <w:tc>
          <w:tcPr>
            <w:tcW w:w="3540" w:type="dxa"/>
            <w:vAlign w:val="bottom"/>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145,258</w:t>
            </w:r>
          </w:p>
        </w:tc>
        <w:tc>
          <w:tcPr>
            <w:tcW w:w="80" w:type="dxa"/>
            <w:vAlign w:val="bottom"/>
            <w:shd w:val="clear" w:color="auto" w:fill="CFF0FC"/>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1,271,578</w:t>
            </w:r>
          </w:p>
        </w:tc>
        <w:tc>
          <w:tcPr>
            <w:tcW w:w="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540" w:type="dxa"/>
            <w:vAlign w:val="bottom"/>
            <w:vMerge w:val="restart"/>
          </w:tcPr>
          <w:p>
            <w:pPr>
              <w:jc w:val="right"/>
              <w:ind w:right="1883"/>
              <w:spacing w:after="0"/>
              <w:rPr>
                <w:sz w:val="20"/>
                <w:szCs w:val="20"/>
                <w:color w:val="auto"/>
              </w:rPr>
            </w:pPr>
            <w:r>
              <w:rPr>
                <w:rFonts w:ascii="Times New Roman" w:cs="Times New Roman" w:eastAsia="Times New Roman" w:hAnsi="Times New Roman"/>
                <w:sz w:val="18"/>
                <w:szCs w:val="18"/>
                <w:color w:val="auto"/>
              </w:rPr>
              <w:t>- 23 -</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43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Operating leases</w:t>
      </w:r>
    </w:p>
    <w:p>
      <w:pPr>
        <w:spacing w:after="0" w:line="1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January 1, 2019 adoption of new lease accounting guidance resulted in the Company recording right-of-use assets and lease liabilities in the consolidated balance sheet for all operating leases with a term greater than twelve months. In addition, the Company elected the practical expedients that (1) reassessment is not needed for whether any existing contracts are or contain leases, (2) reassessment of the classification of existing operating and finance leases is not required, and (3) a lease that has a term of twelve months or less is not required to apply the asset and liability recognition requirements.</w:t>
      </w:r>
    </w:p>
    <w:p>
      <w:pPr>
        <w:spacing w:after="0" w:line="79"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The Company determines whether a contract contains a lease based on whether a contract, or a part of a contract, conveys the right to control the use of an identified asset for a period of time in exchange for consideration. If it is determined that a contract contains a lease, the consideration in the contract is separated between lease and nonlease components (for example, taxes or common area maintenance). In calculating the present value of the lease payments, the Company has utilized its incremental borrowing rate based on electing the original lease term to account for each lease component.</w:t>
      </w:r>
    </w:p>
    <w:p>
      <w:pPr>
        <w:spacing w:after="0" w:line="7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The right-of-use assets and lease liabilities relate to banking offices and other space occupied by the Company and use of certain equipment under noncancelable operating lease agreements, which prior to the adoption of the guidance were not reflected in the consolidated balance sheet.</w:t>
      </w:r>
    </w:p>
    <w:p>
      <w:pPr>
        <w:spacing w:after="0" w:line="70"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As of June 30, 2019, the Company reported right-of-use assets recognized as a component of “premises and equipment” and lease liabilities recognized as a component of “accrued interest and other liabilities” in the consolidated balance sheet, as follows:</w:t>
      </w:r>
    </w:p>
    <w:p>
      <w:pPr>
        <w:spacing w:after="0" w:line="22"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4861560</wp:posOffset>
            </wp:positionH>
            <wp:positionV relativeFrom="paragraph">
              <wp:posOffset>7620</wp:posOffset>
            </wp:positionV>
            <wp:extent cx="882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620" w:type="dxa"/>
            <w:vAlign w:val="bottom"/>
          </w:tcPr>
          <w:p>
            <w:pPr>
              <w:spacing w:after="0"/>
              <w:rPr>
                <w:sz w:val="20"/>
                <w:szCs w:val="20"/>
                <w:color w:val="auto"/>
              </w:rPr>
            </w:pPr>
            <w:r>
              <w:rPr>
                <w:rFonts w:ascii="Times New Roman" w:cs="Times New Roman" w:eastAsia="Times New Roman" w:hAnsi="Times New Roman"/>
                <w:sz w:val="21"/>
                <w:szCs w:val="21"/>
                <w:color w:val="auto"/>
              </w:rPr>
              <w:t>Right-of-use assets</w:t>
            </w:r>
          </w:p>
        </w:tc>
        <w:tc>
          <w:tcPr>
            <w:tcW w:w="3440" w:type="dxa"/>
            <w:vAlign w:val="bottom"/>
          </w:tcPr>
          <w:p>
            <w:pPr>
              <w:jc w:val="right"/>
              <w:ind w:right="197"/>
              <w:spacing w:after="0"/>
              <w:rPr>
                <w:sz w:val="20"/>
                <w:szCs w:val="20"/>
                <w:color w:val="auto"/>
              </w:rPr>
            </w:pPr>
            <w:r>
              <w:rPr>
                <w:rFonts w:ascii="Times New Roman" w:cs="Times New Roman" w:eastAsia="Times New Roman" w:hAnsi="Times New Roman"/>
                <w:sz w:val="21"/>
                <w:szCs w:val="2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395,659</w:t>
            </w:r>
          </w:p>
        </w:tc>
      </w:tr>
      <w:tr>
        <w:trPr>
          <w:trHeight w:val="25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Lease liabilities</w:t>
            </w:r>
          </w:p>
        </w:tc>
        <w:tc>
          <w:tcPr>
            <w:tcW w:w="34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422,384</w:t>
            </w:r>
          </w:p>
        </w:tc>
      </w:tr>
    </w:tbl>
    <w:p>
      <w:pPr>
        <w:spacing w:after="0" w:line="198"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The Company’s noncancelable operating lease agreements expire at various dates over the next 23 years. Real estate leases generally consist of fixed monthly rental payments with certain leases containing escalation clauses. Any variable lease payments or payments for nonlease components are recognized in the consolidated statement of income as a component of “equipment and net occupancy” expense based on actual costs incurred. Some of these real estate leases contain lessee options to extend the term. Those options are included in the lease term when it is determined that it is reasonably certain the option will be exercised.</w:t>
      </w:r>
    </w:p>
    <w:p>
      <w:pPr>
        <w:spacing w:after="0" w:line="79"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Company has noncancelable operating lease agreements for certain equipment related to ATMs, servers, printers and mail machines that are used in the normal course of operations. The ATM leases are either based on the rights to a specific square footage or a license agreement whereby the Company has the right to operate an ATM in a landlord's location. The lease terms generally contain both fixed payments and variable payments that are transaction-based. Given the transaction-based nature of the variable payments, they are excluded from the measurement of the right-of-use asset and lease liability and are recognized in the consolidated statement of income as a component of “equipment and net occupancy” expense when incurred.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Operating leases, continued</w:t>
      </w:r>
    </w:p>
    <w:p>
      <w:pPr>
        <w:spacing w:after="0" w:line="113" w:lineRule="exact"/>
        <w:rPr>
          <w:sz w:val="20"/>
          <w:szCs w:val="20"/>
          <w:color w:val="auto"/>
        </w:rPr>
      </w:pPr>
    </w:p>
    <w:p>
      <w:pPr>
        <w:ind w:right="20" w:firstLine="518"/>
        <w:spacing w:after="0" w:line="267" w:lineRule="auto"/>
        <w:rPr>
          <w:sz w:val="20"/>
          <w:szCs w:val="20"/>
          <w:color w:val="auto"/>
        </w:rPr>
      </w:pPr>
      <w:r>
        <w:rPr>
          <w:rFonts w:ascii="Times New Roman" w:cs="Times New Roman" w:eastAsia="Times New Roman" w:hAnsi="Times New Roman"/>
          <w:sz w:val="21"/>
          <w:szCs w:val="21"/>
          <w:color w:val="auto"/>
        </w:rPr>
        <w:t>The following table presents information about the Company’s lease costs for operating leases recorded in the consolidated balance sheet, cash paid toward lease liabilities, and the weighted-average remaining term and discount rates of the operating leases.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5"/>
                <w:szCs w:val="15"/>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155"/>
        </w:trPr>
        <w:tc>
          <w:tcPr>
            <w:tcW w:w="60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4"/>
          </w:tcPr>
          <w:p>
            <w:pPr>
              <w:jc w:val="right"/>
              <w:ind w:right="7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b w:val="1"/>
                <w:bCs w:val="1"/>
                <w:color w:val="auto"/>
              </w:rPr>
              <w:t>Lease cost</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Times New Roman" w:cs="Times New Roman" w:eastAsia="Times New Roman" w:hAnsi="Times New Roman"/>
                <w:sz w:val="21"/>
                <w:szCs w:val="21"/>
                <w:color w:val="auto"/>
              </w:rPr>
              <w:t>Operating lease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24,902</w:t>
            </w:r>
          </w:p>
        </w:tc>
        <w:tc>
          <w:tcPr>
            <w:tcW w:w="3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49,541</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Short-term lease cost</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62</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Times New Roman" w:cs="Times New Roman" w:eastAsia="Times New Roman" w:hAnsi="Times New Roman"/>
                <w:sz w:val="21"/>
                <w:szCs w:val="21"/>
                <w:color w:val="auto"/>
              </w:rPr>
              <w:t>Variable lease cost</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623</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1,089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Sublease income</w:t>
            </w:r>
          </w:p>
        </w:tc>
        <w:tc>
          <w:tcPr>
            <w:tcW w:w="1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21"/>
                <w:szCs w:val="21"/>
                <w:color w:val="auto"/>
              </w:rPr>
              <w:t>(1,904)</w:t>
            </w:r>
          </w:p>
        </w:tc>
        <w:tc>
          <w:tcPr>
            <w:tcW w:w="1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1"/>
                <w:szCs w:val="21"/>
                <w:color w:val="auto"/>
              </w:rPr>
              <w:t>(3,821)</w:t>
            </w:r>
          </w:p>
        </w:tc>
        <w:tc>
          <w:tcPr>
            <w:tcW w:w="0" w:type="dxa"/>
            <w:vAlign w:val="bottom"/>
          </w:tcPr>
          <w:p>
            <w:pPr>
              <w:spacing w:after="0"/>
              <w:rPr>
                <w:sz w:val="1"/>
                <w:szCs w:val="1"/>
                <w:color w:val="auto"/>
              </w:rPr>
            </w:pPr>
          </w:p>
        </w:tc>
      </w:tr>
      <w:tr>
        <w:trPr>
          <w:trHeight w:val="290"/>
        </w:trPr>
        <w:tc>
          <w:tcPr>
            <w:tcW w:w="60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21"/>
                <w:szCs w:val="21"/>
                <w:color w:val="auto"/>
              </w:rPr>
              <w:t>Total net lease cost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23,649</w:t>
            </w:r>
          </w:p>
        </w:tc>
        <w:tc>
          <w:tcPr>
            <w:tcW w:w="300" w:type="dxa"/>
            <w:vAlign w:val="bottom"/>
            <w:tcBorders>
              <w:bottom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46,871</w:t>
            </w:r>
          </w:p>
        </w:tc>
        <w:tc>
          <w:tcPr>
            <w:tcW w:w="1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Other information</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020" w:type="dxa"/>
            <w:vAlign w:val="bottom"/>
            <w:shd w:val="clear" w:color="auto" w:fill="CFF0FC"/>
          </w:tcPr>
          <w:p>
            <w:pPr>
              <w:spacing w:after="0" w:line="239" w:lineRule="exact"/>
              <w:rPr>
                <w:sz w:val="20"/>
                <w:szCs w:val="20"/>
                <w:color w:val="auto"/>
              </w:rPr>
            </w:pPr>
            <w:r>
              <w:rPr>
                <w:rFonts w:ascii="Times New Roman" w:cs="Times New Roman" w:eastAsia="Times New Roman" w:hAnsi="Times New Roman"/>
                <w:sz w:val="21"/>
                <w:szCs w:val="21"/>
                <w:color w:val="auto"/>
              </w:rPr>
              <w:t>Right-of-use assets obtained in exchange for new</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operating lease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24,518</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44,928</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Times New Roman" w:cs="Times New Roman" w:eastAsia="Times New Roman" w:hAnsi="Times New Roman"/>
                <w:sz w:val="21"/>
                <w:szCs w:val="21"/>
                <w:color w:val="auto"/>
              </w:rPr>
              <w:t>Cash paid toward lease liabilities</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25,205</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50,861</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Weighted-average remaining lease term</w:t>
            </w:r>
          </w:p>
        </w:tc>
        <w:tc>
          <w:tcPr>
            <w:tcW w:w="1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21"/>
                <w:szCs w:val="21"/>
                <w:color w:val="auto"/>
              </w:rPr>
              <w:t>7 years</w:t>
            </w:r>
          </w:p>
        </w:tc>
        <w:tc>
          <w:tcPr>
            <w:tcW w:w="1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21"/>
                <w:szCs w:val="21"/>
                <w:color w:val="auto"/>
              </w:rPr>
              <w:t>7 years</w:t>
            </w:r>
          </w:p>
        </w:tc>
        <w:tc>
          <w:tcPr>
            <w:tcW w:w="0" w:type="dxa"/>
            <w:vAlign w:val="bottom"/>
          </w:tcPr>
          <w:p>
            <w:pPr>
              <w:spacing w:after="0"/>
              <w:rPr>
                <w:sz w:val="1"/>
                <w:szCs w:val="1"/>
                <w:color w:val="auto"/>
              </w:rPr>
            </w:pPr>
          </w:p>
        </w:tc>
      </w:tr>
      <w:tr>
        <w:trPr>
          <w:trHeight w:val="268"/>
        </w:trPr>
        <w:tc>
          <w:tcPr>
            <w:tcW w:w="6020" w:type="dxa"/>
            <w:vAlign w:val="bottom"/>
          </w:tcPr>
          <w:p>
            <w:pPr>
              <w:spacing w:after="0"/>
              <w:rPr>
                <w:sz w:val="20"/>
                <w:szCs w:val="20"/>
                <w:color w:val="auto"/>
              </w:rPr>
            </w:pPr>
            <w:r>
              <w:rPr>
                <w:rFonts w:ascii="Times New Roman" w:cs="Times New Roman" w:eastAsia="Times New Roman" w:hAnsi="Times New Roman"/>
                <w:sz w:val="21"/>
                <w:szCs w:val="21"/>
                <w:color w:val="auto"/>
              </w:rPr>
              <w:t>Weighted-average discount rate</w:t>
            </w:r>
          </w:p>
        </w:tc>
        <w:tc>
          <w:tcPr>
            <w:tcW w:w="14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21"/>
                <w:szCs w:val="21"/>
                <w:color w:val="auto"/>
              </w:rPr>
              <w:t>3.2%</w:t>
            </w:r>
          </w:p>
        </w:tc>
        <w:tc>
          <w:tcPr>
            <w:tcW w:w="1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Minimum lease payments under noncancelable operating leases are summarized in the following table. These minimum lease payments are not materially different from those reported in the 2018 Annual Report.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Twelve-month period ending June 30:</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7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89,301</w:t>
            </w:r>
          </w:p>
        </w:tc>
        <w:tc>
          <w:tcPr>
            <w:tcW w:w="80" w:type="dxa"/>
            <w:vAlign w:val="bottom"/>
          </w:tcPr>
          <w:p>
            <w:pPr>
              <w:spacing w:after="0"/>
              <w:rPr>
                <w:sz w:val="22"/>
                <w:szCs w:val="22"/>
                <w:color w:val="auto"/>
              </w:rPr>
            </w:pPr>
          </w:p>
        </w:tc>
      </w:tr>
      <w:tr>
        <w:trPr>
          <w:trHeight w:val="256"/>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2021</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87,300</w:t>
            </w:r>
          </w:p>
        </w:tc>
        <w:tc>
          <w:tcPr>
            <w:tcW w:w="80" w:type="dxa"/>
            <w:vAlign w:val="bottom"/>
            <w:shd w:val="clear" w:color="auto" w:fill="CFF0FC"/>
          </w:tcPr>
          <w:p>
            <w:pPr>
              <w:spacing w:after="0"/>
              <w:rPr>
                <w:sz w:val="22"/>
                <w:szCs w:val="22"/>
                <w:color w:val="auto"/>
              </w:rPr>
            </w:pPr>
          </w:p>
        </w:tc>
      </w:tr>
      <w:tr>
        <w:trPr>
          <w:trHeight w:val="256"/>
        </w:trPr>
        <w:tc>
          <w:tcPr>
            <w:tcW w:w="7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71,956</w:t>
            </w:r>
          </w:p>
        </w:tc>
        <w:tc>
          <w:tcPr>
            <w:tcW w:w="80" w:type="dxa"/>
            <w:vAlign w:val="bottom"/>
          </w:tcPr>
          <w:p>
            <w:pPr>
              <w:spacing w:after="0"/>
              <w:rPr>
                <w:sz w:val="22"/>
                <w:szCs w:val="22"/>
                <w:color w:val="auto"/>
              </w:rPr>
            </w:pPr>
          </w:p>
        </w:tc>
      </w:tr>
      <w:tr>
        <w:trPr>
          <w:trHeight w:val="256"/>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2023</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57,685</w:t>
            </w:r>
          </w:p>
        </w:tc>
        <w:tc>
          <w:tcPr>
            <w:tcW w:w="80" w:type="dxa"/>
            <w:vAlign w:val="bottom"/>
            <w:shd w:val="clear" w:color="auto" w:fill="CFF0FC"/>
          </w:tcPr>
          <w:p>
            <w:pPr>
              <w:spacing w:after="0"/>
              <w:rPr>
                <w:sz w:val="22"/>
                <w:szCs w:val="22"/>
                <w:color w:val="auto"/>
              </w:rPr>
            </w:pPr>
          </w:p>
        </w:tc>
      </w:tr>
      <w:tr>
        <w:trPr>
          <w:trHeight w:val="256"/>
        </w:trPr>
        <w:tc>
          <w:tcPr>
            <w:tcW w:w="7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41,815</w:t>
            </w:r>
          </w:p>
        </w:tc>
        <w:tc>
          <w:tcPr>
            <w:tcW w:w="80" w:type="dxa"/>
            <w:vAlign w:val="bottom"/>
          </w:tcPr>
          <w:p>
            <w:pPr>
              <w:spacing w:after="0"/>
              <w:rPr>
                <w:sz w:val="22"/>
                <w:szCs w:val="22"/>
                <w:color w:val="auto"/>
              </w:rPr>
            </w:pPr>
          </w:p>
        </w:tc>
      </w:tr>
      <w:tr>
        <w:trPr>
          <w:trHeight w:val="256"/>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1"/>
                <w:szCs w:val="21"/>
                <w:color w:val="auto"/>
              </w:rPr>
              <w:t>Later years</w:t>
            </w:r>
          </w:p>
        </w:tc>
        <w:tc>
          <w:tcPr>
            <w:tcW w:w="2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113,403</w:t>
            </w:r>
          </w:p>
        </w:tc>
        <w:tc>
          <w:tcPr>
            <w:tcW w:w="80" w:type="dxa"/>
            <w:vAlign w:val="bottom"/>
            <w:shd w:val="clear" w:color="auto" w:fill="CFF0FC"/>
          </w:tcPr>
          <w:p>
            <w:pPr>
              <w:spacing w:after="0"/>
              <w:rPr>
                <w:sz w:val="22"/>
                <w:szCs w:val="22"/>
                <w:color w:val="auto"/>
              </w:rPr>
            </w:pPr>
          </w:p>
        </w:tc>
      </w:tr>
      <w:tr>
        <w:trPr>
          <w:trHeight w:val="250"/>
        </w:trPr>
        <w:tc>
          <w:tcPr>
            <w:tcW w:w="7740" w:type="dxa"/>
            <w:vAlign w:val="bottom"/>
          </w:tcPr>
          <w:p>
            <w:pPr>
              <w:spacing w:after="0"/>
              <w:rPr>
                <w:sz w:val="20"/>
                <w:szCs w:val="20"/>
                <w:color w:val="auto"/>
              </w:rPr>
            </w:pPr>
            <w:r>
              <w:rPr>
                <w:rFonts w:ascii="Times New Roman" w:cs="Times New Roman" w:eastAsia="Times New Roman" w:hAnsi="Times New Roman"/>
                <w:sz w:val="21"/>
                <w:szCs w:val="21"/>
                <w:color w:val="auto"/>
              </w:rPr>
              <w:t>Total lease payments</w:t>
            </w: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461,460</w:t>
            </w:r>
          </w:p>
        </w:tc>
        <w:tc>
          <w:tcPr>
            <w:tcW w:w="80" w:type="dxa"/>
            <w:vAlign w:val="bottom"/>
          </w:tcPr>
          <w:p>
            <w:pPr>
              <w:spacing w:after="0"/>
              <w:rPr>
                <w:sz w:val="21"/>
                <w:szCs w:val="21"/>
                <w:color w:val="auto"/>
              </w:rPr>
            </w:pPr>
          </w:p>
        </w:tc>
      </w:tr>
      <w:tr>
        <w:trPr>
          <w:trHeight w:val="25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21"/>
                <w:szCs w:val="21"/>
                <w:color w:val="auto"/>
              </w:rPr>
              <w:t>Less: imputed interest</w:t>
            </w:r>
          </w:p>
        </w:tc>
        <w:tc>
          <w:tcPr>
            <w:tcW w:w="2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1"/>
                <w:szCs w:val="21"/>
                <w:color w:val="auto"/>
              </w:rPr>
              <w:t>39,076</w:t>
            </w:r>
          </w:p>
        </w:tc>
        <w:tc>
          <w:tcPr>
            <w:tcW w:w="80" w:type="dxa"/>
            <w:vAlign w:val="bottom"/>
            <w:shd w:val="clear" w:color="auto" w:fill="CFF0FC"/>
          </w:tcPr>
          <w:p>
            <w:pPr>
              <w:spacing w:after="0"/>
              <w:rPr>
                <w:sz w:val="22"/>
                <w:szCs w:val="22"/>
                <w:color w:val="auto"/>
              </w:rPr>
            </w:pPr>
          </w:p>
        </w:tc>
      </w:tr>
      <w:tr>
        <w:trPr>
          <w:trHeight w:val="250"/>
        </w:trPr>
        <w:tc>
          <w:tcPr>
            <w:tcW w:w="7740" w:type="dxa"/>
            <w:vAlign w:val="bottom"/>
          </w:tcPr>
          <w:p>
            <w:pPr>
              <w:spacing w:after="0"/>
              <w:rPr>
                <w:sz w:val="20"/>
                <w:szCs w:val="20"/>
                <w:color w:val="auto"/>
              </w:rPr>
            </w:pPr>
            <w:r>
              <w:rPr>
                <w:rFonts w:ascii="Times New Roman" w:cs="Times New Roman" w:eastAsia="Times New Roman" w:hAnsi="Times New Roman"/>
                <w:sz w:val="21"/>
                <w:szCs w:val="21"/>
                <w:color w:val="auto"/>
              </w:rPr>
              <w:t>Total</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422,384</w:t>
            </w:r>
          </w:p>
        </w:tc>
        <w:tc>
          <w:tcPr>
            <w:tcW w:w="80" w:type="dxa"/>
            <w:vAlign w:val="bottom"/>
          </w:tcPr>
          <w:p>
            <w:pPr>
              <w:spacing w:after="0"/>
              <w:rPr>
                <w:sz w:val="21"/>
                <w:szCs w:val="2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All other operating leasing activities were not material to the Company’s consolidated results of operations.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Borrowings</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M&amp;T had $524 million of fixed and variable rate junior subordinated deferrable interest debentures ("Junior Subordinated Debentures") outstanding at June 30, 2019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82"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8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20"/>
          <w:szCs w:val="20"/>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64"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Also included in long-term borrowings are agreements to repurchase securities of $103 million and $409 million at June 30, 2019 and December 31, 2018, respectively.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$109 million and $428 million at June 30, 2019 and December 31, 2018, respectively</w:t>
      </w:r>
      <w:r>
        <w:rPr>
          <w:rFonts w:ascii="Times New Roman" w:cs="Times New Roman" w:eastAsia="Times New Roman" w:hAnsi="Times New Roman"/>
          <w:sz w:val="17"/>
          <w:szCs w:val="17"/>
          <w:color w:val="auto"/>
        </w:rPr>
        <w: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Revenue from contracts with customers</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 significant amount of the Company’s revenues are derived from net interest income on financial assets and liabilities, mortgage banking revenues, trading account and foreign exchange gains, investment securities gains, loan and letter of credit fees, income from bank-owned life insurance, and certain other revenues that are generally excluded from the scope of accounting guidance for revenue from contracts with customers.</w:t>
      </w:r>
    </w:p>
    <w:p>
      <w:pPr>
        <w:spacing w:after="0" w:line="73"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For noninterest income revenue streams,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70"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June 30, 2019 and December 31, 2018, the Company had $58 million and $56 million, respectively, of uncollected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June 30, 2019 and December 31, 2018, the Company had deferred revenue of $43 million related to the sources in the accompanying tables recorded in accrued interest and other liabilities in the consolidated balance sheet.</w:t>
      </w:r>
    </w:p>
    <w:p>
      <w:pPr>
        <w:spacing w:after="0" w:line="78"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The following tables summarize sources of the Company’s noninterest income during the three-month and six-month periods ended June 30, 2019 and 2018 that are subject to the noted accounting guidance.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Discretionary</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Mortgage</w:t>
            </w:r>
          </w:p>
        </w:tc>
        <w:tc>
          <w:tcPr>
            <w:tcW w:w="90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2"/>
                <w:szCs w:val="12"/>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5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180" w:type="dxa"/>
            <w:vAlign w:val="bottom"/>
            <w:tcBorders>
              <w:top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 statement</w:t>
            </w:r>
          </w:p>
        </w:tc>
        <w:tc>
          <w:tcPr>
            <w:tcW w:w="5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of income</w:t>
            </w: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$ 15,175</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$ 107,787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144,151</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5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12,478</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9,895</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13,129</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9,329</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8,595</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$ 25,077</w:t>
            </w:r>
          </w:p>
        </w:tc>
        <w:tc>
          <w:tcPr>
            <w:tcW w:w="2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39,592</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5,538</w:t>
            </w:r>
          </w:p>
        </w:tc>
        <w:tc>
          <w:tcPr>
            <w:tcW w:w="3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3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2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79,556</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167,319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$ 318,758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180" w:type="dxa"/>
            <w:vAlign w:val="bottom"/>
            <w:tcBorders>
              <w:top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 statement</w:t>
            </w:r>
          </w:p>
        </w:tc>
        <w:tc>
          <w:tcPr>
            <w:tcW w:w="5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of income</w:t>
            </w: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$ 15,611</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63,015</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$ 106,784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5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137,641</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137,641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5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8,334</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9,613</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7,598</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$ 23,945</w:t>
            </w:r>
          </w:p>
        </w:tc>
        <w:tc>
          <w:tcPr>
            <w:tcW w:w="2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40,458</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3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3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2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76,768</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159,920</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$ 307,528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Revenue from contracts with customers, continued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Discretionary</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94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2"/>
                <w:szCs w:val="12"/>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8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3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20" w:type="dxa"/>
            <w:vAlign w:val="bottom"/>
            <w:tcBorders>
              <w:top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 statement</w:t>
            </w: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of income</w:t>
            </w: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4,888</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126,812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276,718</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24,954</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17,823</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19,083</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$ 49,073</w:t>
            </w:r>
          </w:p>
        </w:tc>
        <w:tc>
          <w:tcPr>
            <w:tcW w:w="2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76,110</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10,458</w:t>
            </w:r>
          </w:p>
        </w:tc>
        <w:tc>
          <w:tcPr>
            <w:tcW w:w="3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3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2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152,339</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324,384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$ 615,507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20" w:type="dxa"/>
            <w:vAlign w:val="bottom"/>
            <w:tcBorders>
              <w:top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 statement</w:t>
            </w: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of income</w:t>
            </w: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$ 31,015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48,924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123,616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$ 211,899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269,016</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26,021</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19,478</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16,706</w:t>
            </w: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$ 46,852</w:t>
            </w:r>
          </w:p>
        </w:tc>
        <w:tc>
          <w:tcPr>
            <w:tcW w:w="2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79,387</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9,271</w:t>
            </w:r>
          </w:p>
        </w:tc>
        <w:tc>
          <w:tcPr>
            <w:tcW w:w="3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3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2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150,622</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316,099</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$ 605,072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Pension plans and other postretirement benefits</w:t>
      </w:r>
    </w:p>
    <w:p>
      <w:pPr>
        <w:spacing w:after="0" w:line="11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1"/>
          <w:szCs w:val="21"/>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5"/>
          </w:tcPr>
          <w:p>
            <w:pPr>
              <w:jc w:val="center"/>
              <w:ind w:right="600"/>
              <w:spacing w:after="0" w:line="144"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(30,470)</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(30,688)</w:t>
            </w:r>
          </w:p>
        </w:tc>
        <w:tc>
          <w:tcPr>
            <w:tcW w:w="136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(1,190)</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cost (benefit)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5"/>
          </w:tcPr>
          <w:p>
            <w:pPr>
              <w:jc w:val="center"/>
              <w:ind w:right="580"/>
              <w:spacing w:after="0" w:line="144"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37,353</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(61,070)</w:t>
            </w: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(61,563)</w:t>
            </w:r>
          </w:p>
        </w:tc>
        <w:tc>
          <w:tcPr>
            <w:tcW w:w="13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(2,365)</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(2,364)</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3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cost (benefit)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Service cost is reflected in salaries and employee benefits expense in the consolidated statement of income. The other components of net periodic cost (benefit) are reflected in other costs of operations. Expenses incurred in connection with the Company's defined contribution pension and retirement savings plans totaled $19 million and $17 million for the three months ended June 30, 2019 and 2018, respectively, and $41 million and $38 million for the six months ended June 30, 2019 and 2018, respectively, and are included in salaries and employee benefits expense.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8. Earnings per common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computations of basic earnings per common share follow:</w:t>
      </w:r>
    </w:p>
    <w:tbl>
      <w:tblPr>
        <w:tblLayout w:type="fixed"/>
        <w:tblInd w:w="0" w:type="dxa"/>
        <w:tblCellMar>
          <w:top w:w="0" w:type="dxa"/>
          <w:left w:w="0" w:type="dxa"/>
          <w:bottom w:w="0" w:type="dxa"/>
          <w:right w:w="0" w:type="dxa"/>
        </w:tblCellMar>
      </w:tblPr>
      <w:tr>
        <w:trPr>
          <w:trHeight w:val="156"/>
        </w:trPr>
        <w:tc>
          <w:tcPr>
            <w:tcW w:w="6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5"/>
          </w:tcPr>
          <w:p>
            <w:pPr>
              <w:jc w:val="right"/>
              <w:ind w:right="540"/>
              <w:spacing w:after="0" w:line="15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9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473,260</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956,002</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Preferred stock dividends (a)</w:t>
            </w: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(18,130)</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(18,130)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(36,260)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(36,260)</w:t>
            </w: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455,130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475,030</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919,742</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809,510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awards</w:t>
            </w:r>
          </w:p>
        </w:tc>
        <w:tc>
          <w:tcPr>
            <w:tcW w:w="1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(2,498)</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(2,432)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(5,024)</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(4,172)</w:t>
            </w: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452,632</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472,598</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914,718</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805,338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shares outstanding (including common stock</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issuable) and unvested stock-based compensation awards</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136,182</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145,571</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137,403</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(749)</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135,433</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144,825</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136,654</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880" w:hanging="832"/>
        <w:spacing w:after="0"/>
        <w:tabs>
          <w:tab w:leader="none" w:pos="88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Including impact of not as yet declared cumulative dividends.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computations of diluted earnings per common share follow: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5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r>
      <w:tr>
        <w:trPr>
          <w:trHeight w:val="184"/>
        </w:trPr>
        <w:tc>
          <w:tcPr>
            <w:tcW w:w="5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4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455,130</w:t>
            </w:r>
          </w:p>
        </w:tc>
        <w:tc>
          <w:tcPr>
            <w:tcW w:w="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475,030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919,742</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809,510</w:t>
            </w:r>
          </w:p>
        </w:tc>
        <w:tc>
          <w:tcPr>
            <w:tcW w:w="120" w:type="dxa"/>
            <w:vAlign w:val="bottom"/>
          </w:tcPr>
          <w:p>
            <w:pPr>
              <w:spacing w:after="0"/>
              <w:rPr>
                <w:sz w:val="24"/>
                <w:szCs w:val="24"/>
                <w:color w:val="auto"/>
              </w:rPr>
            </w:pPr>
          </w:p>
        </w:tc>
      </w:tr>
      <w:tr>
        <w:trPr>
          <w:trHeight w:val="211"/>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compensation awards</w:t>
            </w: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(2,497)</w:t>
            </w:r>
          </w:p>
        </w:tc>
        <w:tc>
          <w:tcPr>
            <w:tcW w:w="12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(2,430)</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(5,023)</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(4,168)</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9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472,600</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914,719</w:t>
            </w:r>
          </w:p>
        </w:tc>
        <w:tc>
          <w:tcPr>
            <w:tcW w:w="2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805,342</w:t>
            </w:r>
          </w:p>
        </w:tc>
        <w:tc>
          <w:tcPr>
            <w:tcW w:w="12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and unvested stock-based compensation awards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136,182</w:t>
            </w: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145,571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137,403</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147,510</w:t>
            </w:r>
          </w:p>
        </w:tc>
        <w:tc>
          <w:tcPr>
            <w:tcW w:w="120" w:type="dxa"/>
            <w:vAlign w:val="bottom"/>
          </w:tcPr>
          <w:p>
            <w:pPr>
              <w:spacing w:after="0"/>
              <w:rPr>
                <w:sz w:val="19"/>
                <w:szCs w:val="19"/>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(749)</w:t>
            </w:r>
          </w:p>
        </w:tc>
        <w:tc>
          <w:tcPr>
            <w:tcW w:w="12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(764)</w:t>
            </w: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Plus: Incremental shares from assumed conversion of</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awards and warrants to</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common stock</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135,464</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144,998</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136,685</w:t>
            </w: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146,941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FF0FC"/>
          </w:tcPr>
          <w:p>
            <w:pPr>
              <w:spacing w:after="0"/>
              <w:rPr>
                <w:sz w:val="19"/>
                <w:szCs w:val="19"/>
                <w:color w:val="auto"/>
              </w:rPr>
            </w:pPr>
          </w:p>
        </w:tc>
      </w:tr>
    </w:tbl>
    <w:p>
      <w:pPr>
        <w:spacing w:after="0" w:line="91"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9"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Stock-based compensation awards and warrants to purchase common stock of M&amp;T representing 115,293 and 212,244 common shares during the three-month periods ended June 30, 2019 and 2018, respectively, and 197,598 and 224,844 common shares during the six-month periods ended June 30, 2019 and 2018, respectively, were not included in the computations of diluted earnings per common share because the effect on those periods would have been antidilutive.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9. Comprehensive income</w:t>
      </w:r>
    </w:p>
    <w:p>
      <w:pPr>
        <w:spacing w:after="0" w:line="1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3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Defined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59"/>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740" w:type="dxa"/>
            <w:vAlign w:val="bottom"/>
          </w:tcPr>
          <w:p>
            <w:pPr>
              <w:spacing w:after="0"/>
              <w:rPr>
                <w:sz w:val="14"/>
                <w:szCs w:val="14"/>
                <w:color w:val="auto"/>
              </w:rPr>
            </w:pPr>
          </w:p>
        </w:tc>
        <w:tc>
          <w:tcPr>
            <w:tcW w:w="780" w:type="dxa"/>
            <w:vAlign w:val="bottom"/>
            <w:gridSpan w:val="3"/>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Plans</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4"/>
                <w:szCs w:val="14"/>
                <w:color w:val="auto"/>
              </w:rPr>
            </w:pPr>
          </w:p>
        </w:tc>
        <w:tc>
          <w:tcPr>
            <w:tcW w:w="860" w:type="dxa"/>
            <w:vAlign w:val="bottom"/>
            <w:gridSpan w:val="3"/>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Before Tax</w:t>
            </w:r>
          </w:p>
        </w:tc>
        <w:tc>
          <w:tcPr>
            <w:tcW w:w="34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Tax</w:t>
            </w:r>
          </w:p>
        </w:tc>
        <w:tc>
          <w:tcPr>
            <w:tcW w:w="100" w:type="dxa"/>
            <w:vAlign w:val="bottom"/>
          </w:tcPr>
          <w:p>
            <w:pPr>
              <w:spacing w:after="0"/>
              <w:rPr>
                <w:sz w:val="14"/>
                <w:szCs w:val="14"/>
                <w:color w:val="auto"/>
              </w:rPr>
            </w:pPr>
          </w:p>
        </w:tc>
        <w:tc>
          <w:tcPr>
            <w:tcW w:w="700" w:type="dxa"/>
            <w:vAlign w:val="bottom"/>
            <w:gridSpan w:val="2"/>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6"/>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Balance — January 1, 2019</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(200,107)</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(354,502)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(14,719)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(569,328)</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149,247</w:t>
            </w:r>
          </w:p>
        </w:tc>
        <w:tc>
          <w:tcPr>
            <w:tcW w:w="260" w:type="dxa"/>
            <w:vAlign w:val="bottom"/>
          </w:tcPr>
          <w:p>
            <w:pPr>
              <w:spacing w:after="0"/>
              <w:rPr>
                <w:sz w:val="24"/>
                <w:szCs w:val="24"/>
                <w:color w:val="auto"/>
              </w:rPr>
            </w:pP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(420,081)</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holding gains, net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207,802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(54,609)</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gains on cash flow hedges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188,272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(49,497)</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Total other comprehensive income before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7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207,802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187,765</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395,567</w:t>
            </w: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(103,999)</w:t>
            </w: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291,568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comprehensive income that (increase) decrease net income: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74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unrealized holding losses on</w:t>
            </w: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8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9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held-to-maturity (“HTM”) securities</w:t>
            </w: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9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Losses realized in net income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(b)</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Accretion of net gain on terminated cash flow hedges</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(c)</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yield adjustment from cash flow hedges currently in effect</w:t>
            </w: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11,176</w:t>
            </w:r>
          </w:p>
        </w:tc>
        <w:tc>
          <w:tcPr>
            <w:tcW w:w="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(2,938)</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(2,086)</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(1,538)</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10,373</w:t>
            </w:r>
          </w:p>
        </w:tc>
        <w:tc>
          <w:tcPr>
            <w:tcW w:w="2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10,373</w:t>
            </w:r>
          </w:p>
        </w:tc>
        <w:tc>
          <w:tcPr>
            <w:tcW w:w="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(2,727)</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209,500</w:t>
            </w:r>
          </w:p>
        </w:tc>
        <w:tc>
          <w:tcPr>
            <w:tcW w:w="1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8,287</w:t>
            </w:r>
          </w:p>
        </w:tc>
        <w:tc>
          <w:tcPr>
            <w:tcW w:w="2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198,885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416,672</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(109,549)</w:t>
            </w: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307,123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4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Balance — June 30, 2019</w:t>
            </w:r>
          </w:p>
        </w:tc>
        <w:tc>
          <w:tcPr>
            <w:tcW w:w="1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9,393</w:t>
            </w:r>
          </w:p>
        </w:tc>
        <w:tc>
          <w:tcPr>
            <w:tcW w:w="10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(346,215)</w:t>
            </w:r>
          </w:p>
        </w:tc>
        <w:tc>
          <w:tcPr>
            <w:tcW w:w="22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184,166</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(152,656</w:t>
            </w:r>
          </w:p>
        </w:tc>
        <w:tc>
          <w:tcPr>
            <w:tcW w:w="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39,698</w:t>
            </w:r>
          </w:p>
        </w:tc>
        <w:tc>
          <w:tcPr>
            <w:tcW w:w="2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(112,958</w:t>
            </w:r>
          </w:p>
        </w:tc>
        <w:tc>
          <w:tcPr>
            <w:tcW w:w="100" w:type="dxa"/>
            <w:vAlign w:val="bottom"/>
            <w:tcBorders>
              <w:bottom w:val="single" w:sz="8" w:color="CFF0FC"/>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5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January 1, 2018</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(59,957)</w:t>
            </w:r>
          </w:p>
        </w:tc>
        <w:tc>
          <w:tcPr>
            <w:tcW w:w="10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(413,168)</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(20,165)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(493,290)</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129,476</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(363,814)</w:t>
            </w:r>
          </w:p>
        </w:tc>
        <w:tc>
          <w:tcPr>
            <w:tcW w:w="0" w:type="dxa"/>
            <w:vAlign w:val="bottom"/>
          </w:tcPr>
          <w:p>
            <w:pPr>
              <w:spacing w:after="0"/>
              <w:rPr>
                <w:sz w:val="1"/>
                <w:szCs w:val="1"/>
                <w:color w:val="auto"/>
              </w:rPr>
            </w:pPr>
          </w:p>
        </w:tc>
      </w:tr>
      <w:tr>
        <w:trPr>
          <w:trHeight w:val="139"/>
        </w:trPr>
        <w:tc>
          <w:tcPr>
            <w:tcW w:w="57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Cumulative effect of change in accounting principle — equity</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(22,795)</w:t>
            </w: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(22,795)</w:t>
            </w:r>
          </w:p>
        </w:tc>
        <w:tc>
          <w:tcPr>
            <w:tcW w:w="3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5,942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(16,853)</w:t>
            </w:r>
          </w:p>
        </w:tc>
        <w:tc>
          <w:tcPr>
            <w:tcW w:w="0" w:type="dxa"/>
            <w:vAlign w:val="bottom"/>
          </w:tcPr>
          <w:p>
            <w:pPr>
              <w:spacing w:after="0"/>
              <w:rPr>
                <w:sz w:val="1"/>
                <w:szCs w:val="1"/>
                <w:color w:val="auto"/>
              </w:rPr>
            </w:pPr>
          </w:p>
        </w:tc>
      </w:tr>
      <w:tr>
        <w:trPr>
          <w:trHeight w:val="171"/>
        </w:trPr>
        <w:tc>
          <w:tcPr>
            <w:tcW w:w="5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holding losses, net</w:t>
            </w:r>
          </w:p>
        </w:tc>
        <w:tc>
          <w:tcPr>
            <w:tcW w:w="10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(187,989)</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(187,989)</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49,414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(138,575)</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(1,448)</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losses on cash flow hedges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(21,065)</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(15,527)</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74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(187,989)</w:t>
            </w:r>
          </w:p>
        </w:tc>
        <w:tc>
          <w:tcPr>
            <w:tcW w:w="12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(22,513)</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(210,502)</w:t>
            </w:r>
          </w:p>
        </w:tc>
        <w:tc>
          <w:tcPr>
            <w:tcW w:w="34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55,256</w:t>
            </w:r>
          </w:p>
        </w:tc>
        <w:tc>
          <w:tcPr>
            <w:tcW w:w="2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(155,246)</w:t>
            </w:r>
          </w:p>
        </w:tc>
        <w:tc>
          <w:tcPr>
            <w:tcW w:w="0" w:type="dxa"/>
            <w:vAlign w:val="bottom"/>
          </w:tcPr>
          <w:p>
            <w:pPr>
              <w:spacing w:after="0"/>
              <w:rPr>
                <w:sz w:val="1"/>
                <w:szCs w:val="1"/>
                <w:color w:val="auto"/>
              </w:rPr>
            </w:pPr>
          </w:p>
        </w:tc>
      </w:tr>
      <w:tr>
        <w:trPr>
          <w:trHeight w:val="171"/>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comprehensive income that (increase) decrease net income: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74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unrealized holding losses on</w:t>
            </w: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8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9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HTM securities</w:t>
            </w: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9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Gains realized in net income</w:t>
            </w:r>
          </w:p>
        </w:tc>
        <w:tc>
          <w:tcPr>
            <w:tcW w:w="10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(b)</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Accretion of net gain on terminated cash flow hedges</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(c)</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yield adjustment from cash flow hedges currently in effect</w:t>
            </w: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(2,086)</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(1,537)</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21,483</w:t>
            </w:r>
          </w:p>
        </w:tc>
        <w:tc>
          <w:tcPr>
            <w:tcW w:w="2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21,483</w:t>
            </w:r>
          </w:p>
        </w:tc>
        <w:tc>
          <w:tcPr>
            <w:tcW w:w="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(5,648)</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other comprehensive income (loss)</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(186,417)</w:t>
            </w:r>
          </w:p>
        </w:tc>
        <w:tc>
          <w:tcPr>
            <w:tcW w:w="1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19,397</w:t>
            </w:r>
          </w:p>
        </w:tc>
        <w:tc>
          <w:tcPr>
            <w:tcW w:w="2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(19,100)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(186,120)</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48,846</w:t>
            </w: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(137,274)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 June 30, 2018</w:t>
            </w:r>
          </w:p>
        </w:tc>
        <w:tc>
          <w:tcPr>
            <w:tcW w:w="1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(269,169</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(393,771)</w:t>
            </w:r>
          </w:p>
        </w:tc>
        <w:tc>
          <w:tcPr>
            <w:tcW w:w="2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(39,265)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(702,205</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184,264</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(517,941</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income.</w:t>
      </w:r>
    </w:p>
    <w:p>
      <w:pPr>
        <w:spacing w:after="0" w:line="5" w:lineRule="exact"/>
        <w:rPr>
          <w:rFonts w:ascii="Times New Roman" w:cs="Times New Roman" w:eastAsia="Times New Roman" w:hAnsi="Times New Roman"/>
          <w:sz w:val="14"/>
          <w:szCs w:val="14"/>
          <w:i w:val="1"/>
          <w:iCs w:val="1"/>
          <w:color w:val="auto"/>
        </w:rPr>
      </w:pPr>
    </w:p>
    <w:p>
      <w:pPr>
        <w:ind w:left="520" w:hanging="512"/>
        <w:spacing w:after="0" w:line="221" w:lineRule="auto"/>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gain (loss) on bank investment securities.</w:t>
      </w:r>
    </w:p>
    <w:p>
      <w:pPr>
        <w:ind w:left="520" w:hanging="512"/>
        <w:spacing w:after="0" w:line="221" w:lineRule="auto"/>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expense.</w:t>
      </w:r>
    </w:p>
    <w:p>
      <w:pPr>
        <w:ind w:left="520" w:hanging="512"/>
        <w:spacing w:after="0"/>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other costs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-388620</wp:posOffset>
            </wp:positionV>
            <wp:extent cx="35375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37585" cy="8255"/>
                    </a:xfrm>
                    <a:prstGeom prst="rect">
                      <a:avLst/>
                    </a:prstGeom>
                    <a:noFill/>
                  </pic:spPr>
                </pic:pic>
              </a:graphicData>
            </a:graphic>
          </wp:anchor>
        </w:drawing>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Accumulated other comprehensive income (loss),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rPr>
              <w:t>Defined</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76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76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114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3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ind w:left="8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07"/>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Balance — December 31, 2018</w:t>
            </w:r>
          </w:p>
        </w:tc>
        <w:tc>
          <w:tcPr>
            <w:tcW w:w="2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(147,526)</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(261,303)</w:t>
            </w:r>
          </w:p>
        </w:tc>
        <w:tc>
          <w:tcPr>
            <w:tcW w:w="3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(11,252)</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(420,081)</w:t>
            </w:r>
          </w:p>
        </w:tc>
      </w:tr>
      <w:tr>
        <w:trPr>
          <w:trHeight w:val="16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gain during period</w:t>
            </w:r>
          </w:p>
        </w:tc>
        <w:tc>
          <w:tcPr>
            <w:tcW w:w="20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154,444</w:t>
            </w:r>
          </w:p>
        </w:tc>
        <w:tc>
          <w:tcPr>
            <w:tcW w:w="38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6,108</w:t>
            </w:r>
          </w:p>
        </w:tc>
        <w:tc>
          <w:tcPr>
            <w:tcW w:w="36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146,571</w:t>
            </w:r>
          </w:p>
        </w:tc>
        <w:tc>
          <w:tcPr>
            <w:tcW w:w="3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307,123</w:t>
            </w:r>
          </w:p>
        </w:tc>
        <w:tc>
          <w:tcPr>
            <w:tcW w:w="100" w:type="dxa"/>
            <w:vAlign w:val="bottom"/>
            <w:shd w:val="clear" w:color="auto" w:fill="CFF0FC"/>
          </w:tcPr>
          <w:p>
            <w:pPr>
              <w:spacing w:after="0"/>
              <w:rPr>
                <w:sz w:val="14"/>
                <w:szCs w:val="14"/>
                <w:color w:val="auto"/>
              </w:rPr>
            </w:pPr>
          </w:p>
        </w:tc>
      </w:tr>
      <w:tr>
        <w:trPr>
          <w:trHeight w:val="155"/>
        </w:trPr>
        <w:tc>
          <w:tcPr>
            <w:tcW w:w="38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 June 30, 2019</w:t>
            </w:r>
          </w:p>
        </w:tc>
        <w:tc>
          <w:tcPr>
            <w:tcW w:w="200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6,918</w:t>
            </w:r>
          </w:p>
        </w:tc>
        <w:tc>
          <w:tcPr>
            <w:tcW w:w="38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(255,195)</w:t>
            </w:r>
          </w:p>
        </w:tc>
        <w:tc>
          <w:tcPr>
            <w:tcW w:w="3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135,319</w:t>
            </w: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(112,958)</w:t>
            </w:r>
          </w:p>
        </w:tc>
        <w:tc>
          <w:tcPr>
            <w:tcW w:w="100" w:type="dxa"/>
            <w:vAlign w:val="bottom"/>
          </w:tcPr>
          <w:p>
            <w:pPr>
              <w:spacing w:after="0"/>
              <w:rPr>
                <w:sz w:val="13"/>
                <w:szCs w:val="13"/>
                <w:color w:val="auto"/>
              </w:rPr>
            </w:pPr>
          </w:p>
        </w:tc>
      </w:tr>
      <w:tr>
        <w:trPr>
          <w:trHeight w:val="20"/>
        </w:trPr>
        <w:tc>
          <w:tcPr>
            <w:tcW w:w="3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10. Derivative financial instruments</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June 30, 2019.</w:t>
      </w:r>
    </w:p>
    <w:p>
      <w:pPr>
        <w:spacing w:after="0" w:line="82"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The net effect of interest rate swap agreements was to decrease net interest income by $11 million and $24 million during the three-month and six-month periods ended June 30, 2019, respectively, compared with decreases of $5 million and $4 million during the three-month and six-month periods ended June 30, 2018, respectively.</w:t>
      </w:r>
    </w:p>
    <w:p>
      <w:pPr>
        <w:spacing w:after="0" w:line="70"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00" w:type="dxa"/>
            <w:vAlign w:val="bottom"/>
          </w:tcPr>
          <w:p>
            <w:pPr>
              <w:spacing w:after="0"/>
              <w:rPr>
                <w:sz w:val="15"/>
                <w:szCs w:val="15"/>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Pr>
          <w:p>
            <w:pPr>
              <w:spacing w:after="0"/>
              <w:rPr>
                <w:sz w:val="15"/>
                <w:szCs w:val="15"/>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Gain (Loss) (a)</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(b)</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4,450,000</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payments on variable rate commercial real</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estate loans (b)(c)</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34,750,000</w:t>
            </w: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39,200,000</w:t>
            </w:r>
          </w:p>
        </w:tc>
        <w:tc>
          <w:tcPr>
            <w:tcW w:w="300" w:type="dxa"/>
            <w:vAlign w:val="bottom"/>
            <w:tcBorders>
              <w:bottom w:val="single" w:sz="8" w:color="CFF0FC"/>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CFF0FC"/>
            </w:tcBorders>
          </w:tcPr>
          <w:p>
            <w:pPr>
              <w:spacing w:after="0"/>
              <w:rPr>
                <w:sz w:val="22"/>
                <w:szCs w:val="22"/>
                <w:color w:val="auto"/>
              </w:rPr>
            </w:pPr>
          </w:p>
        </w:tc>
        <w:tc>
          <w:tcPr>
            <w:tcW w:w="88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72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(b)</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4,450,000</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payments on variable rate commercial real</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estate loans (b)(d)</w:t>
            </w: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15,400,000</w:t>
            </w:r>
          </w:p>
        </w:tc>
        <w:tc>
          <w:tcPr>
            <w:tcW w:w="30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19,850,000</w:t>
            </w: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540" w:right="140" w:hanging="532"/>
        <w:spacing w:after="0" w:line="227" w:lineRule="auto"/>
        <w:tabs>
          <w:tab w:leader="none" w:pos="5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clearinghouse exchanges consider payments by counterparties for variation margin on derivative instruments to be settlements of those positions. The impact of such treatment at June 30, 2019 and December 31, 2018 was a reduction of the estimated fair value gains on interest rate swap agreements designated as fair value hedges of $41.6 million and fair value losses of $54.7 million, respectively, and on interest rate swaps designated as cash flow hedges a reduction of fair value gains of $196.2 million and a reduction of fair value losses of $9.1 million, respectively.</w:t>
      </w:r>
    </w:p>
    <w:p>
      <w:pPr>
        <w:spacing w:after="0" w:line="2" w:lineRule="exact"/>
        <w:rPr>
          <w:rFonts w:ascii="Times New Roman" w:cs="Times New Roman" w:eastAsia="Times New Roman" w:hAnsi="Times New Roman"/>
          <w:sz w:val="14"/>
          <w:szCs w:val="14"/>
          <w:i w:val="1"/>
          <w:iCs w:val="1"/>
          <w:color w:val="auto"/>
        </w:rPr>
      </w:pPr>
    </w:p>
    <w:p>
      <w:pPr>
        <w:ind w:left="540" w:hanging="532"/>
        <w:spacing w:after="0" w:line="221" w:lineRule="auto"/>
        <w:tabs>
          <w:tab w:leader="none" w:pos="5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Under the terms of these agreements, the Company receives settlement amounts at a fixed rate and pays at a variable rate.</w:t>
      </w:r>
    </w:p>
    <w:p>
      <w:pPr>
        <w:ind w:left="540" w:hanging="532"/>
        <w:spacing w:after="0"/>
        <w:tabs>
          <w:tab w:leader="none" w:pos="5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$21.4 billion of forward-starting interest rate swap agreements that become effective in 2019, 2020 and 2021.</w:t>
      </w:r>
    </w:p>
    <w:p>
      <w:pPr>
        <w:spacing w:after="0" w:line="11" w:lineRule="exact"/>
        <w:rPr>
          <w:rFonts w:ascii="Times New Roman" w:cs="Times New Roman" w:eastAsia="Times New Roman" w:hAnsi="Times New Roman"/>
          <w:sz w:val="14"/>
          <w:szCs w:val="14"/>
          <w:i w:val="1"/>
          <w:iCs w:val="1"/>
          <w:color w:val="auto"/>
        </w:rPr>
      </w:pPr>
    </w:p>
    <w:p>
      <w:pPr>
        <w:ind w:left="540" w:hanging="532"/>
        <w:spacing w:after="0" w:line="187" w:lineRule="auto"/>
        <w:tabs>
          <w:tab w:leader="none" w:pos="540" w:val="left"/>
        </w:tabs>
        <w:numPr>
          <w:ilvl w:val="0"/>
          <w:numId w:val="9"/>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2"/>
          <w:szCs w:val="12"/>
          <w:i w:val="1"/>
          <w:iCs w:val="1"/>
          <w:color w:val="auto"/>
        </w:rPr>
        <w:t>Includes notional amount and terms of $12.6 billion of forward-starting interest rate swap agreements that become effective in 2019 and 2020</w:t>
      </w:r>
      <w:r>
        <w:rPr>
          <w:rFonts w:ascii="Times New Roman" w:cs="Times New Roman" w:eastAsia="Times New Roman" w:hAnsi="Times New Roman"/>
          <w:sz w:val="13"/>
          <w:szCs w:val="13"/>
          <w:i w:val="1"/>
          <w:iCs w:val="1"/>
          <w:color w:val="auto"/>
        </w:rPr>
        <w:t>.</w:t>
      </w:r>
    </w:p>
    <w:p>
      <w:pPr>
        <w:spacing w:after="0" w:line="119"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83"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$44.4 billion and $42.9 billion at June 30, 2019 and December 31, 2018, respectively. The notional amounts of foreign currency and other option and futures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color w:val="auto"/>
        </w:rPr>
        <w:t>contracts entered into for trading account purposes aggregated $949 million and $763 million at June 30, 2019 and December 31, 2018, respectively.</w:t>
      </w:r>
    </w:p>
    <w:p>
      <w:pPr>
        <w:spacing w:after="0" w:line="1" w:lineRule="exact"/>
        <w:rPr>
          <w:sz w:val="20"/>
          <w:szCs w:val="20"/>
          <w:color w:val="auto"/>
        </w:rPr>
      </w:pPr>
    </w:p>
    <w:p>
      <w:pPr>
        <w:ind w:firstLine="518"/>
        <w:spacing w:after="0" w:line="246" w:lineRule="auto"/>
        <w:rPr>
          <w:sz w:val="20"/>
          <w:szCs w:val="20"/>
          <w:color w:val="auto"/>
        </w:rPr>
      </w:pPr>
      <w:r>
        <w:rPr>
          <w:rFonts w:ascii="Times New Roman" w:cs="Times New Roman" w:eastAsia="Times New Roman" w:hAnsi="Times New Roman"/>
          <w:sz w:val="21"/>
          <w:szCs w:val="21"/>
          <w:color w:val="auto"/>
        </w:rPr>
        <w:t>Information about the fair values of derivative instruments in the Company’s consolidated balance sheet and consolidated statement of income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left="396"/>
              <w:spacing w:after="0" w:line="144"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left="416"/>
              <w:spacing w:after="0" w:line="144"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and qualifying as hedging instruments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 (a)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Commitments to sell real estate loans (a)</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and qualifying as hedging instruments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Mortgage-related commitments to originate real estate loans</w:t>
            </w:r>
          </w:p>
        </w:tc>
        <w:tc>
          <w:tcPr>
            <w:tcW w:w="12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for sale (a)</w:t>
            </w:r>
          </w:p>
        </w:tc>
        <w:tc>
          <w:tcPr>
            <w:tcW w:w="12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to sell real estate loans (a)</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Trading:</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rate contracts (b)</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118,687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Foreign exchange and other option and futures contracts (b)</w:t>
            </w: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424,386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142,242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81,623</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derivatives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425,121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148,862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104,080</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Asset derivatives are reported in other assets and liability derivatives are reported in other liabilities.</w:t>
      </w:r>
    </w:p>
    <w:p>
      <w:pPr>
        <w:spacing w:after="0" w:line="9" w:lineRule="exact"/>
        <w:rPr>
          <w:rFonts w:ascii="Times New Roman" w:cs="Times New Roman" w:eastAsia="Times New Roman" w:hAnsi="Times New Roman"/>
          <w:sz w:val="15"/>
          <w:szCs w:val="15"/>
          <w:i w:val="1"/>
          <w:iCs w:val="1"/>
          <w:color w:val="auto"/>
        </w:rPr>
      </w:pPr>
    </w:p>
    <w:p>
      <w:pPr>
        <w:jc w:val="both"/>
        <w:ind w:left="520" w:hanging="512"/>
        <w:spacing w:after="0" w:line="234" w:lineRule="auto"/>
        <w:tabs>
          <w:tab w:leader="none" w:pos="520" w:val="left"/>
        </w:tabs>
        <w:numPr>
          <w:ilvl w:val="0"/>
          <w:numId w:val="1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Asset derivatives are reported in trading account assets and liability derivatives are reported in other liabilities. The impact of variation margin payments at June 30, 2019 and December 31, 2018 was a reduction of the estimated fair value of interest rate contracts in the trading account in an asset position of $29.2 million and $170.7 million, respectively, and in a liability position of $281.2 million and $49.7 million, respectively.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0" w:type="dxa"/>
            <w:vAlign w:val="bottom"/>
            <w:gridSpan w:val="5"/>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20" w:type="dxa"/>
            <w:vAlign w:val="bottom"/>
            <w:gridSpan w:val="5"/>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 fair value hedging relationships</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(a)</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56,679</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(56,458)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(13,357)</w:t>
            </w:r>
          </w:p>
        </w:tc>
        <w:tc>
          <w:tcPr>
            <w:tcW w:w="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0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Trading:</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contracts (b)</w:t>
            </w:r>
          </w:p>
        </w:tc>
        <w:tc>
          <w:tcPr>
            <w:tcW w:w="118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(2,686)</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 exchange and other option and futures contracts (b)</w:t>
            </w:r>
          </w:p>
        </w:tc>
        <w:tc>
          <w:tcPr>
            <w:tcW w:w="1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3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- 33 -</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4"/>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1"/>
                <w:szCs w:val="11"/>
                <w:color w:val="auto"/>
              </w:rPr>
            </w:pPr>
          </w:p>
        </w:tc>
        <w:tc>
          <w:tcPr>
            <w:tcW w:w="1820" w:type="dxa"/>
            <w:vAlign w:val="bottom"/>
            <w:gridSpan w:val="4"/>
          </w:tcPr>
          <w:p>
            <w:pPr>
              <w:jc w:val="center"/>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06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 fair value hedging relationships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90,859</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(90,472)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(55,747)</w:t>
            </w:r>
          </w:p>
        </w:tc>
        <w:tc>
          <w:tcPr>
            <w:tcW w:w="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Trading:</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contracts (b)</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(4,291)</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 exchange and other option and futures contracts (b)</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3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520" w:hanging="472"/>
        <w:spacing w:after="0"/>
        <w:tabs>
          <w:tab w:leader="none" w:pos="52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Reported as interest expense.</w:t>
      </w:r>
    </w:p>
    <w:p>
      <w:pPr>
        <w:spacing w:after="0" w:line="28" w:lineRule="exact"/>
        <w:rPr>
          <w:rFonts w:ascii="Times New Roman" w:cs="Times New Roman" w:eastAsia="Times New Roman" w:hAnsi="Times New Roman"/>
          <w:sz w:val="16"/>
          <w:szCs w:val="16"/>
          <w:i w:val="1"/>
          <w:iCs w:val="1"/>
          <w:color w:val="auto"/>
        </w:rPr>
      </w:pPr>
    </w:p>
    <w:p>
      <w:pPr>
        <w:ind w:left="520" w:hanging="472"/>
        <w:spacing w:after="0"/>
        <w:tabs>
          <w:tab w:leader="none" w:pos="52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Reported as trading account and foreign exchange gains.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 Increasing</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4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(Decreasing) the Carrying Amount of</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2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 of the Hedged Item</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2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060" w:type="dxa"/>
            <w:vAlign w:val="bottom"/>
          </w:tcPr>
          <w:p>
            <w:pPr>
              <w:spacing w:after="0"/>
              <w:rPr>
                <w:sz w:val="11"/>
                <w:szCs w:val="11"/>
                <w:color w:val="auto"/>
              </w:rPr>
            </w:pPr>
          </w:p>
        </w:tc>
        <w:tc>
          <w:tcPr>
            <w:tcW w:w="1200" w:type="dxa"/>
            <w:vAlign w:val="bottom"/>
            <w:tcBorders>
              <w:top w:val="single" w:sz="8" w:color="auto"/>
            </w:tcBorders>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0" w:type="dxa"/>
            <w:vAlign w:val="bottom"/>
            <w:tcBorders>
              <w:top w:val="single" w:sz="8" w:color="auto"/>
            </w:tcBorders>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1"/>
                <w:szCs w:val="11"/>
                <w:color w:val="auto"/>
              </w:rPr>
            </w:pPr>
          </w:p>
        </w:tc>
        <w:tc>
          <w:tcPr>
            <w:tcW w:w="1040" w:type="dxa"/>
            <w:vAlign w:val="bottom"/>
            <w:tcBorders>
              <w:top w:val="single" w:sz="8" w:color="auto"/>
            </w:tcBorders>
            <w:gridSpan w:val="2"/>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380" w:type="dxa"/>
            <w:vAlign w:val="bottom"/>
            <w:tcBorders>
              <w:top w:val="single" w:sz="8" w:color="auto"/>
            </w:tcBorders>
            <w:gridSpan w:val="2"/>
          </w:tcPr>
          <w:p>
            <w:pPr>
              <w:jc w:val="center"/>
              <w:ind w:left="30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60" w:type="dxa"/>
            <w:vAlign w:val="bottom"/>
            <w:gridSpan w:val="4"/>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Location in the Consolidated Balance Sheet of</w:t>
            </w:r>
          </w:p>
        </w:tc>
        <w:tc>
          <w:tcPr>
            <w:tcW w:w="1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the Hedged Items in Fair Value Hedges</w:t>
            </w:r>
          </w:p>
        </w:tc>
        <w:tc>
          <w:tcPr>
            <w:tcW w:w="1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8"/>
                <w:szCs w:val="18"/>
                <w:color w:val="auto"/>
              </w:rPr>
              <w:t>$  4,485,626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4,394,109</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39,370</w:t>
            </w:r>
          </w:p>
        </w:tc>
        <w:tc>
          <w:tcPr>
            <w:tcW w:w="6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(51,102)</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$25 million and $18 million at June 30, 2019 and December 31, 2018, respectively. Changes in unrealized gains and losses are included in mortgage banking revenues and, in general, are realized in subsequent periods as the related loans are sold and commitments satisfied.</w:t>
      </w:r>
    </w:p>
    <w:p>
      <w:pPr>
        <w:spacing w:after="0" w:line="82"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113"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 liability position and the net liability positions with counterparties, which are subject to enforceable master netting arrangements, was $52 million and $21 million at June 30, 2019 and December 31, 2018, respectively. The Company was required to post collateral relating to those positions of $48 million and $18 million at June 30, 2019 and December 31, 2018,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however, the aggregate fair value of such derivative financial instruments in a net liability position and the amount of incremental collateralization that could be required was not significant at June 30, 2019.</w:t>
      </w:r>
    </w:p>
    <w:p>
      <w:pPr>
        <w:spacing w:after="0" w:line="84"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an asset position and the net asset positions with counterparties, which are subject to enforceable master netting arrangements, was $4 million and $18 million at June 30, 2019 and December 31, 2018, respectively. Counterparties posted collateral relating to those positions of $2 million and $16 million at June 30, 2019 and December 31, 2018, respectively. Trading account interest rate swap agreements entered into with customers are subject to the Company’s credit risk standards and often contain collateral provisions.</w:t>
      </w:r>
    </w:p>
    <w:p>
      <w:pPr>
        <w:spacing w:after="0" w:line="7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20"/>
          <w:szCs w:val="20"/>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$98 million and $65 million at June 30, 2019 and December 31, 2018,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Company’s securitization activity has consisted of securitizing loans originated for sale into government issued or guaranteed mortgage-backed securities. The amounts of those securitizations during the six-month periods ended June 30, 2019 and 2018 are presented in the Company’s consolidated statement of cash flows. The Company has not recognized any losses as a result of having securitized assets.</w:t>
      </w:r>
    </w:p>
    <w:p>
      <w:pPr>
        <w:spacing w:after="0" w:line="73"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June 30, 2019 and December 31, 2018,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82"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The Company has invested as a limited partner in various partnerships that collectively had total assets of approximately $1.2 billion at June 30, 2019 and $1.1 billion at December 31, 2018.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$573 million, including $267 million of unfunded commitments, at June 30, 2019 and $523 million, including $280 million of unfunded commitments, at December 31, 2018. Contingent commitments to provide additional capital contributions to these partnerships were not material at June 30, 2019.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$17 million and $34 million of its investments in qualified affordable housing projects to income tax expense during the three-month and six-month periods ended June 30, 2019, respectively, and recognized $21 million and $41 million of tax credits and other tax benefits during those periods. Similarly, for the three-month and six-month periods ended June 30, 2018, the Company amortized $13 million and $26 million, respectively, of its investments in qualified affordable housing projects to income tax expense and recognized $16 million and $32 million of tax credits and other tax benefits during those respective periods.</w:t>
      </w:r>
    </w:p>
    <w:p>
      <w:pPr>
        <w:spacing w:after="0" w:line="94" w:lineRule="exact"/>
        <w:rPr>
          <w:sz w:val="20"/>
          <w:szCs w:val="20"/>
          <w:color w:val="auto"/>
        </w:rPr>
      </w:pPr>
    </w:p>
    <w:p>
      <w:pPr>
        <w:jc w:val="both"/>
        <w:ind w:right="20" w:firstLine="518"/>
        <w:spacing w:after="0" w:line="267" w:lineRule="auto"/>
        <w:rPr>
          <w:sz w:val="20"/>
          <w:szCs w:val="20"/>
          <w:color w:val="auto"/>
        </w:rPr>
      </w:pPr>
      <w:r>
        <w:rPr>
          <w:rFonts w:ascii="Times New Roman" w:cs="Times New Roman" w:eastAsia="Times New Roman" w:hAnsi="Times New Roman"/>
          <w:sz w:val="21"/>
          <w:szCs w:val="21"/>
          <w:color w:val="auto"/>
        </w:rPr>
        <w:t>The Company serves as investment advisor for certain registered money-market funds. The Company has no explicit arrangement to provide support to those funds but may waive portions of its allowable management fees because of market conditions</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12. Fair value measurements</w:t>
      </w:r>
    </w:p>
    <w:p>
      <w:pPr>
        <w:spacing w:after="0" w:line="1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GAAP permits an entity to choose to measure eligible financial instruments and other items at fair value. The Company has not made any fair value elections at June 30, 2019.</w:t>
      </w:r>
    </w:p>
    <w:p>
      <w:pPr>
        <w:spacing w:after="0" w:line="56"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0"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1 — Valuation is based on quoted prices in active markets for identical assets and liabilities.</w:t>
      </w:r>
    </w:p>
    <w:p>
      <w:pPr>
        <w:spacing w:after="0" w:line="109" w:lineRule="exact"/>
        <w:rPr>
          <w:rFonts w:ascii="Times New Roman" w:cs="Times New Roman" w:eastAsia="Times New Roman" w:hAnsi="Times New Roman"/>
          <w:sz w:val="21"/>
          <w:szCs w:val="21"/>
          <w:color w:val="auto"/>
        </w:rPr>
      </w:pPr>
    </w:p>
    <w:p>
      <w:pPr>
        <w:jc w:val="both"/>
        <w:ind w:left="1040" w:hanging="519"/>
        <w:spacing w:after="0" w:line="254" w:lineRule="auto"/>
        <w:tabs>
          <w:tab w:leader="none" w:pos="10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69" w:lineRule="exact"/>
        <w:rPr>
          <w:rFonts w:ascii="Times New Roman" w:cs="Times New Roman" w:eastAsia="Times New Roman" w:hAnsi="Times New Roman"/>
          <w:sz w:val="21"/>
          <w:szCs w:val="21"/>
          <w:color w:val="auto"/>
        </w:rPr>
      </w:pPr>
    </w:p>
    <w:p>
      <w:pPr>
        <w:jc w:val="both"/>
        <w:ind w:left="1040" w:hanging="519"/>
        <w:spacing w:after="0" w:line="254" w:lineRule="auto"/>
        <w:tabs>
          <w:tab w:leader="none" w:pos="10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78"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Trading account assets and liabilities</w:t>
      </w:r>
    </w:p>
    <w:p>
      <w:pPr>
        <w:spacing w:after="0" w:line="1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Trading account assets and liabilities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Investment securities available for sale and equity securities</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Real estate loans held for sale</w:t>
      </w:r>
    </w:p>
    <w:p>
      <w:pPr>
        <w:spacing w:after="0" w:line="1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Commitments to originate real estate loans for sale and commitments to sell real estate loans</w:t>
      </w:r>
    </w:p>
    <w:p>
      <w:pPr>
        <w:spacing w:after="0" w:line="1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Interest rate swap agreements used for interest rate risk management</w:t>
      </w:r>
    </w:p>
    <w:p>
      <w:pPr>
        <w:spacing w:after="0" w:line="1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3"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The following tables present assets and liabilities at June 30, 2019 and December 31, 2018 measured at estimated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Level 1 (a)</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Level 2 (a)</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2019</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Trading account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479,403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47,344</w:t>
            </w:r>
          </w:p>
        </w:tc>
        <w:tc>
          <w:tcPr>
            <w:tcW w:w="6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432,059</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429,813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429,813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6,818,333</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6,818,333</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Privately issued</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debt securities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131,163</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131,163</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7,380,340</w:t>
            </w:r>
          </w:p>
        </w:tc>
        <w:tc>
          <w:tcPr>
            <w:tcW w:w="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7,380,324</w:t>
            </w:r>
          </w:p>
        </w:tc>
        <w:tc>
          <w:tcPr>
            <w:tcW w:w="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151,801</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109,377</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42,424</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797,474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797,474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(b)</w:t>
            </w:r>
          </w:p>
        </w:tc>
        <w:tc>
          <w:tcPr>
            <w:tcW w:w="8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18,661</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3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8,827,679</w:t>
            </w:r>
          </w:p>
        </w:tc>
        <w:tc>
          <w:tcPr>
            <w:tcW w:w="3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156,721</w:t>
            </w:r>
          </w:p>
        </w:tc>
        <w:tc>
          <w:tcPr>
            <w:tcW w:w="3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8,653,531</w:t>
            </w:r>
          </w:p>
        </w:tc>
        <w:tc>
          <w:tcPr>
            <w:tcW w:w="3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73,392</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73,392</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liabilities (b)</w:t>
            </w:r>
          </w:p>
        </w:tc>
        <w:tc>
          <w:tcPr>
            <w:tcW w:w="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30,688</w:t>
            </w:r>
          </w:p>
        </w:tc>
        <w:tc>
          <w:tcPr>
            <w:tcW w:w="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30,477</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104,080</w:t>
            </w:r>
          </w:p>
        </w:tc>
        <w:tc>
          <w:tcPr>
            <w:tcW w:w="3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103,869</w:t>
            </w: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Trading account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46,018</w:t>
            </w:r>
          </w:p>
        </w:tc>
        <w:tc>
          <w:tcPr>
            <w:tcW w:w="6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139,566</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1,336,931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1,336,931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7,216,991</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7,216,991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Privately issued</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debt securities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126,906</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126,906</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8,682,509</w:t>
            </w:r>
          </w:p>
        </w:tc>
        <w:tc>
          <w:tcPr>
            <w:tcW w:w="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8,682,487</w:t>
            </w:r>
          </w:p>
        </w:tc>
        <w:tc>
          <w:tcPr>
            <w:tcW w:w="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93,917</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71,989</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21,928</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551,697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551,697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(b)</w:t>
            </w:r>
          </w:p>
        </w:tc>
        <w:tc>
          <w:tcPr>
            <w:tcW w:w="8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19,626</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3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9,533,333</w:t>
            </w:r>
          </w:p>
        </w:tc>
        <w:tc>
          <w:tcPr>
            <w:tcW w:w="3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118,007</w:t>
            </w:r>
          </w:p>
        </w:tc>
        <w:tc>
          <w:tcPr>
            <w:tcW w:w="3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9,406,000</w:t>
            </w:r>
          </w:p>
        </w:tc>
        <w:tc>
          <w:tcPr>
            <w:tcW w:w="3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178,125</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178,125</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liabilities (b)</w:t>
            </w:r>
          </w:p>
        </w:tc>
        <w:tc>
          <w:tcPr>
            <w:tcW w:w="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190,686</w:t>
            </w:r>
          </w:p>
        </w:tc>
        <w:tc>
          <w:tcPr>
            <w:tcW w:w="3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189,094</w:t>
            </w: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520" w:right="300" w:hanging="512"/>
        <w:spacing w:after="0" w:line="262" w:lineRule="auto"/>
        <w:tabs>
          <w:tab w:leader="none" w:pos="5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There were no significant transfers between Level 1 and Level 2 of the fair value hierarchy during the six months ended June 30, 2019 and the year ended December 31, 2018.</w:t>
      </w:r>
    </w:p>
    <w:p>
      <w:pPr>
        <w:ind w:left="520" w:hanging="512"/>
        <w:spacing w:after="0" w:line="260" w:lineRule="auto"/>
        <w:tabs>
          <w:tab w:leader="none" w:pos="5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80"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changes in Level 3 assets and liabilities measured at estimated fair value on a recurring basis during three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30, 2019 and 2018 were as follows:</w:t>
      </w:r>
    </w:p>
    <w:p>
      <w:pPr>
        <w:spacing w:after="0" w:line="228"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4"/>
          <w:szCs w:val="14"/>
          <w:b w:val="1"/>
          <w:bCs w:val="1"/>
          <w:color w:val="auto"/>
        </w:rPr>
        <w:t>Investment</w:t>
      </w:r>
    </w:p>
    <w:p>
      <w:pPr>
        <w:jc w:val="center"/>
        <w:ind w:left="700"/>
        <w:spacing w:after="0" w:line="229" w:lineRule="auto"/>
        <w:rPr>
          <w:sz w:val="20"/>
          <w:szCs w:val="20"/>
          <w:color w:val="auto"/>
        </w:rPr>
      </w:pPr>
      <w:r>
        <w:rPr>
          <w:rFonts w:ascii="Times New Roman" w:cs="Times New Roman" w:eastAsia="Times New Roman" w:hAnsi="Times New Roman"/>
          <w:sz w:val="14"/>
          <w:szCs w:val="14"/>
          <w:b w:val="1"/>
          <w:bCs w:val="1"/>
          <w:color w:val="auto"/>
        </w:rPr>
        <w:t>Securities</w:t>
      </w:r>
    </w:p>
    <w:p>
      <w:pPr>
        <w:jc w:val="center"/>
        <w:ind w:left="700"/>
        <w:spacing w:after="0" w:line="231" w:lineRule="auto"/>
        <w:rPr>
          <w:sz w:val="20"/>
          <w:szCs w:val="20"/>
          <w:color w:val="auto"/>
        </w:rPr>
      </w:pPr>
      <w:r>
        <w:rPr>
          <w:rFonts w:ascii="Times New Roman" w:cs="Times New Roman" w:eastAsia="Times New Roman" w:hAnsi="Times New Roman"/>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1"/>
        </w:trPr>
        <w:tc>
          <w:tcPr>
            <w:tcW w:w="3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400" w:type="dxa"/>
            <w:vAlign w:val="bottom"/>
            <w:tcBorders>
              <w:top w:val="single" w:sz="8" w:color="auto"/>
            </w:tcBorders>
          </w:tcPr>
          <w:p>
            <w:pPr>
              <w:jc w:val="cente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Privately Issued</w:t>
            </w:r>
          </w:p>
        </w:tc>
        <w:tc>
          <w:tcPr>
            <w:tcW w:w="2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Other Assets and</w:t>
            </w:r>
          </w:p>
        </w:tc>
        <w:tc>
          <w:tcPr>
            <w:tcW w:w="3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0" w:type="dxa"/>
            <w:vAlign w:val="bottom"/>
          </w:tcPr>
          <w:p>
            <w:pPr>
              <w:jc w:val="cente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4900" w:type="dxa"/>
            <w:vAlign w:val="bottom"/>
          </w:tcPr>
          <w:p>
            <w:pPr>
              <w:spacing w:after="0"/>
              <w:rPr>
                <w:sz w:val="15"/>
                <w:szCs w:val="15"/>
                <w:color w:val="auto"/>
              </w:rPr>
            </w:pPr>
          </w:p>
        </w:tc>
        <w:tc>
          <w:tcPr>
            <w:tcW w:w="140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Backed Securities</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3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0" w:type="dxa"/>
            <w:vAlign w:val="bottom"/>
            <w:tcBorders>
              <w:bottom w:val="single" w:sz="8" w:color="auto"/>
            </w:tcBorders>
            <w:vMerge w:val="continue"/>
          </w:tcPr>
          <w:p>
            <w:pPr>
              <w:spacing w:after="0"/>
              <w:rPr>
                <w:sz w:val="15"/>
                <w:szCs w:val="15"/>
                <w:color w:val="auto"/>
              </w:rPr>
            </w:pPr>
          </w:p>
        </w:tc>
        <w:tc>
          <w:tcPr>
            <w:tcW w:w="4900" w:type="dxa"/>
            <w:vAlign w:val="bottom"/>
          </w:tcPr>
          <w:p>
            <w:pPr>
              <w:spacing w:after="0"/>
              <w:rPr>
                <w:sz w:val="15"/>
                <w:szCs w:val="15"/>
                <w:color w:val="auto"/>
              </w:rPr>
            </w:pPr>
          </w:p>
        </w:tc>
        <w:tc>
          <w:tcPr>
            <w:tcW w:w="3480" w:type="dxa"/>
            <w:vAlign w:val="bottom"/>
            <w:gridSpan w:val="4"/>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March 31 , 2019</w:t>
            </w:r>
          </w:p>
        </w:tc>
        <w:tc>
          <w:tcPr>
            <w:tcW w:w="1400" w:type="dxa"/>
            <w:vAlign w:val="bottom"/>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140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36,463</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4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out of Level 3 (a)</w:t>
            </w:r>
          </w:p>
        </w:tc>
        <w:tc>
          <w:tcPr>
            <w:tcW w:w="140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(26,696) (c)</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2019</w:t>
            </w:r>
          </w:p>
        </w:tc>
        <w:tc>
          <w:tcPr>
            <w:tcW w:w="1400" w:type="dxa"/>
            <w:vAlign w:val="bottom"/>
            <w:tcBorders>
              <w:top w:val="single" w:sz="8" w:color="auto"/>
              <w:bottom w:val="single" w:sz="8" w:color="auto"/>
            </w:tcBorders>
            <w:shd w:val="clear" w:color="auto" w:fill="CFF0FC"/>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60" w:type="dxa"/>
            <w:vAlign w:val="bottom"/>
            <w:gridSpan w:val="2"/>
            <w:vMerge w:val="continue"/>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June 30, 2019</w:t>
            </w:r>
          </w:p>
        </w:tc>
        <w:tc>
          <w:tcPr>
            <w:tcW w:w="1400" w:type="dxa"/>
            <w:vAlign w:val="bottom"/>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17,464</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top w:val="single" w:sz="8" w:color="auto"/>
            </w:tcBorders>
          </w:tcPr>
          <w:p>
            <w:pPr>
              <w:spacing w:after="0"/>
              <w:rPr>
                <w:sz w:val="21"/>
                <w:szCs w:val="21"/>
                <w:color w:val="auto"/>
              </w:rPr>
            </w:pPr>
          </w:p>
        </w:tc>
        <w:tc>
          <w:tcPr>
            <w:tcW w:w="49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March 31 , 2018</w:t>
            </w:r>
          </w:p>
        </w:tc>
        <w:tc>
          <w:tcPr>
            <w:tcW w:w="1400" w:type="dxa"/>
            <w:vAlign w:val="bottom"/>
            <w:shd w:val="clear" w:color="auto" w:fill="CFF0FC"/>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3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14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4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out of Level 3 (a)</w:t>
            </w:r>
          </w:p>
        </w:tc>
        <w:tc>
          <w:tcPr>
            <w:tcW w:w="14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(18,286) (c)</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Balance — June 30, 2018</w:t>
            </w:r>
          </w:p>
        </w:tc>
        <w:tc>
          <w:tcPr>
            <w:tcW w:w="1400" w:type="dxa"/>
            <w:vAlign w:val="bottom"/>
            <w:tcBorders>
              <w:top w:val="single" w:sz="8" w:color="auto"/>
              <w:bottom w:val="single" w:sz="8" w:color="auto"/>
            </w:tcBorders>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FF0FC"/>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380" w:type="dxa"/>
            <w:vAlign w:val="bottom"/>
            <w:tcBorders>
              <w:bottom w:val="single" w:sz="8" w:color="CFF0FC"/>
            </w:tcBorders>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26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1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June 30, 2018</w:t>
            </w:r>
          </w:p>
        </w:tc>
        <w:tc>
          <w:tcPr>
            <w:tcW w:w="1400" w:type="dxa"/>
            <w:vAlign w:val="bottom"/>
            <w:shd w:val="clear" w:color="auto" w:fill="CFF0FC"/>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FF0FC"/>
            </w:tcBorders>
          </w:tcPr>
          <w:p>
            <w:pPr>
              <w:spacing w:after="0" w:line="20" w:lineRule="exact"/>
              <w:rPr>
                <w:sz w:val="1"/>
                <w:szCs w:val="1"/>
                <w:color w:val="auto"/>
              </w:rPr>
            </w:pPr>
          </w:p>
        </w:tc>
        <w:tc>
          <w:tcPr>
            <w:tcW w:w="49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0" w:type="dxa"/>
            <w:vAlign w:val="bottom"/>
          </w:tcPr>
          <w:p>
            <w:pPr>
              <w:jc w:val="right"/>
              <w:ind w:right="680"/>
              <w:spacing w:after="0"/>
              <w:rPr>
                <w:sz w:val="20"/>
                <w:szCs w:val="20"/>
                <w:color w:val="auto"/>
              </w:rPr>
            </w:pPr>
            <w:r>
              <w:rPr>
                <w:rFonts w:ascii="Times New Roman" w:cs="Times New Roman" w:eastAsia="Times New Roman" w:hAnsi="Times New Roman"/>
                <w:sz w:val="18"/>
                <w:szCs w:val="18"/>
                <w:color w:val="auto"/>
              </w:rPr>
              <w:t>- 40 -</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changes in Level 3 assets and liabilities measured at estimated fair value on a recurring basis during the six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30, 2019 and 2018 were as follows:</w:t>
      </w:r>
    </w:p>
    <w:p>
      <w:pPr>
        <w:spacing w:after="0" w:line="242"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Investment</w:t>
      </w:r>
    </w:p>
    <w:p>
      <w:pPr>
        <w:jc w:val="center"/>
        <w:ind w:left="880"/>
        <w:spacing w:after="0" w:line="229" w:lineRule="auto"/>
        <w:rPr>
          <w:sz w:val="20"/>
          <w:szCs w:val="20"/>
          <w:color w:val="auto"/>
        </w:rPr>
      </w:pPr>
      <w:r>
        <w:rPr>
          <w:rFonts w:ascii="Times New Roman" w:cs="Times New Roman" w:eastAsia="Times New Roman" w:hAnsi="Times New Roman"/>
          <w:sz w:val="14"/>
          <w:szCs w:val="14"/>
          <w:b w:val="1"/>
          <w:bCs w:val="1"/>
          <w:color w:val="auto"/>
        </w:rPr>
        <w:t>Securities</w:t>
      </w:r>
    </w:p>
    <w:p>
      <w:pPr>
        <w:jc w:val="center"/>
        <w:ind w:left="880"/>
        <w:spacing w:after="0" w:line="231" w:lineRule="auto"/>
        <w:rPr>
          <w:sz w:val="20"/>
          <w:szCs w:val="20"/>
          <w:color w:val="auto"/>
        </w:rPr>
      </w:pPr>
      <w:r>
        <w:rPr>
          <w:rFonts w:ascii="Times New Roman" w:cs="Times New Roman" w:eastAsia="Times New Roman" w:hAnsi="Times New Roman"/>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1"/>
        </w:trPr>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Privately Issued</w:t>
            </w:r>
          </w:p>
        </w:tc>
        <w:tc>
          <w:tcPr>
            <w:tcW w:w="520" w:type="dxa"/>
            <w:vAlign w:val="bottom"/>
            <w:gridSpan w:val="2"/>
          </w:tcPr>
          <w:p>
            <w:pPr>
              <w:spacing w:after="0"/>
              <w:rPr>
                <w:sz w:val="11"/>
                <w:szCs w:val="11"/>
                <w:color w:val="auto"/>
              </w:rPr>
            </w:pPr>
          </w:p>
        </w:tc>
        <w:tc>
          <w:tcPr>
            <w:tcW w:w="12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Other Assets and</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2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Backed Securities</w:t>
            </w: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 January 1, 2019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Transfers out of Level 3 (a)</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(43,521) (c)</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2019</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2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June 30, 2019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0"/>
        </w:trPr>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80" w:type="dxa"/>
            <w:vAlign w:val="bottom"/>
            <w:tcBorders>
              <w:bottom w:val="single" w:sz="8" w:color="auto"/>
            </w:tcBorders>
            <w:gridSpan w:val="2"/>
            <w:vMerge w:val="continue"/>
          </w:tcPr>
          <w:p>
            <w:pPr>
              <w:spacing w:after="0"/>
              <w:rPr>
                <w:sz w:val="24"/>
                <w:szCs w:val="24"/>
                <w:color w:val="auto"/>
              </w:rPr>
            </w:pPr>
          </w:p>
        </w:tc>
        <w:tc>
          <w:tcPr>
            <w:tcW w:w="4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 January 1, 2018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28,407</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Transfers out of Level 3 (a)</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(25,959) (c)</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2018</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2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June 30, 2018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520" w:hanging="512"/>
        <w:spacing w:after="0" w:line="262" w:lineRule="auto"/>
        <w:tabs>
          <w:tab w:leader="none" w:pos="5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Company’s policy for transfers between fair value levels is to recognize the transfer as of the actual date of the event or change in circumstances that caused the transfer.</w:t>
      </w:r>
    </w:p>
    <w:p>
      <w:pPr>
        <w:ind w:left="520" w:hanging="512"/>
        <w:spacing w:after="0"/>
        <w:tabs>
          <w:tab w:leader="none" w:pos="5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Reported as mortgage banking revenues in the consolidated statement of income and includes the fair value of commitment issuances and expirations.</w:t>
      </w:r>
    </w:p>
    <w:p>
      <w:pPr>
        <w:spacing w:after="0" w:line="8"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Transfers out of Level 3 consist of interest rate locks transferred to closed loans.</w:t>
      </w:r>
    </w:p>
    <w:p>
      <w:pPr>
        <w:spacing w:after="0" w:line="206"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3" w:lineRule="exact"/>
        <w:rPr>
          <w:sz w:val="20"/>
          <w:szCs w:val="20"/>
          <w:color w:val="auto"/>
        </w:rPr>
      </w:pPr>
    </w:p>
    <w:p>
      <w:pPr>
        <w:ind w:right="320" w:firstLine="518"/>
        <w:spacing w:after="0" w:line="267" w:lineRule="auto"/>
        <w:rPr>
          <w:sz w:val="20"/>
          <w:szCs w:val="20"/>
          <w:color w:val="auto"/>
        </w:rPr>
      </w:pPr>
      <w:r>
        <w:rPr>
          <w:rFonts w:ascii="Times New Roman" w:cs="Times New Roman" w:eastAsia="Times New Roman" w:hAnsi="Times New Roman"/>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Loans</w:t>
      </w:r>
    </w:p>
    <w:p>
      <w:pPr>
        <w:spacing w:after="0" w:line="1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15% to 85% at June 30, 2019.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$212 million at June 30, 2019 ($155 million and $57 million of which were classified as Level 2 and Level 3, respectively), $268 million at December 31, 2018 ($120 million and $148 million of which were classified as Level 2 and Level 3, respectively) and $206 million at June 30, 2018 ($119 million and $87 million of which were classified as Level 2 and Level 3, respectively). Changes in fair value recognized for partial charge-offs of loans and loan impairment reserves on loans held by the Company on June 30, 2019 were decreases of $20 million and $36 million for the three-month and six-month periods ended June 30, 2019, respectively. Changes in fair value recognized for partial charge-offs of loans and loan impairment reserves on loans held by the Company on June 30, 2018 were decreases of $21 million and $45 million for the three-month and six-month periods ended June 30, 2018,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Assets taken in foreclosure of defaulted loans</w:t>
      </w:r>
    </w:p>
    <w:p>
      <w:pPr>
        <w:spacing w:after="0" w:line="1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$17 million and $30 million at June 30, 2019 and 2018, respectively. Changes in fair value recognized for those foreclosed assets held by the Company were not material during the three-month and six-month periods ended June 30, 2019 and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right="7900" w:firstLine="8"/>
        <w:spacing w:after="0" w:line="350" w:lineRule="auto"/>
        <w:tabs>
          <w:tab w:leader="none" w:pos="310"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Fair value measurements, continued </w:t>
      </w:r>
      <w:r>
        <w:rPr>
          <w:rFonts w:ascii="Times New Roman" w:cs="Times New Roman" w:eastAsia="Times New Roman" w:hAnsi="Times New Roman"/>
          <w:sz w:val="21"/>
          <w:szCs w:val="21"/>
          <w:b w:val="1"/>
          <w:bCs w:val="1"/>
          <w:i w:val="1"/>
          <w:iCs w:val="1"/>
          <w:color w:val="auto"/>
        </w:rPr>
        <w:t>Capitalized servicing rights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June 30, 2019, $199 million of capitalized servicing rights required a valuation allowance of approximately $9 million. No stratum of capitalized servicing rights required a valuation allowance at December 31, 2018 or June 30, 2018.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Significant unobservable inputs to Level 3 measurements</w:t>
      </w:r>
    </w:p>
    <w:p>
      <w:pPr>
        <w:spacing w:after="0" w:line="11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1"/>
          <w:szCs w:val="21"/>
          <w:color w:val="auto"/>
        </w:rPr>
        <w:t>The following tables present quantitative information about significant unobservable inputs used in the fair value measurements for certain Level 3 assets and liabilities at June 30, 2019 and December 31,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Inputs/Assumptions</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Borders>
              <w:top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2019</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Recurring fair value measurements</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Privately issued mortgage-backed</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Two independent</w:t>
            </w: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pricing quotes</w:t>
            </w:r>
          </w:p>
        </w:tc>
        <w:tc>
          <w:tcPr>
            <w:tcW w:w="15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Discounted cash</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assets (liabilities) (a)</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2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flow</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0%-98% (16%)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Recurring fair value measurements</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Privately issued mortgage-backed</w:t>
            </w:r>
          </w:p>
        </w:tc>
        <w:tc>
          <w:tcPr>
            <w:tcW w:w="720" w:type="dxa"/>
            <w:vAlign w:val="bottom"/>
            <w:tcBorders>
              <w:top w:val="single" w:sz="8" w:color="CFF0FC"/>
            </w:tcBorders>
          </w:tcPr>
          <w:p>
            <w:pPr>
              <w:spacing w:after="0"/>
              <w:rPr>
                <w:sz w:val="18"/>
                <w:szCs w:val="18"/>
                <w:color w:val="auto"/>
              </w:rPr>
            </w:pPr>
          </w:p>
        </w:tc>
        <w:tc>
          <w:tcPr>
            <w:tcW w:w="7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040" w:type="dxa"/>
            <w:vAlign w:val="bottom"/>
            <w:tcBorders>
              <w:top w:val="single" w:sz="8" w:color="CFF0FC"/>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Two independent</w:t>
            </w:r>
          </w:p>
        </w:tc>
        <w:tc>
          <w:tcPr>
            <w:tcW w:w="124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5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pricing quotes</w:t>
            </w: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Discounted cash</w:t>
            </w:r>
          </w:p>
        </w:tc>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w:t>
            </w: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assets (liabilities) (a)</w:t>
            </w:r>
          </w:p>
        </w:tc>
        <w:tc>
          <w:tcPr>
            <w:tcW w:w="7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20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flow</w:t>
            </w:r>
          </w:p>
        </w:tc>
        <w:tc>
          <w:tcPr>
            <w:tcW w:w="1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expirations</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0%-95% (13%)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Level 3 assets (liabilities) consist of commitments to originate real estate loans.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Sensitivity of fair value measurements to changes in unobservable inputs</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right="7220" w:firstLine="8"/>
        <w:spacing w:after="0" w:line="368" w:lineRule="auto"/>
        <w:tabs>
          <w:tab w:leader="none" w:pos="31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Fair value measurements, continued </w:t>
      </w:r>
      <w:r>
        <w:rPr>
          <w:rFonts w:ascii="Times New Roman" w:cs="Times New Roman" w:eastAsia="Times New Roman" w:hAnsi="Times New Roman"/>
          <w:sz w:val="20"/>
          <w:szCs w:val="20"/>
          <w:b w:val="1"/>
          <w:bCs w:val="1"/>
          <w:i w:val="1"/>
          <w:iCs w:val="1"/>
          <w:color w:val="auto"/>
        </w:rPr>
        <w:t>Disclosures of fair value of financial instruments</w:t>
      </w: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The carrying amounts and estimated fair value for financial instrument assets (liabilities) are presented in the following table: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1"/>
                <w:szCs w:val="11"/>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3"/>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1,271,611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1,271,611</w:t>
            </w: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1,214,826</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56,785</w:t>
            </w: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8,791,753</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8,791,753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8,791,753</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 assets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479,403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479,403</w:t>
            </w: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47,344</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432,059</w:t>
            </w: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11,580,249</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11,606,174</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109,377</w:t>
            </w: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11,400,933</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and leases: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 loans and leases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23,431,408</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23,095,155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23,095,155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35,194,375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34,932,104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503,599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34,428,505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16,693,737</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16,734,846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3,965,011</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12,769,835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Consumer loans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14,558,538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14,537,432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14,537,432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(1,029,867)</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Loans and leases, net</w:t>
            </w: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88,848,191</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89,299,537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4,468,610</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84,830,927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362,012</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362,012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362,012</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(30,747,946)</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(30,747,946)</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(30,747,946)</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(53,221,672)</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(53,221,672)</w:t>
            </w:r>
          </w:p>
        </w:tc>
        <w:tc>
          <w:tcPr>
            <w:tcW w:w="14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(53,221,672)</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(6,346,551)</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(6,447,027)</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(6,447,027)</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(1,364,855)</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(1,364,855)</w:t>
            </w:r>
          </w:p>
        </w:tc>
        <w:tc>
          <w:tcPr>
            <w:tcW w:w="14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(1,364,855)</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(4,611,390)</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(4,611,390)</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(4,611,390)</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(7,655,507)</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(7,703,957)</w:t>
            </w:r>
          </w:p>
        </w:tc>
        <w:tc>
          <w:tcPr>
            <w:tcW w:w="14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(7,703,957)</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(108,971)</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(108,971)</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(108,971)</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(73,392)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(73,392)</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to originate real estate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for sale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(23,447)</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(23,447)</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(23,447)</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credit-related commitments</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(127,699)</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(127,699)</w:t>
            </w:r>
          </w:p>
        </w:tc>
        <w:tc>
          <w:tcPr>
            <w:tcW w:w="14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(127,699)</w:t>
            </w:r>
          </w:p>
        </w:tc>
        <w:tc>
          <w:tcPr>
            <w:tcW w:w="0" w:type="dxa"/>
            <w:vAlign w:val="bottom"/>
          </w:tcPr>
          <w:p>
            <w:pPr>
              <w:spacing w:after="0"/>
              <w:rPr>
                <w:sz w:val="1"/>
                <w:szCs w:val="1"/>
                <w:color w:val="auto"/>
              </w:rPr>
            </w:pPr>
          </w:p>
        </w:tc>
      </w:tr>
      <w:tr>
        <w:trPr>
          <w:trHeight w:val="211"/>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swap agreements used for interest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rate risk management</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(5,780)</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(5,780)</w:t>
            </w: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(5,780)</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- 44 -</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62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1,605,439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1,605,439</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1,528,302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77,137</w:t>
            </w:r>
          </w:p>
        </w:tc>
        <w:tc>
          <w:tcPr>
            <w:tcW w:w="3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8,105,197</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8,105,197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8,105,197</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185,584</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46,018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139,566</w:t>
            </w:r>
          </w:p>
        </w:tc>
        <w:tc>
          <w:tcPr>
            <w:tcW w:w="3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12,692,813</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12,631,656</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71,989</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12,456,467</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and leases: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 loans and leases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22,977,976</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22,587,387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22,587,387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34,363,556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33,832,558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346,775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33,485,783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17,154,446</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16,974,545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3,920,447</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13,054,098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Consumer loans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13,970,499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13,819,545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13,819,545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(1,019,444)</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Loans and leases, net</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87,447,033</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87,214,035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4,267,222</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82,946,813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353,965</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353,965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353,965</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(32,256,668)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(32,256,668)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(32,256,668)</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(50,963,744)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(50,963,744)</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(50,963,744)</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(6,124,254)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(6,201,957)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(6,201,957)</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(811,906)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(811,906)</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(811,906)</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(4,398,378)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(4,398,378)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(4,398,378)</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borrowings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(8,444,914)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(8,385,289)</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(8,385,289)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(95,274)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(95,274)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(95,274)</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(178,125)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(178,125)</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(178,125)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to originate real estate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for sale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(6,177)</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(6,177)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(6,177)</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credit-related commitments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(131,688)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(131,688)</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(131,688)</w:t>
            </w:r>
          </w:p>
        </w:tc>
        <w:tc>
          <w:tcPr>
            <w:tcW w:w="0" w:type="dxa"/>
            <w:vAlign w:val="bottom"/>
          </w:tcPr>
          <w:p>
            <w:pPr>
              <w:spacing w:after="0"/>
              <w:rPr>
                <w:sz w:val="1"/>
                <w:szCs w:val="1"/>
                <w:color w:val="auto"/>
              </w:rPr>
            </w:pPr>
          </w:p>
        </w:tc>
      </w:tr>
      <w:tr>
        <w:trPr>
          <w:trHeight w:val="211"/>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swap agreements used for interest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rate risk management</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3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82"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13. Commitments and contingencies</w:t>
      </w:r>
    </w:p>
    <w:p>
      <w:pPr>
        <w:spacing w:after="0" w:line="1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In the normal course of business, various commitments and contingent liabilities are outstanding. Certain of these commitments are not included in the Company's 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r>
      <w:tr>
        <w:trPr>
          <w:trHeight w:val="155"/>
        </w:trPr>
        <w:tc>
          <w:tcPr>
            <w:tcW w:w="5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2"/>
          </w:tcPr>
          <w:p>
            <w:pPr>
              <w:jc w:val="right"/>
              <w:ind w:right="73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5,489,356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5,484,197</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 loans to be sold</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247,494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229,401</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real estate</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7,771,353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7,556,722</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real estate loans to be sold</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473,275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245,211</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residential real estate</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414,375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219,351</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other</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15,188,645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14,363,803</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2,353,515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2,326,991</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43,824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55,808</w:t>
            </w:r>
          </w:p>
        </w:tc>
        <w:tc>
          <w:tcPr>
            <w:tcW w:w="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Financial guarantees and indemnification contracts</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3,741,060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3,529,136</w:t>
            </w:r>
          </w:p>
        </w:tc>
        <w:tc>
          <w:tcPr>
            <w:tcW w:w="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1,377,712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940,692</w:t>
            </w:r>
          </w:p>
        </w:tc>
        <w:tc>
          <w:tcPr>
            <w:tcW w:w="80" w:type="dxa"/>
            <w:vAlign w:val="bottom"/>
            <w:shd w:val="clear" w:color="auto" w:fill="CFF0FC"/>
          </w:tcPr>
          <w:p>
            <w:pPr>
              <w:spacing w:after="0"/>
              <w:rPr>
                <w:sz w:val="19"/>
                <w:szCs w:val="19"/>
                <w:color w:val="auto"/>
              </w:rPr>
            </w:pPr>
          </w:p>
        </w:tc>
      </w:tr>
    </w:tbl>
    <w:p>
      <w:pPr>
        <w:spacing w:after="0" w:line="239"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$8.6 billion at each of June 30, 2019 and December 31, 2018,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89"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$3.6 billion and $3.4 billion at June 30, 2019 and December 31, 2018, respectively.</w:t>
      </w:r>
    </w:p>
    <w:p>
      <w:pPr>
        <w:spacing w:after="0" w:line="188" w:lineRule="exact"/>
        <w:rPr>
          <w:sz w:val="20"/>
          <w:szCs w:val="20"/>
          <w:color w:val="auto"/>
        </w:rPr>
      </w:pPr>
    </w:p>
    <w:p>
      <w:pPr>
        <w:jc w:val="both"/>
        <w:ind w:right="20" w:firstLine="518"/>
        <w:spacing w:after="0" w:line="267" w:lineRule="auto"/>
        <w:rPr>
          <w:sz w:val="20"/>
          <w:szCs w:val="20"/>
          <w:color w:val="auto"/>
        </w:rPr>
      </w:pPr>
      <w:r>
        <w:rPr>
          <w:rFonts w:ascii="Times New Roman" w:cs="Times New Roman" w:eastAsia="Times New Roman" w:hAnsi="Times New Roman"/>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64"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13. Commitments and contingencies, continued</w:t>
      </w:r>
    </w:p>
    <w:p>
      <w:pPr>
        <w:spacing w:after="0" w:line="113"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June 30, 2019, the Company believes that its obligation to loan purchasers was not material to the Company’s consolidated financial position.</w:t>
      </w:r>
    </w:p>
    <w:p>
      <w:pPr>
        <w:spacing w:after="0" w:line="82"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As previously disclosed, Wilmington Trust Corporation, a wholly-owned subsidiary of M&amp;T, was the subject of a class action lawsuit alleging that Wilmington Trust Corporation’s financial reporting and securities filings prior to its acquisition by M&amp;T in 2011 were in violation of securities laws. In April 2018, the parties reached an agreement in principle and a formal settlement agreement was executed and filed with the court later in the second quarter of 2018. The proposed settlement was preliminarily approved by the court in July 2018. In the first quarter of 2018, the Company increased its reserve for litigation matters in anticipation of the settlement. The settlement amount of $200 million was paid, pursuant to the settlement agreement, during the third quarter of 2018. The settlement agreement was approved by the court in the fourth quarter of 2018.</w:t>
      </w:r>
    </w:p>
    <w:p>
      <w:pPr>
        <w:spacing w:after="0" w:line="19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Wilmington Trust, N.A., a wholly owned bank subsidiary of M&amp;T, provides retirement services, including serving in certain trustee roles relating to Employee Stock 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investigations, the DOL has commenced three lawsuits against Wilmington Trust, N.A. relating to its role as trustee of three ESOP transactions. In July 2019, Wilmington Trust, N.A. reached a settlement in principle with the DOL to resolve certain pending DOL ESOP matters. Although a formal settlement agreement has yet to be prepared and executed, the Company does not expect that the agreed-upon settlement will have a material incremental impact on the Company’s consolidated financial position or results of operations. Wilmington Trust, N.A. has also been named as a defendant in four private party lawsuits relating to its role as trustee for four ESOP transactions. Under applicable transaction documents, Wilmington Trust, N.A. may be entitled to indemnification by the ESOP Plan Sponsors. These matters could result in damages, settlements, penalties, restitution, reputational damage or additional costs and expenses.</w:t>
      </w:r>
    </w:p>
    <w:p>
      <w:pPr>
        <w:spacing w:after="0" w:line="86"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20"/>
          <w:szCs w:val="20"/>
          <w:color w:val="auto"/>
        </w:rPr>
        <w:t>M&amp;T and its subsidiaries are subject in the normal course of business to various other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The Company increased its recorded liability for legal-related matters by $50 million and $135 million during the three months ended March 31, 2019 and 2018, respectively. To the extent pending or threatened litigation could result in exposure in excess of the recorded liability, the amount of such excess is not currently estimable. Although not considered probable, the range of reasonably possible losses for such matters in the aggregate, beyond the existing recorded liability, was estimated to be between $0 and $50 million as of June 30, 2019.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14. Segment information</w:t>
      </w:r>
    </w:p>
    <w:p>
      <w:pPr>
        <w:spacing w:after="0" w:line="1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9"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financial information of the Company's segments was compiled utilizing the accounting policies described in note 22 of Notes to Financial Statements in the 2018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Information about the Company's segments is presented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16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14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2060" w:type="dxa"/>
            <w:vAlign w:val="bottom"/>
            <w:gridSpan w:val="2"/>
          </w:tcPr>
          <w:p>
            <w:pPr>
              <w:jc w:val="center"/>
              <w:ind w:left="15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140,767</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42,250</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136,029</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278,110</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123,507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269,499</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225,442</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121,629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205,541</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60,976</w:t>
            </w: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(9,291)</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58,976</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(10,554)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96,449</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82,167</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436,593</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140,494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420,540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315,239</w:t>
            </w: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(12,943)</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293,449</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$ 1,553,576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$ 1,466,201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3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14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2060" w:type="dxa"/>
            <w:vAlign w:val="bottom"/>
            <w:gridSpan w:val="2"/>
          </w:tcPr>
          <w:p>
            <w:pPr>
              <w:jc w:val="center"/>
              <w:ind w:left="15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280,089</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85,521</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263,913</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545,600</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535,895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444,615</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239,127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408,148</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124,893</w:t>
            </w: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(18,590)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109,014</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(21,386)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180,210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164,625</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867,484</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285,560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814,016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661,510</w:t>
            </w: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(22,719)</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(7,726)</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604,803</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(19,987)</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(53,474)</w:t>
            </w: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$ 3,104,401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956,002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$ 2,900,414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60" w:type="dxa"/>
            <w:vAlign w:val="bottom"/>
          </w:tcPr>
          <w:p>
            <w:pPr>
              <w:spacing w:after="0"/>
              <w:rPr>
                <w:sz w:val="24"/>
                <w:szCs w:val="24"/>
                <w:color w:val="auto"/>
              </w:rPr>
            </w:pPr>
          </w:p>
        </w:tc>
        <w:tc>
          <w:tcPr>
            <w:tcW w:w="2060" w:type="dxa"/>
            <w:vAlign w:val="bottom"/>
            <w:gridSpan w:val="2"/>
          </w:tcPr>
          <w:p>
            <w:pPr>
              <w:jc w:val="center"/>
              <w:ind w:left="1550"/>
              <w:spacing w:after="0"/>
              <w:rPr>
                <w:sz w:val="20"/>
                <w:szCs w:val="20"/>
                <w:color w:val="auto"/>
              </w:rPr>
            </w:pPr>
            <w:r>
              <w:rPr>
                <w:rFonts w:ascii="Times New Roman" w:cs="Times New Roman" w:eastAsia="Times New Roman" w:hAnsi="Times New Roman"/>
                <w:sz w:val="18"/>
                <w:szCs w:val="18"/>
                <w:color w:val="auto"/>
                <w:w w:val="97"/>
              </w:rPr>
              <w:t>- 48 -</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14. Segment information,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Total Assets</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520" w:hanging="512"/>
        <w:spacing w:after="0" w:line="267" w:lineRule="auto"/>
        <w:tabs>
          <w:tab w:leader="none" w:pos="520" w:val="left"/>
        </w:tabs>
        <w:numPr>
          <w:ilvl w:val="0"/>
          <w:numId w:val="1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$5,925,000 and $5,397,000 for the three-month periods ended June 30, 2019 and 2018, respectively, and $11,892,000 and $10,206,000 for the six-month periods ended June 30, 2019 and 2018, respectively, and is eliminated in "All Other" total revenues. Intersegment revenues are included in total revenues of the reportable segments. The elimination of intersegment revenues is included in the determination of "All Other" total revenues</w:t>
      </w:r>
      <w:r>
        <w:rPr>
          <w:rFonts w:ascii="Times New Roman" w:cs="Times New Roman" w:eastAsia="Times New Roman" w:hAnsi="Times New Roman"/>
          <w:sz w:val="14"/>
          <w:szCs w:val="14"/>
          <w:i w:val="1"/>
          <w:iCs w:val="1"/>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Relationship with Bayview Lending Group LLC and Bayview Financial Holdings, L.P.</w:t>
      </w:r>
    </w:p>
    <w:p>
      <w:pPr>
        <w:spacing w:after="0" w:line="1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M&amp;T holds a 20% minority interest in Bayview Lending Group LLC ("BLG"), a privately-held commercial mortgage company. M&amp;T recognizes income or loss from BLG using the equity method of accounting. That investment had no remaining carrying value at June 30, 2019 as a result of cumulative losses recognized and cash distributions received in prior years. Income recognized by M&amp;T is included in other revenues from operations and totaled $37 million and $23 million for the three-month periods ended March 31, 2019 and 2018, respectively. There was no similar income recognized during the three-month periods ended June 30, 2019 and 2018.</w:t>
      </w:r>
    </w:p>
    <w:p>
      <w:pPr>
        <w:spacing w:after="0" w:line="79"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$2.4 billion and $2.5 billion at each of June 30, 2019 and December 31, 2018, respectively. Revenues from those servicing rights were $3 million and $4 million for the three-month periods ended June 30, 2019 and 2018, respectively, and $6 million and $7 million for the six-month periods ended June 30, 2019 and 2018, respectively. The Company sub-services residential mortgage loans for Bayview Financial having outstanding principal balances of $68.7 billion and $56.8 billion at June 30, 2019 and December 31, 2018, respectively. Revenues earned for sub-servicing loans for Bayview Financial were $29 million and $28 million for the three-month periods ended June 30, 2019 and 2018, respectively, and $57 million and $58 million for the six-month periods ended June 30, 2019 and 2018, respectively. In addition, the Company held $105 million and $113 million of mortgage-backed securities in its held-to-maturity portfolio at June 30, 2019 and December 31, 2018, respectively, that were securitized by Bayview Financial. At June 30, 2019, the Company held $112 million of Bayview Financial’s $826 million syndicated loan facility. The Company and Bayview Financial entered into arrangements whereby the Company added approximately $16.6 billion to its residential mortgage loan sub-servicing portfolio during the second quarter of 2019.</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Recent accounting developments</w:t>
      </w:r>
    </w:p>
    <w:p>
      <w:pPr>
        <w:spacing w:after="0" w:line="22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21"/>
          <w:szCs w:val="21"/>
          <w:color w:val="auto"/>
        </w:rPr>
        <w:t>The following table provides a description of accounting standards that were adopted by the Company in 2019 as well as standards that are not effective that could have an impact to M&amp;T’s consolidated financial statements upon adoption.</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120" w:type="dxa"/>
            <w:vAlign w:val="bottom"/>
            <w:tcBorders>
              <w:top w:val="single" w:sz="8" w:color="auto"/>
            </w:tcBorders>
          </w:tcPr>
          <w:p>
            <w:pPr>
              <w:spacing w:after="0"/>
              <w:rPr>
                <w:sz w:val="11"/>
                <w:szCs w:val="11"/>
                <w:color w:val="auto"/>
              </w:rPr>
            </w:pPr>
          </w:p>
        </w:tc>
        <w:tc>
          <w:tcPr>
            <w:tcW w:w="3860" w:type="dxa"/>
            <w:vAlign w:val="bottom"/>
            <w:tcBorders>
              <w:top w:val="single" w:sz="8" w:color="auto"/>
              <w:right w:val="single" w:sz="8" w:color="auto"/>
            </w:tcBorders>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360" w:type="dxa"/>
            <w:vAlign w:val="bottom"/>
            <w:tcBorders>
              <w:top w:val="single" w:sz="8" w:color="auto"/>
            </w:tcBorders>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7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vMerge w:val="continue"/>
          </w:tcPr>
          <w:p>
            <w:pPr>
              <w:spacing w:after="0"/>
              <w:rPr>
                <w:sz w:val="15"/>
                <w:szCs w:val="15"/>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Standards Adopted in 2019</w:t>
            </w:r>
          </w:p>
        </w:tc>
        <w:tc>
          <w:tcPr>
            <w:tcW w:w="38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Leases</w:t>
            </w:r>
          </w:p>
        </w:tc>
        <w:tc>
          <w:tcPr>
            <w:tcW w:w="120" w:type="dxa"/>
            <w:vAlign w:val="bottom"/>
            <w:shd w:val="clear" w:color="auto" w:fill="CFF0FC"/>
          </w:tcPr>
          <w:p>
            <w:pPr>
              <w:spacing w:after="0"/>
              <w:rPr>
                <w:sz w:val="23"/>
                <w:szCs w:val="23"/>
                <w:color w:val="auto"/>
              </w:rPr>
            </w:pPr>
          </w:p>
        </w:tc>
        <w:tc>
          <w:tcPr>
            <w:tcW w:w="386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The new guidance requires lessees to record a right-of-use asset</w:t>
            </w:r>
          </w:p>
        </w:tc>
        <w:tc>
          <w:tcPr>
            <w:tcW w:w="148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2019</w:t>
            </w:r>
          </w:p>
        </w:tc>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Company adopted the guidance on January 1, 2019 and applied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and a lease liability for all leases with a term greater than 12</w:t>
            </w:r>
          </w:p>
        </w:tc>
        <w:tc>
          <w:tcPr>
            <w:tcW w:w="148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guidance retrospectively at the beginning of the period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months. While the guidance requires all leases to be</w:t>
            </w:r>
          </w:p>
        </w:tc>
        <w:tc>
          <w:tcPr>
            <w:tcW w:w="1480" w:type="dxa"/>
            <w:vAlign w:val="bottom"/>
            <w:tcBorders>
              <w:right w:val="single" w:sz="8" w:color="auto"/>
            </w:tcBorders>
            <w:vMerge w:val="continue"/>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adoption. The Company occupies certain banking offices and uses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recognized in the balance sheet, there continues to be a</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certain equipment under noncancelable operating lease agreements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differentiation between finance leases and operating leases for</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which prior to the adoption of the guidance were not reflected in its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purposes of income statement recognition and cash flow</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balance sheet. Upon adoption, the Company recognized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statement presentation. For finance leases, interest on the lease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 right-of-use asset of $394 million and increased liabilities by $399</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liability and amortization of the right-of-use asset is recognized</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million as a result of recognizing lease liabilities in its consolidated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separately in the statement of income. Repayments of principal</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balance sheet. The new guidance did not have a material impact 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on those lease liabilities are classified within financing</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Company’s consolidated statement of income.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activities and payments of interest on the lease liability are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classified within operating activities in the statement of cash</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flows. For operating leases, a single lease cost is recognized in</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the statement of income and allocated over the lease term,</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generally on a straight-line basis. All cash payments are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presented within operating activities in the statement of cash</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flows. The accounting applied by lessors is largely unchanged,</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however, the guidance eliminates the accounting model for</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leveraged leases for leases that commence after the effective</w:t>
            </w:r>
          </w:p>
        </w:tc>
        <w:tc>
          <w:tcPr>
            <w:tcW w:w="1480" w:type="dxa"/>
            <w:vAlign w:val="bottom"/>
            <w:tcBorders>
              <w:right w:val="single" w:sz="8" w:color="auto"/>
            </w:tcBorders>
            <w:shd w:val="clear" w:color="auto" w:fill="CFF0FC"/>
          </w:tcPr>
          <w:p>
            <w:pPr>
              <w:spacing w:after="0"/>
              <w:rPr>
                <w:sz w:val="12"/>
                <w:szCs w:val="12"/>
                <w:color w:val="auto"/>
              </w:rPr>
            </w:pPr>
          </w:p>
        </w:tc>
        <w:tc>
          <w:tcPr>
            <w:tcW w:w="4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date of the guidance.</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36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Premium Amortization</w:t>
            </w:r>
          </w:p>
        </w:tc>
        <w:tc>
          <w:tcPr>
            <w:tcW w:w="120" w:type="dxa"/>
            <w:vAlign w:val="bottom"/>
          </w:tcPr>
          <w:p>
            <w:pPr>
              <w:spacing w:after="0"/>
              <w:rPr>
                <w:sz w:val="23"/>
                <w:szCs w:val="23"/>
                <w:color w:val="auto"/>
              </w:rPr>
            </w:pPr>
          </w:p>
        </w:tc>
        <w:tc>
          <w:tcPr>
            <w:tcW w:w="3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amended guidance requires the premium on callable debt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2019</w:t>
            </w:r>
          </w:p>
        </w:tc>
        <w:tc>
          <w:tcPr>
            <w:tcW w:w="4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Company adopted the amended guidance effective January 1,</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on Purchased Callable</w:t>
            </w:r>
          </w:p>
        </w:tc>
        <w:tc>
          <w:tcPr>
            <w:tcW w:w="120" w:type="dxa"/>
            <w:vAlign w:val="bottom"/>
          </w:tcPr>
          <w:p>
            <w:pPr>
              <w:spacing w:after="0"/>
              <w:rPr>
                <w:sz w:val="12"/>
                <w:szCs w:val="12"/>
                <w:color w:val="auto"/>
              </w:rPr>
            </w:pPr>
          </w:p>
        </w:tc>
        <w:tc>
          <w:tcPr>
            <w:tcW w:w="386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securities to be amortized to the earliest call date. The</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2019 and applied the modified retrospective approach for reporting</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Debt Securities</w:t>
            </w:r>
          </w:p>
        </w:tc>
        <w:tc>
          <w:tcPr>
            <w:tcW w:w="120" w:type="dxa"/>
            <w:vAlign w:val="bottom"/>
          </w:tcPr>
          <w:p>
            <w:pPr>
              <w:spacing w:after="0"/>
              <w:rPr>
                <w:sz w:val="12"/>
                <w:szCs w:val="12"/>
                <w:color w:val="auto"/>
              </w:rPr>
            </w:pPr>
          </w:p>
        </w:tc>
        <w:tc>
          <w:tcPr>
            <w:tcW w:w="386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amendments do not require an accounting change for securities</w:t>
            </w:r>
          </w:p>
        </w:tc>
        <w:tc>
          <w:tcPr>
            <w:tcW w:w="1480" w:type="dxa"/>
            <w:vAlign w:val="bottom"/>
            <w:tcBorders>
              <w:right w:val="single" w:sz="8" w:color="auto"/>
            </w:tcBorders>
            <w:vMerge w:val="continue"/>
          </w:tcPr>
          <w:p>
            <w:pPr>
              <w:spacing w:after="0"/>
              <w:rPr>
                <w:sz w:val="12"/>
                <w:szCs w:val="12"/>
                <w:color w:val="auto"/>
              </w:rPr>
            </w:pPr>
          </w:p>
        </w:tc>
        <w:tc>
          <w:tcPr>
            <w:tcW w:w="4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purposes. The adoption did not have a material effect on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held at a discount; the discount continues to be amortized to</w:t>
            </w:r>
          </w:p>
        </w:tc>
        <w:tc>
          <w:tcPr>
            <w:tcW w:w="14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Company’s consolidated financial position nor on its results of</w:t>
            </w: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maturity.</w:t>
            </w:r>
          </w:p>
        </w:tc>
        <w:tc>
          <w:tcPr>
            <w:tcW w:w="1480" w:type="dxa"/>
            <w:vAlign w:val="bottom"/>
            <w:tcBorders>
              <w:bottom w:val="single" w:sz="8" w:color="auto"/>
              <w:right w:val="single" w:sz="8" w:color="auto"/>
            </w:tcBorders>
          </w:tcPr>
          <w:p>
            <w:pPr>
              <w:spacing w:after="0"/>
              <w:rPr>
                <w:sz w:val="14"/>
                <w:szCs w:val="14"/>
                <w:color w:val="auto"/>
              </w:rPr>
            </w:pPr>
          </w:p>
        </w:tc>
        <w:tc>
          <w:tcPr>
            <w:tcW w:w="4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operations.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Recent accounting developments, continued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980" w:type="dxa"/>
            <w:vAlign w:val="bottom"/>
            <w:tcBorders>
              <w:top w:val="single" w:sz="8" w:color="auto"/>
              <w:right w:val="single" w:sz="8" w:color="auto"/>
            </w:tcBorders>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260" w:type="dxa"/>
            <w:vAlign w:val="bottom"/>
            <w:tcBorders>
              <w:top w:val="single" w:sz="8" w:color="auto"/>
              <w:right w:val="single" w:sz="8" w:color="auto"/>
            </w:tcBorders>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7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980" w:type="dxa"/>
            <w:vAlign w:val="bottom"/>
            <w:tcBorders>
              <w:bottom w:val="single" w:sz="8" w:color="auto"/>
              <w:right w:val="single" w:sz="8" w:color="auto"/>
            </w:tcBorders>
            <w:vMerge w:val="continue"/>
          </w:tcPr>
          <w:p>
            <w:pPr>
              <w:spacing w:after="0"/>
              <w:rPr>
                <w:sz w:val="15"/>
                <w:szCs w:val="15"/>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2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8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Standards Not Yet Adopted as of June 30, 2019</w:t>
            </w:r>
          </w:p>
        </w:tc>
        <w:tc>
          <w:tcPr>
            <w:tcW w:w="1480" w:type="dxa"/>
            <w:vAlign w:val="bottom"/>
            <w:tcBorders>
              <w:bottom w:val="single" w:sz="8" w:color="auto"/>
            </w:tcBorders>
          </w:tcPr>
          <w:p>
            <w:pPr>
              <w:spacing w:after="0"/>
              <w:rPr>
                <w:sz w:val="19"/>
                <w:szCs w:val="19"/>
                <w:color w:val="auto"/>
              </w:rPr>
            </w:pPr>
          </w:p>
        </w:tc>
        <w:tc>
          <w:tcPr>
            <w:tcW w:w="4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Measurement of Credit</w:t>
            </w:r>
          </w:p>
        </w:tc>
        <w:tc>
          <w:tcPr>
            <w:tcW w:w="3980" w:type="dxa"/>
            <w:vAlign w:val="bottom"/>
            <w:tcBorders>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The amended guidance replaces the current incurred loss</w:t>
            </w:r>
          </w:p>
        </w:tc>
        <w:tc>
          <w:tcPr>
            <w:tcW w:w="148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2020</w:t>
            </w:r>
          </w:p>
        </w:tc>
        <w:tc>
          <w:tcPr>
            <w:tcW w:w="426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Company is continuing the development of its approach for</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Losses on Financial</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model for determining the allowance for credit losses. The</w:t>
            </w:r>
          </w:p>
        </w:tc>
        <w:tc>
          <w:tcPr>
            <w:tcW w:w="148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determining expected credit losses under the new guidance.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Instruments</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guidance requires financial assets measured at amortized cost</w:t>
            </w:r>
          </w:p>
        </w:tc>
        <w:tc>
          <w:tcPr>
            <w:tcW w:w="1480" w:type="dxa"/>
            <w:vAlign w:val="bottom"/>
            <w:tcBorders>
              <w:right w:val="single" w:sz="8" w:color="auto"/>
            </w:tcBorders>
            <w:vMerge w:val="continue"/>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 has a cross-functional implementation team working 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 be presented at the net amount expected to be</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 as of</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model development, model validation, and development of a</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collected. The allowance for credit losses will represent a</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 2019</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qualitative framework, data sourcing, and technology enhancements.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valuation account that is deducted from the amortized cost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Company expects that the new guidance will result in an increase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basis of the financial assets to present their net carrying value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 its allowance for credit losses as a result of considering credit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at the amount expected to be collected. The income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losses over the expected life of its loan portfolios, in particular its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statement will reflect the measurement of credit losses for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consumer and residential real estate loan portfolios. The expected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newly recognized financial assets as well as expected</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to the allowance for credit losses and the impact to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increases or decreases of expected credit losses that have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Company’s financial statements are still to be determined.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taken place during the period. When determining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amount of the change will be affected by economic conditions,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expected credit losses over the contractual term</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reasonable forecasts of such conditions and the composition of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of the financial asset(s) (taking into account prepayments)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Company’s portfolio as of the date of adoption.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will be estimated considering relevant information about past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events, current conditions, and reasonable and supportable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forecasts that affect the collectibility of the reported</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 The amended guidance also requires recording an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credit losses for purchased financial assets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 a more-than-insignificant amount of credit deterioration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since origination. The initial allowance for these assets will</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be added to the purchase price at acquisition rather than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being reported as an expense. Subsequent changes in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will be recorded through the income statement as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 expense adjustment. In addition, the amended guidance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requires credit losses relating to available-for-sale debt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securities to be recorded through an allowance for credit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losses. The calculation of credit losses for available-for-sale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securities will be similar to how it is determined under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existing guidance.</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Simplifying the Test</w:t>
            </w:r>
          </w:p>
        </w:tc>
        <w:tc>
          <w:tcPr>
            <w:tcW w:w="3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The amended guidance eliminates step 2 from the goodwill</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2020</w:t>
            </w:r>
          </w:p>
        </w:tc>
        <w:tc>
          <w:tcPr>
            <w:tcW w:w="4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amendments should be applied using a prospective transition</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for Goodwill</w:t>
            </w: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test.</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method. The Company does not expect the guidance will have a</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Impairment</w:t>
            </w: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material impact on its consolidated financial statements, unless at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some point in the future one of its reporting units were to fail step 1</w:t>
            </w: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398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4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 the goodwill impairment test.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Recent accounting developments, continued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980" w:type="dxa"/>
            <w:vAlign w:val="bottom"/>
            <w:tcBorders>
              <w:top w:val="single" w:sz="8" w:color="auto"/>
              <w:right w:val="single" w:sz="8" w:color="auto"/>
            </w:tcBorders>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260" w:type="dxa"/>
            <w:vAlign w:val="bottom"/>
            <w:tcBorders>
              <w:top w:val="single" w:sz="8" w:color="auto"/>
              <w:right w:val="single" w:sz="8" w:color="auto"/>
            </w:tcBorders>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7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980" w:type="dxa"/>
            <w:vAlign w:val="bottom"/>
            <w:tcBorders>
              <w:bottom w:val="single" w:sz="8" w:color="auto"/>
              <w:right w:val="single" w:sz="8" w:color="auto"/>
            </w:tcBorders>
            <w:vMerge w:val="continue"/>
          </w:tcPr>
          <w:p>
            <w:pPr>
              <w:spacing w:after="0"/>
              <w:rPr>
                <w:sz w:val="15"/>
                <w:szCs w:val="15"/>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2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8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Standards Not Yet Adopted as of June 30, 2019</w:t>
            </w:r>
          </w:p>
        </w:tc>
        <w:tc>
          <w:tcPr>
            <w:tcW w:w="1480" w:type="dxa"/>
            <w:vAlign w:val="bottom"/>
            <w:tcBorders>
              <w:bottom w:val="single" w:sz="8" w:color="auto"/>
            </w:tcBorders>
          </w:tcPr>
          <w:p>
            <w:pPr>
              <w:spacing w:after="0"/>
              <w:rPr>
                <w:sz w:val="19"/>
                <w:szCs w:val="19"/>
                <w:color w:val="auto"/>
              </w:rPr>
            </w:pPr>
          </w:p>
        </w:tc>
        <w:tc>
          <w:tcPr>
            <w:tcW w:w="4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Changes to the</w:t>
            </w:r>
          </w:p>
        </w:tc>
        <w:tc>
          <w:tcPr>
            <w:tcW w:w="3980" w:type="dxa"/>
            <w:vAlign w:val="bottom"/>
            <w:tcBorders>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The amended guidance modifies the disclosure requirements</w:t>
            </w:r>
          </w:p>
        </w:tc>
        <w:tc>
          <w:tcPr>
            <w:tcW w:w="148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2020</w:t>
            </w:r>
          </w:p>
        </w:tc>
        <w:tc>
          <w:tcPr>
            <w:tcW w:w="426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amendments relating to changes in unrealized gains and losses,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Disclosure</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on fair value measurements in Topic 820, Fair Value</w:t>
            </w:r>
          </w:p>
        </w:tc>
        <w:tc>
          <w:tcPr>
            <w:tcW w:w="148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range and weighted average of significant unobservable inputs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Requirements for Fair</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Measurements. The amendments are a result of the</w:t>
            </w:r>
          </w:p>
        </w:tc>
        <w:tc>
          <w:tcPr>
            <w:tcW w:w="1480" w:type="dxa"/>
            <w:vAlign w:val="bottom"/>
            <w:tcBorders>
              <w:right w:val="single" w:sz="8" w:color="auto"/>
            </w:tcBorders>
            <w:vMerge w:val="continue"/>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used to develop Level 3 fair value measurements, and the narrative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Value Measurements</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 framework project that focuses on improvements</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description of measurements uncertainty should be applied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 the effectiveness of disclosures in the notes to financial</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prospectively. All other amendments should be applied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statements. The amendments remove, modify, and add</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retrospectively. The Company does not expect the guidance to have a</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certain disclosure requirements. The disclosure requirements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material impact on its consolidated financial statements.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being removed relating to public companies are (1)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 and reason for transfers between Level 1 and Level 2</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of the fair value hierarchy, (2) the policy for timing of</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transfers between levels, and (3) the valuation process for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Level 3 fair value measurements. The disclosure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requirements being modified relating to public companies</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are (1) for investments in certain entities that calculate net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asset value, an entity is required to disclose the timing of</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liquidation of an investee’s asset and the date when</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restrictions from redemption might lapse only if the investee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has communicated the timing to the entity or announced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timing publicly, and (2) the measurement uncertainty</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 is to communicate information about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uncertainty in measurement as a result of the use of</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unobservable inputs. The disclosure requirements being</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added relating to public companies are (1) to disclose the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unrealized gains and losses for the period for</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recurring Level 3 fair value measurements, and (2) to</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disclose the range and weighted average of significant</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unobservable inputs used to develop Level 3 fair value</w:t>
            </w:r>
          </w:p>
        </w:tc>
        <w:tc>
          <w:tcPr>
            <w:tcW w:w="148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measurements.</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Customer’s</w:t>
            </w:r>
          </w:p>
        </w:tc>
        <w:tc>
          <w:tcPr>
            <w:tcW w:w="3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The amended guidance requires a hosting arrangement that is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2020</w:t>
            </w:r>
          </w:p>
        </w:tc>
        <w:tc>
          <w:tcPr>
            <w:tcW w:w="4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amendments should be applied either retrospectively or</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Accounting for</w:t>
            </w: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 service contract to follow the guidance in Subtopic 350-40</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prospectively to all implementation costs incurred after the date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Implementation Costs</w:t>
            </w: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to determine which implementation costs to capitalize and</w:t>
            </w:r>
          </w:p>
        </w:tc>
        <w:tc>
          <w:tcPr>
            <w:tcW w:w="1480" w:type="dxa"/>
            <w:vAlign w:val="bottom"/>
            <w:tcBorders>
              <w:right w:val="single" w:sz="8" w:color="auto"/>
            </w:tcBorders>
            <w:vMerge w:val="continue"/>
          </w:tcPr>
          <w:p>
            <w:pPr>
              <w:spacing w:after="0"/>
              <w:rPr>
                <w:sz w:val="12"/>
                <w:szCs w:val="12"/>
                <w:color w:val="auto"/>
              </w:rPr>
            </w:pP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adoption. The Company is evaluating the impact that the guidance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Incurred in a Cloud</w:t>
            </w: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which costs to expense.</w:t>
            </w:r>
          </w:p>
        </w:tc>
        <w:tc>
          <w:tcPr>
            <w:tcW w:w="14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will have on its consolidated financial statements.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Computing</w:t>
            </w: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Arrangement That Is a</w:t>
            </w:r>
          </w:p>
        </w:tc>
        <w:tc>
          <w:tcPr>
            <w:tcW w:w="39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Service Contract</w:t>
            </w:r>
          </w:p>
        </w:tc>
        <w:tc>
          <w:tcPr>
            <w:tcW w:w="39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4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700" w:type="dxa"/>
            <w:vAlign w:val="bottom"/>
            <w:tcBorders>
              <w:left w:val="single" w:sz="8" w:color="auto"/>
              <w:bottom w:val="single" w:sz="8" w:color="auto"/>
              <w:right w:val="single" w:sz="8" w:color="auto"/>
            </w:tcBorders>
          </w:tcPr>
          <w:p>
            <w:pPr>
              <w:spacing w:after="0"/>
              <w:rPr>
                <w:sz w:val="11"/>
                <w:szCs w:val="11"/>
                <w:color w:val="auto"/>
              </w:rPr>
            </w:pPr>
          </w:p>
        </w:tc>
        <w:tc>
          <w:tcPr>
            <w:tcW w:w="39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4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Recent accounting developments, continued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980" w:type="dxa"/>
            <w:vAlign w:val="bottom"/>
            <w:tcBorders>
              <w:top w:val="single" w:sz="8" w:color="auto"/>
              <w:right w:val="single" w:sz="8" w:color="auto"/>
            </w:tcBorders>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260" w:type="dxa"/>
            <w:vAlign w:val="bottom"/>
            <w:tcBorders>
              <w:top w:val="single" w:sz="8" w:color="auto"/>
              <w:right w:val="single" w:sz="8" w:color="auto"/>
            </w:tcBorders>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7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980" w:type="dxa"/>
            <w:vAlign w:val="bottom"/>
            <w:tcBorders>
              <w:bottom w:val="single" w:sz="8" w:color="auto"/>
              <w:right w:val="single" w:sz="8" w:color="auto"/>
            </w:tcBorders>
            <w:vMerge w:val="continue"/>
          </w:tcPr>
          <w:p>
            <w:pPr>
              <w:spacing w:after="0"/>
              <w:rPr>
                <w:sz w:val="15"/>
                <w:szCs w:val="15"/>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2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8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Standards Not Yet Adopted as of June 30, 2019</w:t>
            </w:r>
          </w:p>
        </w:tc>
        <w:tc>
          <w:tcPr>
            <w:tcW w:w="1480" w:type="dxa"/>
            <w:vAlign w:val="bottom"/>
            <w:tcBorders>
              <w:bottom w:val="single" w:sz="8" w:color="auto"/>
            </w:tcBorders>
          </w:tcPr>
          <w:p>
            <w:pPr>
              <w:spacing w:after="0"/>
              <w:rPr>
                <w:sz w:val="19"/>
                <w:szCs w:val="19"/>
                <w:color w:val="auto"/>
              </w:rPr>
            </w:pPr>
          </w:p>
        </w:tc>
        <w:tc>
          <w:tcPr>
            <w:tcW w:w="4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1700" w:type="dxa"/>
            <w:vAlign w:val="bottom"/>
            <w:tcBorders>
              <w:left w:val="single" w:sz="8" w:color="auto"/>
              <w:right w:val="single" w:sz="8" w:color="auto"/>
            </w:tcBorders>
            <w:shd w:val="clear" w:color="auto" w:fill="CFF0FC"/>
          </w:tcPr>
          <w:p>
            <w:pPr>
              <w:ind w:left="160"/>
              <w:spacing w:after="0" w:line="119" w:lineRule="exact"/>
              <w:rPr>
                <w:sz w:val="20"/>
                <w:szCs w:val="20"/>
                <w:color w:val="auto"/>
              </w:rPr>
            </w:pPr>
            <w:r>
              <w:rPr>
                <w:rFonts w:ascii="Times New Roman" w:cs="Times New Roman" w:eastAsia="Times New Roman" w:hAnsi="Times New Roman"/>
                <w:sz w:val="13"/>
                <w:szCs w:val="13"/>
                <w:color w:val="auto"/>
              </w:rPr>
              <w:t>Improvements to</w:t>
            </w:r>
          </w:p>
        </w:tc>
        <w:tc>
          <w:tcPr>
            <w:tcW w:w="3980" w:type="dxa"/>
            <w:vAlign w:val="bottom"/>
            <w:tcBorders>
              <w:right w:val="single" w:sz="8" w:color="auto"/>
            </w:tcBorders>
            <w:shd w:val="clear" w:color="auto" w:fill="CFF0FC"/>
          </w:tcPr>
          <w:p>
            <w:pPr>
              <w:ind w:left="120"/>
              <w:spacing w:after="0" w:line="119" w:lineRule="exact"/>
              <w:rPr>
                <w:sz w:val="20"/>
                <w:szCs w:val="20"/>
                <w:color w:val="auto"/>
              </w:rPr>
            </w:pPr>
            <w:r>
              <w:rPr>
                <w:rFonts w:ascii="Times New Roman" w:cs="Times New Roman" w:eastAsia="Times New Roman" w:hAnsi="Times New Roman"/>
                <w:sz w:val="13"/>
                <w:szCs w:val="13"/>
                <w:color w:val="auto"/>
              </w:rPr>
              <w:t>The amended guidance requires that indirect interests held</w:t>
            </w:r>
          </w:p>
        </w:tc>
        <w:tc>
          <w:tcPr>
            <w:tcW w:w="1480" w:type="dxa"/>
            <w:vAlign w:val="bottom"/>
            <w:tcBorders>
              <w:right w:val="single" w:sz="8" w:color="auto"/>
            </w:tcBorders>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January 1, 2020</w:t>
            </w:r>
          </w:p>
        </w:tc>
        <w:tc>
          <w:tcPr>
            <w:tcW w:w="4260" w:type="dxa"/>
            <w:vAlign w:val="bottom"/>
            <w:tcBorders>
              <w:right w:val="single" w:sz="8" w:color="auto"/>
            </w:tcBorders>
            <w:shd w:val="clear" w:color="auto" w:fill="CFF0FC"/>
          </w:tcPr>
          <w:p>
            <w:pPr>
              <w:ind w:left="100"/>
              <w:spacing w:after="0" w:line="119" w:lineRule="exact"/>
              <w:rPr>
                <w:sz w:val="20"/>
                <w:szCs w:val="20"/>
                <w:color w:val="auto"/>
              </w:rPr>
            </w:pPr>
            <w:r>
              <w:rPr>
                <w:rFonts w:ascii="Times New Roman" w:cs="Times New Roman" w:eastAsia="Times New Roman" w:hAnsi="Times New Roman"/>
                <w:sz w:val="13"/>
                <w:szCs w:val="13"/>
                <w:color w:val="auto"/>
              </w:rPr>
              <w:t>The amendments should be applied retrospectively with a</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Related Party</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through related parties in common control arrangements</w:t>
            </w:r>
          </w:p>
        </w:tc>
        <w:tc>
          <w:tcPr>
            <w:tcW w:w="148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cumulative-effect adjustment to retained earnings at the beginning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Guidance for VIEs</w:t>
            </w: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should be considered on a proportional basis for determining</w:t>
            </w:r>
          </w:p>
        </w:tc>
        <w:tc>
          <w:tcPr>
            <w:tcW w:w="1480" w:type="dxa"/>
            <w:vAlign w:val="bottom"/>
            <w:tcBorders>
              <w:right w:val="single" w:sz="8" w:color="auto"/>
            </w:tcBorders>
            <w:vMerge w:val="continue"/>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earliest period presented. The Company does not expect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whether fees paid to decision makers and service providers</w:t>
            </w:r>
          </w:p>
        </w:tc>
        <w:tc>
          <w:tcPr>
            <w:tcW w:w="148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26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guidance to have a material impact on its consolidated financial</w:t>
            </w: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are variable interests.</w:t>
            </w:r>
          </w:p>
        </w:tc>
        <w:tc>
          <w:tcPr>
            <w:tcW w:w="148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statements.</w:t>
            </w: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Changes to the</w:t>
            </w:r>
          </w:p>
        </w:tc>
        <w:tc>
          <w:tcPr>
            <w:tcW w:w="3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The amended guidance modifies the disclosure requirements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2021</w:t>
            </w:r>
          </w:p>
        </w:tc>
        <w:tc>
          <w:tcPr>
            <w:tcW w:w="4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amendments should be applied retrospectively. The Company</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Disclosure</w:t>
            </w: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for employers that sponsor defined benefit pension or other</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does not expect the guidance to have a material impact on its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Requirements for</w:t>
            </w: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postretirement plans. The amendments are a result of the</w:t>
            </w:r>
          </w:p>
        </w:tc>
        <w:tc>
          <w:tcPr>
            <w:tcW w:w="1480" w:type="dxa"/>
            <w:vAlign w:val="bottom"/>
            <w:tcBorders>
              <w:right w:val="single" w:sz="8" w:color="auto"/>
            </w:tcBorders>
            <w:vMerge w:val="continue"/>
          </w:tcPr>
          <w:p>
            <w:pPr>
              <w:spacing w:after="0"/>
              <w:rPr>
                <w:sz w:val="12"/>
                <w:szCs w:val="12"/>
                <w:color w:val="auto"/>
              </w:rPr>
            </w:pPr>
          </w:p>
        </w:tc>
        <w:tc>
          <w:tcPr>
            <w:tcW w:w="426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consolidated financial statements.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Defined Benefit Plans</w:t>
            </w: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 framework project that focuses on improvements</w:t>
            </w:r>
          </w:p>
        </w:tc>
        <w:tc>
          <w:tcPr>
            <w:tcW w:w="14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to the effectiveness of disclosures in the notes to financial</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statements. The amendments remove and add certain</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 requirements. The disclosure requirements being</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removed relating to public companies are (1) the amounts in</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expected to be</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recognized as components of net periodic benefit cost over</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next fiscal year, (2) the amount and timing of plan assets</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expected to be returned to the employer, (3) the 2001</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 requirement relating to Japanese Welfare Pension</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Insurance Law, (4) related party disclosures about the</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 of future annual benefits covered by insurance, and</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(5) the effects of a one-percentage-point change in assumed</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health care cost trends on the benefit cost and</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obligation. The disclosure requirements being added relating</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to public companies are (1) the weighted-average interest</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crediting rates for cash balance plans , and (2) an explanation</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of the reasons for significant gains and losses related to</w:t>
            </w:r>
          </w:p>
        </w:tc>
        <w:tc>
          <w:tcPr>
            <w:tcW w:w="148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39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changes in the benefit obligation for the period.</w:t>
            </w:r>
          </w:p>
        </w:tc>
        <w:tc>
          <w:tcPr>
            <w:tcW w:w="1480" w:type="dxa"/>
            <w:vAlign w:val="bottom"/>
            <w:tcBorders>
              <w:bottom w:val="single" w:sz="8" w:color="auto"/>
              <w:right w:val="single" w:sz="8" w:color="auto"/>
            </w:tcBorders>
          </w:tcPr>
          <w:p>
            <w:pPr>
              <w:spacing w:after="0"/>
              <w:rPr>
                <w:sz w:val="14"/>
                <w:szCs w:val="14"/>
                <w:color w:val="auto"/>
              </w:rPr>
            </w:pPr>
          </w:p>
        </w:tc>
        <w:tc>
          <w:tcPr>
            <w:tcW w:w="4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17. Subsequent Events</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On July 30, 2019, M&amp;T issued 40,000 shares of Series G Perpetual Fixed-Rate Reset Non-cumulative Preferred Stock, par value $1.00 per share and liquidation preference of $10,000 per share. Through July 31, 2024 holders of the Series G preferred stock are entitled to receive, only when, as and if declared by M&amp;T’s Board of Directors, non-cumulative cash dividends at an annual rate of 5.0%, payable semiannually in arrears. Subsequent to July 31, 2024 holders will be entitled to receive, only when, as and if declared by M&amp;T’s Board of Directors, non-cumulative cash dividends at an annual rate of the five-year U.S. Treasury Rate plus 3.174%, payable semiannually in arrears. The Series G preferred stock may be redeemed at M&amp;T’s option, in whole or in part, on any dividend payment date on or after August 1, 2024 or, in whole but not in part, at any time within 90 days following a regulatory capital treatment event whereby the full liquidation value of the shares no longer qualifies as “additional Tier 1 capital.”</w:t>
      </w:r>
    </w:p>
    <w:p>
      <w:pPr>
        <w:spacing w:after="0" w:line="78"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In addition, M&amp;T expects to redeem the 230,000 shares issued and outstanding of the Series A and 151,500 shares issued and outstanding of the Series C Fixed Rate Cumulative Perpetual Preferred Stock, $1,000 liquidation preference per share on August 30, 2019, having received the approval of the Federal Reserve to redeem such shares after issuing the Series G preferred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Net income for M&amp;T Bank Corporation (“M&amp;T”) in the second quarter of 2019 totaled $473 million or $3.34 of diluted earnings per common share, compared with $493 million or $3.26 of diluted earnings per common share in the year-earlier quarter. Net income and diluted earnings per common share during the first quarter of 2019 were $483 million and $3.35, respectively. Basic earnings per common share were also $3.34 in the recent quarter, compared with $3.26 in the second quarter of 2018 and $3.35 in the initial 2019 quarter. Net income totaled $956 million or $6.69 of diluted and basic earnings per common share for the first half of 2019, compared with $846 million or $5.48 of diluted earnings per common share and $5.49 of basic earnings per common share in the corresponding period of 2018.</w:t>
      </w:r>
    </w:p>
    <w:p>
      <w:pPr>
        <w:spacing w:after="0" w:line="82"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annualized rate of return on average total assets for M&amp;T and its consolidated subsidiaries (“the Company”) in the second quarter of 2019 was 1.60%, compared with 1.70% in the year-earlier quarter and 1.68% in the first quarter of 2019. The annualized rate of return on average common shareholders’ equity was 12.68% in the recent quarter, compared with 13.32% in the second quarter of 2018 and 13.14% in 2019’s initial quarter. During the six-month period ended June 30, 2019, the annualized rates of return on average assets and average common shareholders’ equity were 1.64% and 12.91%, respectively, compared with 1.46% and 11.21%, respectively, in the first half of 2018.</w:t>
      </w:r>
    </w:p>
    <w:p>
      <w:pPr>
        <w:spacing w:after="0" w:line="80"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In July 2019, M&amp;T agreed to sell its non-controlling interest in an asset manager obtained in the 2011 acquisition of Wilmington Trust Corporation that is accounted for using the equity method of accounting and, as a result, as of June 30, 2019 recorded a $48 million charge (reflected in “other costs of operations”) to reduce the carrying value of the investment to its estimated net realizable value. Similar to other active investment managers, the investee entity has experienced a decrease in assets under management and during the recent quarter the entity’s chief executive and investment officer announced his retirement. Following that announcement, successor management submitted a proposal to M&amp;T to restructure the organization of the entity. The after-tax impact of the charge was a reduction in net income of $36 million, or $.27 of diluted earnings per common share. The carrying value of the investment and M&amp;T’s share of income of the investee entity are not material to M&amp;T’s consolidated financial statements.</w:t>
      </w:r>
    </w:p>
    <w:p>
      <w:pPr>
        <w:spacing w:after="0" w:line="78"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During the first quarter of 2019, the Company increased its reserve for legal matters by $50 million in conjunction with matters associated with a subsidiary’s role as trustee of Employee Stock Ownership Plans in its Institutional Client Services business. That increase, on an after-tax basis, reduced net income in the initial 2019 quarter by $37 million, or $.27 of diluted earnings per common share. Also during that quarter, M&amp;T realized $37 million of distributed income from Bayview Lending Group LLC (“BLG”), increasing net income in the quarter by $28 million, or $.20 of diluted earnings per common share.</w:t>
      </w:r>
    </w:p>
    <w:p>
      <w:pPr>
        <w:spacing w:after="0" w:line="79"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Effective January 1, 2019, the Company adopted new accounting guidance for leases. The new guidance requires lessees to record a right-of-use asset and a lease liability for all leases with a term greater than twelve months. The accounting applied by lessors is largely unchanged, however, the guidance eliminates the accounting model for leveraged leases that commence after December 31, 2018. The Company occupies certain banking offices and uses certain equipment under noncancelable operating lease agreements which, prior to January 1, 2019, were not reflected in its consolidated balance sheet. As of January 1, 2019, the Company recorded right-of-use assets of $394 million and increased lease liabilities of $399 million in its consolidated balance sheet. The adoption of the new guidance did not have a material impact on the consolidated statement of income for the three-month or six-month periods ended June 30, 2019. For additional information on leases, see notes 3 and 4 of Notes to Financial Statements.</w:t>
      </w:r>
    </w:p>
    <w:p>
      <w:pPr>
        <w:spacing w:after="0" w:line="78"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On June 27, 2019, M&amp;T announced its 2019 Capital Plan, which covers the four-quarter period that began on July 1, 2019. The 2019 Capital Plan, which has been reviewed and approved by M&amp;T’s Board of Directors, reflects capital distributions within the amount that M&amp;T can make over the specified period based on the prior approval of the Board of Governors of the Federal Reserve System. M&amp;T’s 2019 Capital Plan reflects net capital distributions of approximately $1.9 billion, which include common and preferred stock dividends as well as repurchases 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55" w:name="page56"/>
    <w:bookmarkEnd w:id="55"/>
    <w:p>
      <w:pPr>
        <w:jc w:val="both"/>
        <w:spacing w:after="0" w:line="246" w:lineRule="auto"/>
        <w:rPr>
          <w:sz w:val="20"/>
          <w:szCs w:val="20"/>
          <w:color w:val="auto"/>
        </w:rPr>
      </w:pPr>
      <w:r>
        <w:rPr>
          <w:rFonts w:ascii="Times New Roman" w:cs="Times New Roman" w:eastAsia="Times New Roman" w:hAnsi="Times New Roman"/>
          <w:sz w:val="21"/>
          <w:szCs w:val="21"/>
          <w:color w:val="auto"/>
        </w:rPr>
        <w:t>M&amp;T’s common stock. M&amp;T’s Board of Directors may consider an increase in the common stock dividend, at its discretion, during the four-quarter period. All dividends are subject to declaration by M&amp;T’s Board of Directors. In July 2019, M&amp;T’s Board of Directors authorized a new stock repurchase plan to repurchase up to $1.635 billion of shares of M&amp;T’s common stock subject to all applicable regulatory limitations. During the first and second quarters of 2019, M&amp;T repurchased 2,150,000 shares and 2,450,000 shares of its common stock at a total cost of $366 million and $402 million, respectively. During the first and second quarters of 2018, M&amp;T repurchased 3,783,282 shares and 2,608,376 shares of its common stock at a total cost of $721 million and $475 million, respectively.</w:t>
      </w:r>
    </w:p>
    <w:p>
      <w:pPr>
        <w:spacing w:after="0" w:line="80"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As of March 31, 2018, the Company increased its reserve for legal matters by $135 million in anticipation of the settlement of a civil litigation matter by a wholly-owned subsidiary of M&amp;T, Wilmington Trust Corporation (“WT Corp.”), that related to periods prior to the acquisition of WT Corp. by M&amp;T. The increase, on an after-tax basis, reduced net income by $102 million or $.68 of diluted earnings per common share in the initial quarter of 2018. That matter received final court approval and is now settled. Additionally, M&amp;T realized $23 million of income from BLG during 2018’s first quarter, increasing net income in that quarter by $17 million, or $.11 of diluted earnings per common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Supplemental Reporting of Non-GAAP Results of Operations</w:t>
      </w:r>
    </w:p>
    <w:p>
      <w:pPr>
        <w:spacing w:after="0" w:line="1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80"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Net operating income totaled $477 million in the second quarter of 2019, compared with $498 million in the year-earlier quarter and $486 million in the initial 2019 quarter. Diluted net operating earnings per common share for the recent quarter were $3.37, compared with $3.29 in the second quarter of 2018 and $3.38 in the first quarter of 2019. For the first six months of 2019, net operating income and diluted net operating earnings per common share were $963 million and $6.74, respectively, compared with $855 million and $5.54, respectively, in the first half of 2018.</w:t>
      </w:r>
    </w:p>
    <w:p>
      <w:pPr>
        <w:spacing w:after="0" w:line="79"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Net operating income in the recent quarter expressed as an annualized rate of return on average tangible assets was 1.68%, compared with 1.79% in the similar quarter of 2018 and 1.76% in the initial 2019 quarter. Net operating income represented an annualized return on average tangible common equity of 18.83% in the second quarter of 2019, compared with 19.91% and 19.56% for the quarters ended June 30, 2018 and March 31, 2019, respectively. For the first half of 2019, net operating income represented an annualized return on average tangible assets and average tangible common shareholders’ equity of 1.72% and 19.19%, respectively, compared with 1.53% and 16.65%, respectively, in the corresponding 2018 period.</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Reconciliations of GAAP amounts with corresponding non-GAAP amounts are provided in table 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Taxable-equivalent Net Interest Income</w:t>
      </w:r>
    </w:p>
    <w:p>
      <w:pPr>
        <w:spacing w:after="0" w:line="1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Taxable-equivalent net interest income was $1.05 billion in the second quarter of 2019, up 3% from $1.01 billion in the year-earlier quarter. That growth resulted predominantly from a widening of the net interest margin, or taxable-equivalent net interest income expressed as an annualized percentage of average earning assets, to 3.91% in the recent quarter from 3.83% in the similar quarter of 2018. The improvement in the net interest margin was largely the result of the higher interest rate environment due to actions initiated by the Federal Reserve to raise its target Federal funds rate in .25% increments four times during 2018. In addition to the impact of the recent quarter’s expansion of the net interest margin on net interest income, average earning assets were $1.3 billion higher in the recent quarter as compared with the second quarter of 2018. Taxable-equivalent net interest income in the recent quarter declined $9 million, or 1%, from the first quarter of 2019 primarily driven by a 13 basis point (hundredths of one percent) narrowing of the net interest margin from 4.04% in the prior quarter, partially offset by a $1.4 billion rise in average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21"/>
          <w:szCs w:val="21"/>
          <w:color w:val="auto"/>
        </w:rPr>
        <w:t>earning assets. The increase in average earning assets in the recent quarter as compared with the second quarter of 2018 and the initial 2019 quarter resulted from higher average balances of loans and leases and interest-bearing deposits at banks, partially offset by lower average investment securities balances.</w:t>
      </w:r>
    </w:p>
    <w:p>
      <w:pPr>
        <w:spacing w:after="0" w:line="70"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For the first six months of 2019, taxable-equivalent net interest income was $2.10 billion, up 5% from $1.99 billion in the similar 2018 period. That increase was primarily attributable to a 20 basis point widening of the net interest margin to 3.97% in the 2019 period from 3.77% in the year-earlier period.</w:t>
      </w:r>
    </w:p>
    <w:p>
      <w:pPr>
        <w:spacing w:after="0" w:line="7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Average loans and leases totaled $89.2 billion in the second quarter of 2019, up $1.7 billion from $87.4 billion in the corresponding quarter of 2018. Commercial loans and leases averaged $23.3 billion in the second quarter of 2019, $1.6 billion or 7% higher than in the year-earlier quarter. Average commercial real estate loans were $34.8 billion in the recent quarter, up $1.1 billion, or 3%, from $33.7 billion in the similar 2018 quarter. Included in average commercial real estate loans in the second quarters of 2019 and 2018 were loans held for sale of $245 million and $222 million, respectively. Reflecting ongoing repayments of loans obtained in the 2015 acquisition of Hudson City Bancorp, Inc. (“Hudson City”), average residential real estate loans declined $1.9 billion or 10% to $16.7 billion in the second quarter of 2019 from $18.6 billion in the year-earlier quarter. Included in average residential real estate loans were loans held for sale of $227 million in the recent quarter and $285 million in the second quarter of 2018. Consumer loans averaged $14.3 billion in the second quarter of 2019, up $958 million, or 7%, from $13.4 billion in the year-earlier quarter, predominantly due to growth in average recreational finance (consisting predominantly of loans secured by recreational vehicles and boats) and automobile loans that were partially offset by declines in outstanding balances of home equity loans and lines of credit.</w:t>
      </w:r>
    </w:p>
    <w:p>
      <w:pPr>
        <w:spacing w:after="0" w:line="89"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Average loan and lease balances in the recent quarter increased $674 million, or 1%, from $88.5 billion in the first quarter of 2019. Average commercial loan and lease balances in the recent quarter were up $326 million, or 1%, from $23.0 billion in the initial 2019 quarter. Average commercial real estate loans in the second quarter of 2019 increased $243 million, or 1%, from $34.5 billion in the first quarter of 2019. Commercial real estate loans held for sale averaged $280 million in the first quarter of 2019. Average balances of residential real estate loans in the recently completed quarter declined $216 million, or 1%, from $16.9 billion in 2019’s first quarter, reflecting the continued pay down of loans obtained in the acquisition of Hudson City. The rate of decline of average residential real estate loan balances from the first quarter to the second quarter of 2019 slowed due to higher levels of such loans that are guaranteed by government-related entities that were repurchased to reduce associated servicing costs. Those higher repurchases in the recent quarter were associated with additions to the Company’s servicing and sub-servicing loan portfolios during 2019. Average consumer loans in the recent quarter increased $320 million, or 2%, from $14.0 billion in the initial quarter of 2019. The accompanying table summarizes quarterly changes in the major components of the loan and lease portfolio.</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AND LEASES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of unearned discount)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2nd Qtr.</w:t>
            </w: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 from</w:t>
            </w:r>
          </w:p>
        </w:tc>
        <w:tc>
          <w:tcPr>
            <w:tcW w:w="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2nd Qtr.</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73"/>
              <w:spacing w:after="0" w:line="144" w:lineRule="exact"/>
              <w:rPr>
                <w:sz w:val="20"/>
                <w:szCs w:val="20"/>
                <w:color w:val="auto"/>
              </w:rPr>
            </w:pPr>
            <w:r>
              <w:rPr>
                <w:rFonts w:ascii="Times New Roman" w:cs="Times New Roman" w:eastAsia="Times New Roman" w:hAnsi="Times New Roman"/>
                <w:sz w:val="14"/>
                <w:szCs w:val="14"/>
                <w:b w:val="1"/>
                <w:bCs w:val="1"/>
                <w:color w:val="auto"/>
              </w:rPr>
              <w:t>1st Qtr.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00" w:type="dxa"/>
            <w:vAlign w:val="bottom"/>
          </w:tcPr>
          <w:p>
            <w:pPr>
              <w:spacing w:after="0"/>
              <w:rPr>
                <w:sz w:val="15"/>
                <w:szCs w:val="15"/>
                <w:color w:val="auto"/>
              </w:rPr>
            </w:pPr>
          </w:p>
        </w:tc>
        <w:tc>
          <w:tcPr>
            <w:tcW w:w="7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etc.</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Real estate — commercial</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 consumer</w:t>
            </w:r>
          </w:p>
        </w:tc>
        <w:tc>
          <w:tcPr>
            <w:tcW w:w="1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8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89,150</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20" w:type="dxa"/>
            <w:vAlign w:val="bottom"/>
          </w:tcPr>
          <w:p>
            <w:pPr>
              <w:spacing w:after="0"/>
              <w:rPr>
                <w:sz w:val="24"/>
                <w:szCs w:val="24"/>
                <w:color w:val="auto"/>
              </w:rPr>
            </w:pPr>
          </w:p>
        </w:tc>
        <w:tc>
          <w:tcPr>
            <w:tcW w:w="2780" w:type="dxa"/>
            <w:vAlign w:val="bottom"/>
            <w:gridSpan w:val="3"/>
          </w:tcPr>
          <w:p>
            <w:pPr>
              <w:jc w:val="right"/>
              <w:ind w:right="715"/>
              <w:spacing w:after="0"/>
              <w:rPr>
                <w:sz w:val="20"/>
                <w:szCs w:val="20"/>
                <w:color w:val="auto"/>
              </w:rPr>
            </w:pPr>
            <w:r>
              <w:rPr>
                <w:rFonts w:ascii="Times New Roman" w:cs="Times New Roman" w:eastAsia="Times New Roman" w:hAnsi="Times New Roman"/>
                <w:sz w:val="18"/>
                <w:szCs w:val="18"/>
                <w:color w:val="auto"/>
              </w:rPr>
              <w:t>- 57 -</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57" w:name="page58"/>
    <w:bookmarkEnd w:id="57"/>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For the first six months of 2019, average loans and leases totaled $88.8 billion, up $1.2 billion, or 1%, from $87.6 billion in the corresponding 2018 period. Contributing to that rise were increases in commercial loans of $1.5 billion, or 7%, commercial real estate loans of $977 million, or 3%, and consumer loans of $835 million, or 6%, partially offset by a decline in residential real estate loans of $2.1 billion, or 11%.</w:t>
      </w:r>
    </w:p>
    <w:p>
      <w:pPr>
        <w:spacing w:after="0" w:line="73"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investment securities portfolio is largely comprised of residential mortgage-backed securities and shorter-term U.S. Treasury and federal agency notes. When purchasing investment securities, the Company considers its liquidity position and its overall interest-rate risk profile as well as the adequacy of expected returns relative to risks assumed, including prepayments. The investment securities portfolio averaged $12.2 billion in the second quarter of 2019, down $1.7 billion, or 12%, from $13.9 billion in the year-earlier quarter and $778 million lower than the $12.9 billion averaged in the first quarter of 2019. For the first six months of 2019 and 2018, investment securities averaged $12.6 billion and $14.2 billion, respectively. The lower average balances in the recent periods reflect maturities of U.S. Treasury notes and pay downs of mortgage-backed securities. During the first quarter of 2019, the Company purchased $500 million of U.S. Treasury notes. There were no significant purchases of investment securities during the recent quarter or the first six months of 2018.</w:t>
      </w:r>
    </w:p>
    <w:p>
      <w:pPr>
        <w:spacing w:after="0" w:line="84"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Fair value changes in equity securities with readily determinable fair values are recognized in the consolidated statement of income. Net unrealized gains on such equity securities were $9 million in the recent quarter, compared with net unrealized gains of $2 million and $12 million in the quarters ended June 30, 2018 and March 31, 2019, respectively. Those gains were predominantly related to the Company’s holdings of Fannie Mae and Freddie Mac preferred stock.</w:t>
      </w:r>
    </w:p>
    <w:p>
      <w:pPr>
        <w:spacing w:after="0" w:line="73"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There were no significant sales of investment securities during the six-month periods ended June 30, 2019 or 2018. The amounts of investment securities held by the Company are influenced by such factors as demand for loans, which generally yield more than investment securities and other earning assets, ongoing repayments, the levels of deposits, and management of liquidity and balance sheet size and resulting capital ratios.</w:t>
      </w:r>
    </w:p>
    <w:p>
      <w:pPr>
        <w:spacing w:after="0" w:line="80"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20"/>
          <w:szCs w:val="20"/>
          <w:color w:val="auto"/>
        </w:rPr>
        <w:t>The Company regularly reviews its investment securities for declines in value below amortized cost that might be characterized as “other than temporary.” There were no other-than-temporary impairment charges recognized in either of the six-month periods ended June 30, 2019 or 2018. Based on management’s assessment of future cash flows associated with individual investment securities as of June 30, 2019, the Company concluded that declines in value below amortized cost associated with individual investment securities were temporary in nature. A further discussion of fair values of investment securities is included herein under the heading “Capital.” Additional information about the investment securities portfolio is included in notes 2 and 12 of Notes to Financial Statements.</w:t>
      </w:r>
    </w:p>
    <w:p>
      <w:pPr>
        <w:spacing w:after="0" w:line="64"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Other earning assets include interest-bearing deposits at the Federal Reserve Bank of New York and other banks, trading account assets and federal funds sold. Those other earning assets in the aggregate averaged $6.2 billion in the second quarter of 2019, compared with $4.9 billion in the year-earlier quarter and $4.7 billion in the first quarter of 2019. Interest-bearing deposits at banks averaged $6.1 billion, $4.9 billion and $4.6 billion during the three-month periods ended June 30, 2019, June 30, 2018 and March 31, 2019, respectively. The amounts of interest-bearing deposits at banks at the respective dates were predominantly comprised of deposits held at the Federal Reserve Bank of New York. The levels of those deposits often fluctuate due to changes in trust-related and commercial deposits, purchases or maturities of investment securities, or borrowings to manage the Company’s liquidity.</w:t>
      </w:r>
    </w:p>
    <w:p>
      <w:pPr>
        <w:spacing w:after="0" w:line="82"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As a result of the changes described herein, average earning assets totaled $107.5 billion in the most recent quarter, compared with $106.2 billion in the second quarter of 2018 and $106.1 billion in the initial 2019 quarter. Average earning assets totaled $106.8 billion and $106.7 billion during the first six months of 2019 and 2018, respectively.</w:t>
      </w:r>
    </w:p>
    <w:p>
      <w:pPr>
        <w:spacing w:after="0" w:line="70"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The Company considers noninterest-bearing deposits, interest-bearing transaction accounts, savings deposits and time deposits of $250,000 or less as core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58" w:name="page59"/>
    <w:bookmarkEnd w:id="58"/>
    <w:p>
      <w:pPr>
        <w:jc w:val="both"/>
        <w:spacing w:after="0" w:line="245" w:lineRule="auto"/>
        <w:rPr>
          <w:sz w:val="20"/>
          <w:szCs w:val="20"/>
          <w:color w:val="auto"/>
        </w:rPr>
      </w:pPr>
      <w:r>
        <w:rPr>
          <w:rFonts w:ascii="Times New Roman" w:cs="Times New Roman" w:eastAsia="Times New Roman" w:hAnsi="Times New Roman"/>
          <w:sz w:val="21"/>
          <w:szCs w:val="21"/>
          <w:color w:val="auto"/>
        </w:rPr>
        <w:t>deposits. The Company’s branch network is its principal source of core deposits, which generally carry lower interest rates than wholesale funds of comparable maturities. Average core deposits totaled $86.2 billion in the second quarter of 2019, compared with $87.7 billion in the similar 2018 quarter and $84.8 billion in the first quarter of 2019. The decline in average core deposits in the recent quarter as compared with the second quarter of 2018 reflected lower balances of noninterest-bearing deposits, primarily commercial customer deposits, partially offset by higher mortgage escrow deposits. As compared with the 2019’s initial quarter, the most significant factor contributing to the higher average core deposits in the recent quarter was a rise in mortgage escrow deposits. The following table provides an analysis of quarterly changes in the components of average core deposits.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CORE DEPOSITS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2nd Qtr.</w:t>
            </w:r>
          </w:p>
        </w:tc>
        <w:tc>
          <w:tcPr>
            <w:tcW w:w="208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(Decrease) from</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tcBorders>
              <w:top w:val="single" w:sz="8" w:color="auto"/>
            </w:tcBorders>
            <w:gridSpan w:val="2"/>
          </w:tcPr>
          <w:p>
            <w:pPr>
              <w:jc w:val="right"/>
              <w:ind w:right="420"/>
              <w:spacing w:after="0" w:line="144" w:lineRule="exact"/>
              <w:rPr>
                <w:sz w:val="20"/>
                <w:szCs w:val="20"/>
                <w:color w:val="auto"/>
              </w:rPr>
            </w:pPr>
            <w:r>
              <w:rPr>
                <w:rFonts w:ascii="Times New Roman" w:cs="Times New Roman" w:eastAsia="Times New Roman" w:hAnsi="Times New Roman"/>
                <w:sz w:val="14"/>
                <w:szCs w:val="14"/>
                <w:b w:val="1"/>
                <w:bCs w:val="1"/>
                <w:color w:val="auto"/>
              </w:rPr>
              <w:t>2nd Qtr.</w:t>
            </w:r>
          </w:p>
        </w:tc>
        <w:tc>
          <w:tcPr>
            <w:tcW w:w="760" w:type="dxa"/>
            <w:vAlign w:val="bottom"/>
            <w:tcBorders>
              <w:top w:val="single" w:sz="8" w:color="auto"/>
            </w:tcBorders>
          </w:tcPr>
          <w:p>
            <w:pPr>
              <w:jc w:val="right"/>
              <w:ind w:right="76"/>
              <w:spacing w:after="0" w:line="144" w:lineRule="exact"/>
              <w:rPr>
                <w:sz w:val="20"/>
                <w:szCs w:val="20"/>
                <w:color w:val="auto"/>
              </w:rPr>
            </w:pPr>
            <w:r>
              <w:rPr>
                <w:rFonts w:ascii="Times New Roman" w:cs="Times New Roman" w:eastAsia="Times New Roman" w:hAnsi="Times New Roman"/>
                <w:sz w:val="14"/>
                <w:szCs w:val="14"/>
                <w:b w:val="1"/>
                <w:bCs w:val="1"/>
                <w:color w:val="auto"/>
              </w:rPr>
              <w:t>1st Qtr.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00" w:type="dxa"/>
            <w:vAlign w:val="bottom"/>
          </w:tcPr>
          <w:p>
            <w:pPr>
              <w:spacing w:after="0"/>
              <w:rPr>
                <w:sz w:val="15"/>
                <w:szCs w:val="15"/>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50,794</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3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86,233</w:t>
            </w:r>
          </w:p>
        </w:tc>
        <w:tc>
          <w:tcPr>
            <w:tcW w:w="3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$1.2 billion in the recent quarter, compared with $609 million in the second quarter of 2018 and $1.0 billion in the initial 2019 quarter. The increases in such deposits since the second quarter of 2018 were predominantly the result of the higher interest rate environment and customers’ desire to earn a higher return on their deposits. Cayman Islands office deposits averaged $1.2 billion, $225 million and $972 million for the quarters ended June 30, 2019, June 30, 2018 and March 31, 2019, respectively. The increases in such deposits from the second quarter of 2018 were the result of customers’ desire to sweep their deposit balances into higher earning products. The Company had brokered savings and interest-bearing transaction accounts, which in the aggregate averaged $2.7 billion, $1.7 billion and $2.9 billion during the second quarter of 2019, the similar 2018 quarter and the first quarter of 2019, respectively.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88"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one year or less. Average short-term borrowings totaled $1.3 billion in the second quarter of 2019, compared with $353 million in the year-earlier quarter and $1.1 billion in the initial 2019 quarter. Included in short-term borrowings were unsecured federal funds borrowings, which generally mature on the next business day, that averaged $323 million in the recent quarter, $232 million in the second quarter of 2018 and $320 million in the first quarter of 2019. Overnight federal funds borrowings totaled $3.2 billion at June 30, 2019, $2.6 billion at June 30, 2018 and $3.4 billion at March 31, 2019. Short-term borrowings from Federal Home Loan Banks averaged $890 million in the recently completed quarter, $72 million in the year-earlier quarter and $718 million in the initial 2019 quarter. In general, the higher short-term borrowings were entered into to help ensure compliance with Liquidity Coverage Ratio (“LCR”) requirements and for other liquidity purposes. The LCR requirements are intended to ensure that banks hold a sufficient amount of “high quality liquid assets” to cover the anticipated net cash outflows during a hypothetical acute 30-day stress scenario. For additional information concerning the LCR rules, refer to Part I, Item 1 of M&amp;T’s Form 10-K for the year ended December 31, 2018 under the heading “Liquidity.”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59" w:name="page60"/>
    <w:bookmarkEnd w:id="59"/>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Long-term borrowings averaged $8.3 billion in the recent quarter, compared with $8.5 billion in each of the second quarter of 2018 and first quarter of 2019. Average balances of outstanding senior unsecured notes were $5.5 billion during each of the three-month periods ended June 30, 2019, June 30, 2018 and March 31, 2019. Also included in average long-term borrowings were amounts borrowed from the Federal Home Loan Banks of New York and Pittsburgh of $394 million in the recent quarter, compared with $577 million in the second quarter of 2018 and $576 million in the initial 2019 quarter. Subordinated capital notes included in long-term borrowings averaged $1.4 billion in each of the three-month periods ended June 30, 2019, June 30, 2018 and March 31, 2019. Junior subordinated debentures associated with trust preferred securities that were included in average long-term borrowings were $523 million in the recent quarter, compared with $520 million and $522 million in the second quarter of 2018 and the initial 2019 quarter, respectively. Additional information regarding junior subordinated debentures is provided in note 5 of Notes to Financial Statements. Long-term borrowings also included agreements to repurchase securities, which averaged $373 million in the second quarter of 2019, $417 million in the year-earlier quarter and $408 million in the first quarter of 2019. The repurchase agreements held at June 30, 2019 totaled $103 million and have various repurchase dates through 2020, however, the contractual maturities of the underlying securities extend beyond such repurchase dates.</w:t>
      </w:r>
    </w:p>
    <w:p>
      <w:pPr>
        <w:spacing w:after="0" w:line="86"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Net interest income can be impacted by changes in the composition of the Company’s earning assets and interest-bearing liabilities, as discussed herein, as well as changes in interest rates and spreads. Net interest spread, or the difference between the taxable-equivalent yield on earning assets and the rate paid on interest-bearing liabilities, was 3.53% in the recent quarter, compared with 3.57% in the second 2018 quarter. The yield on earning assets during the second quarter of 2019 was 4.64%, up 36 basis points from 4.28% in the year-earlier period, while the rate paid on interest-bearing liabilities increased 40 basis points to 1.11% in the recent quarter from .71% in the similar 2018 period. In the first quarter of 2019, the net interest spread was 3.67%, the yield on earning assets was 4.71% and the rate paid on interest-bearing liabilities was 1.04%. During the recent quarter, the net interest spread narrowed from the year-earlier quarter and the initial 2019 quarter. As compared with the second quarter of 2018, the effect of increases in short-term interest rates initiated by the Federal Reserve during 2018 contributed to higher yields on loans and leases and rates on interest-bearing deposits. However, during the second quarter of 2019, declines in the London Interbank Offered Rate (“LIBOR”), in anticipation of a decrease in short-term interest rates by the Federal Reserve, reduced the yields earned on loans and leases as compared with the first quarter of 2019. That decline resulted in a seven basis point narrowing of the yield on earning assets in the recent quarter. In addition, the rate paid on interest-bearing liabilities increased from the first 2019 quarter by seven basis points, resulting in a decline in the net interest spread of 14 basis points in the recent quarter. The rise in the rate paid on interest-bearing liabilities in the recent quarter was largely due to an increase in mortgage escrow deposits, in conjunction with growth in residential mortgage servicing balances. The rate paid on those deposits are often indexed to the federal funds rate or LIBOR, and are higher than the rates paid on most other savings and interest-checking accounts. For the first six months of 2019, the net interest spread was 3.60%, up eight basis points from the year-earlier period. The yield on earning assets and the rate paid on interest-bearing liabilities for the first half of 2019 were 4.68% and 1.08%, respectively, compared with 4.20% and .68%, respectively, in the initial six months of 2018.</w:t>
      </w:r>
    </w:p>
    <w:p>
      <w:pPr>
        <w:spacing w:after="0" w:line="95"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$36.7 billion in the second quarter of 2019, compared with $38.6 billion in the year-earlier quarter and $37.1 billion in the initial 2019 quarter. The decrease in average net interest-free funds in the two most recent quarters as compared with the second quarter of 2018 largely reflects lower average balances of noninterest-bearing deposits. Those deposits averaged $30.1 billion, $31.4 billion and $30.3 billion in the quarters ended June 30, 2019, June 30, 2018 and March 31, 2019, respectively. The decline in such balances in the recent quarter as compared with the second quarter of 2018 was largely due to lower levels of deposits of commercial and municipal customers. During the first six months of 2019 and 2018, average net interest-free funds aggregated $36.9 billion and $38.9 billion, respectively. Shareholders’ equity averaged $15.6 billion during each of the three-month periods ended June 30, 2019 and March 31, 2019 and $15.5 billion during the three-month period ended June 30, 2018. Goodwill and core deposit and other intangible assets averaged $4.6 billion in each of the two</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0" w:name="page61"/>
    <w:bookmarkEnd w:id="60"/>
    <w:p>
      <w:pPr>
        <w:jc w:val="both"/>
        <w:spacing w:after="0" w:line="245" w:lineRule="auto"/>
        <w:rPr>
          <w:sz w:val="20"/>
          <w:szCs w:val="20"/>
          <w:color w:val="auto"/>
        </w:rPr>
      </w:pPr>
      <w:r>
        <w:rPr>
          <w:rFonts w:ascii="Times New Roman" w:cs="Times New Roman" w:eastAsia="Times New Roman" w:hAnsi="Times New Roman"/>
          <w:sz w:val="21"/>
          <w:szCs w:val="21"/>
          <w:color w:val="auto"/>
        </w:rPr>
        <w:t>most recent quarters, compared with $4.7 billion in the quarter ended June 30, 2018. The cash surrender value of bank owned life insurance averaged $1.8 billion in each of the quarters ended June 30, 2019, June 30, 2018 and March 31, 2019. Increases in the cash surrender value of bank owned life insurance and benefits received are not included in interest income, but rather are recorded in “other revenues from operations.” The contribution of net interest-free funds to net interest margin was .38% in the second quarter of 2019, compared with .26% and .37% in the second quarter of 2018 and first quarter of 2019, respectively. The increased contribution of net interest-free funds to net interest margin in the two most recent quarters as compared with the second 2018 quarter reflects the higher rates on interest-bearing liabilities used to value net interest-free funds. The contribution for the first half of 2019 and 2018 was .37% and .25%, respectively.</w:t>
      </w:r>
    </w:p>
    <w:p>
      <w:pPr>
        <w:spacing w:after="0" w:line="78" w:lineRule="exact"/>
        <w:rPr>
          <w:sz w:val="20"/>
          <w:szCs w:val="20"/>
          <w:color w:val="auto"/>
        </w:rPr>
      </w:pPr>
    </w:p>
    <w:p>
      <w:pPr>
        <w:jc w:val="both"/>
        <w:ind w:firstLine="518"/>
        <w:spacing w:after="0" w:line="263" w:lineRule="auto"/>
        <w:rPr>
          <w:sz w:val="20"/>
          <w:szCs w:val="20"/>
          <w:color w:val="auto"/>
        </w:rPr>
      </w:pPr>
      <w:r>
        <w:rPr>
          <w:rFonts w:ascii="Times New Roman" w:cs="Times New Roman" w:eastAsia="Times New Roman" w:hAnsi="Times New Roman"/>
          <w:sz w:val="20"/>
          <w:szCs w:val="20"/>
          <w:color w:val="auto"/>
        </w:rPr>
        <w:t>Reflecting the changes to the net interest spread and the contribution of interest-free funds as described herein, the Company’s net interest margin was 3.91% in the second quarter of 2019, compared with 3.83% in the year-earlier period and 4.04% in the initial quarter of 2019. During the first six months of 2019 and 2018, the net interest margin was 3.97% and 3.77%,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62"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$17.8 billion (excluding $21.4 billion of forward-starting swap agreements) at June 30, 2019, $7.6 billion (excluding $4.9 billion of forward-starting swap agreements) at June 30, 2018, $7.3 billion (excluding $12.6 billion of forward-starting swap agreements) at December 31, 2018 and $17.8 billion (excluding $16.4 billion of forward-starting swap agreements) at March 31, 2019. Under the terms of those interest rate swap agreements, the Company received payments based on the outstanding notional amount at fixed rates and made payments at variable rates. Interest rate swap agreements serving as cash flow hedges of interest payments associated with variable rate commercial real estate loans had notional amounts of $13.4 billion at each of June 30, 2019 and March 31, 2019, compared with $2.85 billion at each of June 30, 2018 and December 31, 2018. Interest rate swap agreements serving as fair value hedges of fixed rate long-term borrowings had notional values of $4.45 billion at each of June 30, 2019 and December 31, 2018, compared with $4.7 billion at June 30, 2018.</w:t>
      </w:r>
    </w:p>
    <w:p>
      <w:pPr>
        <w:spacing w:after="0" w:line="75"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during each of the quarters ended June 30, 2019, June 30, 2018 and March 31, 2019 were not material to the Company’s consolidated results of operations. Information regarding the fair value of interest rate swap agreements and hedge ineffectiveness is presented in note 10 of Notes to Financial Statements. The changes in the fair values of the interest rate swap agreements and the hedged items primarily result from the effects of changing interest rates and spreads.</w:t>
      </w:r>
    </w:p>
    <w:p>
      <w:pPr>
        <w:spacing w:after="0" w:line="89"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The weighted-average rates to be received and paid under interest rate swap agreements currently in effect were 2.40% and 2.55%, respectively, at June 30, 2019.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1" w:name="page62"/>
    <w:bookmarkEnd w:id="61"/>
    <w:p>
      <w:pPr>
        <w:spacing w:after="0" w:line="267" w:lineRule="auto"/>
        <w:rPr>
          <w:sz w:val="20"/>
          <w:szCs w:val="20"/>
          <w:color w:val="auto"/>
        </w:rPr>
      </w:pPr>
      <w:r>
        <w:rPr>
          <w:rFonts w:ascii="Times New Roman" w:cs="Times New Roman" w:eastAsia="Times New Roman" w:hAnsi="Times New Roman"/>
          <w:sz w:val="21"/>
          <w:szCs w:val="21"/>
          <w:color w:val="auto"/>
        </w:rPr>
        <w:t>Additional information about the Company’s use of interest rate swap agreements and other derivatives is included in note 10 of Notes to Financial Statements.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RATE SWAP AGREEMENTS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6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
              <w:spacing w:after="0" w:line="155" w:lineRule="exact"/>
              <w:rPr>
                <w:sz w:val="20"/>
                <w:szCs w:val="20"/>
                <w:color w:val="auto"/>
              </w:rPr>
            </w:pPr>
            <w:r>
              <w:rPr>
                <w:rFonts w:ascii="Times New Roman" w:cs="Times New Roman" w:eastAsia="Times New Roman" w:hAnsi="Times New Roman"/>
                <w:sz w:val="14"/>
                <w:szCs w:val="14"/>
                <w:b w:val="1"/>
                <w:bCs w:val="1"/>
                <w:color w:val="auto"/>
              </w:rPr>
              <w:t>Rate(a)</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7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bottom w:val="single" w:sz="8" w:color="auto"/>
            </w:tcBorders>
          </w:tcPr>
          <w:p>
            <w:pPr>
              <w:jc w:val="right"/>
              <w:ind w:right="13"/>
              <w:spacing w:after="0" w:line="155" w:lineRule="exact"/>
              <w:rPr>
                <w:sz w:val="20"/>
                <w:szCs w:val="20"/>
                <w:color w:val="auto"/>
              </w:rPr>
            </w:pPr>
            <w:r>
              <w:rPr>
                <w:rFonts w:ascii="Times New Roman" w:cs="Times New Roman" w:eastAsia="Times New Roman" w:hAnsi="Times New Roman"/>
                <w:sz w:val="14"/>
                <w:szCs w:val="14"/>
                <w:b w:val="1"/>
                <w:bCs w:val="1"/>
                <w:color w:val="auto"/>
              </w:rPr>
              <w:t>Rate(a)</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6"/>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(4,551)</w:t>
            </w: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(2,889)</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2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bottom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46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tcBorders>
              <w:bottom w:val="single" w:sz="8" w:color="CFF0FC"/>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notional amount (c)</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17,800,000</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7,550,000</w:t>
            </w:r>
          </w:p>
        </w:tc>
        <w:tc>
          <w:tcPr>
            <w:tcW w:w="4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Rate received (b)</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paid (b)</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8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Rate(a)</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Rate(a)</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6"/>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(11,176)</w:t>
            </w:r>
          </w:p>
        </w:tc>
        <w:tc>
          <w:tcPr>
            <w:tcW w:w="114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(3,469)</w:t>
            </w:r>
          </w:p>
        </w:tc>
        <w:tc>
          <w:tcPr>
            <w:tcW w:w="11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Borders>
              <w:top w:val="single" w:sz="8" w:color="CFF0FC"/>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notional amount (c)</w:t>
            </w: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15,245,580</w:t>
            </w:r>
          </w:p>
        </w:tc>
        <w:tc>
          <w:tcPr>
            <w:tcW w:w="28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640" w:type="dxa"/>
            <w:vAlign w:val="bottom"/>
            <w:tcBorders>
              <w:top w:val="single" w:sz="8" w:color="auto"/>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7,590,608</w:t>
            </w:r>
          </w:p>
        </w:tc>
        <w:tc>
          <w:tcPr>
            <w:tcW w:w="460" w:type="dxa"/>
            <w:vAlign w:val="bottom"/>
            <w:tcBorders>
              <w:bottom w:val="single" w:sz="8" w:color="CFF0FC"/>
            </w:tcBorders>
          </w:tcPr>
          <w:p>
            <w:pPr>
              <w:spacing w:after="0"/>
              <w:rPr>
                <w:sz w:val="21"/>
                <w:szCs w:val="21"/>
                <w:color w:val="auto"/>
              </w:rPr>
            </w:pPr>
          </w:p>
        </w:tc>
        <w:tc>
          <w:tcPr>
            <w:tcW w:w="640" w:type="dxa"/>
            <w:vAlign w:val="bottom"/>
            <w:tcBorders>
              <w:top w:val="single" w:sz="8" w:color="auto"/>
              <w:bottom w:val="single" w:sz="8" w:color="CFF0FC"/>
            </w:tcBorders>
          </w:tcPr>
          <w:p>
            <w:pPr>
              <w:spacing w:after="0"/>
              <w:rPr>
                <w:sz w:val="21"/>
                <w:szCs w:val="21"/>
                <w:color w:val="auto"/>
              </w:rPr>
            </w:pPr>
          </w:p>
        </w:tc>
        <w:tc>
          <w:tcPr>
            <w:tcW w:w="4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received (b)</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Rate paid (b)</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Computed as an annualized percentage of average earning assets or interest-bearing liabilities.</w:t>
      </w:r>
    </w:p>
    <w:p>
      <w:pPr>
        <w:spacing w:after="0" w:line="29"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Weighted-average rate paid or received on interest rate swap agreements in effect during the period.</w:t>
      </w:r>
    </w:p>
    <w:p>
      <w:pPr>
        <w:spacing w:after="0" w:line="8"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forward-starting interest rate swap agreements not in effect during the period.</w:t>
      </w:r>
    </w:p>
    <w:p>
      <w:pPr>
        <w:spacing w:after="0" w:line="99"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In addition to interest rate swap agreements, the Company has entered into interest rate floor agreements that are accounted for in the trading account rather than as hedging instruments but, nevertheless, provide the Company with protection against the possibility of future declines in interest rates on earning assets. At each of June 30, 2019, June 30, 2018 and December 31, 2018, outstanding notional amounts of such agreements totaled $15.6 billion. The fair value of those interest rate floor agreements was $4.2 million at June 30, 2019, $2.2 million at June 30, 2018 and $1.9 million at December 31, 2018 and was included in trading account assets in the consolidated balance sheet. Changes in the fair value of those agreements are recorded as “trading account and foreign exchange gains” in the consolidated statement of income.</w:t>
      </w:r>
    </w:p>
    <w:p>
      <w:pPr>
        <w:spacing w:after="0" w:line="82"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20"/>
          <w:szCs w:val="20"/>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The most significant source of funding for the Company is deposits, which are generated from a large base of consumer, corporate and institutional customers. That customer base has, over the past several years, become more geographically diverse as a result of acquisitions and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M&amp;T’s bank subsidiaries have access to additional funding sources through borrowings from the FHLB of New York, lines of credit with the Federal Reserve Bank of New York, M&amp;T Bank’s Bank Note Program, and other available borrowing facilities. The Bank Note Program enables M&amp;T Bank to offer unsecured senior and subordinated notes.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2" w:name="page63"/>
    <w:bookmarkEnd w:id="62"/>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has, from time to time, also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June 30, 2019 and December 31, 2018, long-term borrowings aggregated $7.7 billion and $8.4 billion, respectively. The decline in long-term borrowings reflects maturities of FHLB borrowings and repurchase agreements.</w:t>
      </w:r>
    </w:p>
    <w:p>
      <w:pPr>
        <w:spacing w:after="0" w:line="79"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Company has informal and sometimes reciprocal sources of funding available through various arrangements for unsecured short-term borrowings from other banks and financial institutions. Short-term federal funds borrowings were $3.2 billion, $2.6 billion and $137 million at June 30, 2019, June 30, 2018 and December 31, 2018, respectively. In general, those borrowings were unsecured and matured on the next business day. The amount of such borrowings often fluctuates in conjunction with the Company’s management of its liquidity position, including compliance with LCR requirements. Cayman Islands office deposits are generally used to satisfy customer demand via a deposit sweep product, and may also be used as an alternative to short-term borrowings. Cayman Islands office deposits totaled $1.4 billion at June 30, 2019, $261 million at June 30, 2018 and $812 million at December 31, 2018. The Company has also benefited from the placement of brokered deposits. The Company had brokered savings and interest-bearing checking deposit accounts which aggregated approximately $2.7 billion at June 30, 2019, $2.1 billion at June 30, 2018 and $3.0 billion at December 31, 2018. Brokered time deposits were not a significant source of funding as of those dates.</w:t>
      </w:r>
    </w:p>
    <w:p>
      <w:pPr>
        <w:spacing w:after="0" w:line="81"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82"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June 30, 2019 or December 31, 2018. The total amounts of VRDBs outstanding backed by M&amp;T Bank letters of credit were $847 million at June 30, 2019, compared with $903 million at June 30, 2018 and $793 million at December 31, 2018. M&amp;T Bank also serves as remarketing agent for most of those bonds.</w:t>
      </w:r>
    </w:p>
    <w:p>
      <w:pPr>
        <w:spacing w:after="0" w:line="78"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80"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June 30, 2019 approximately $587 million was available for payment of dividends to M&amp;T from bank subsidiaries. M&amp;T also may obtain funding through long-term borrowings. Outstanding senior notes of M&amp;T at June 30, 2019 and December 31, 2018</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3" w:name="page64"/>
    <w:bookmarkEnd w:id="63"/>
    <w:p>
      <w:pPr>
        <w:jc w:val="both"/>
        <w:spacing w:after="0" w:line="267" w:lineRule="auto"/>
        <w:rPr>
          <w:sz w:val="20"/>
          <w:szCs w:val="20"/>
          <w:color w:val="auto"/>
        </w:rPr>
      </w:pPr>
      <w:r>
        <w:rPr>
          <w:rFonts w:ascii="Times New Roman" w:cs="Times New Roman" w:eastAsia="Times New Roman" w:hAnsi="Times New Roman"/>
          <w:sz w:val="21"/>
          <w:szCs w:val="21"/>
          <w:color w:val="auto"/>
        </w:rPr>
        <w:t>were $772 million and $756 million, respectively. Junior subordinated debentures of M&amp;T associated with trust preferred securities outstanding at June 30, 2019 and December 31, 2018 totaled $524 million and $522 million, respectively.</w:t>
      </w:r>
    </w:p>
    <w:p>
      <w:pPr>
        <w:spacing w:after="0" w:line="56"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enacted the LCR rules requiring a banking company to maintain a minimum amount of liquid assets to withstand a standardized supervisory liquidity stress scenario. The Company is in compliance with the requirements of those rules.</w:t>
      </w:r>
    </w:p>
    <w:p>
      <w:pPr>
        <w:spacing w:after="0" w:line="80"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June 30, 2019, the aggregate notional amount of interest rate swap agreements entered into for risk management purposes that were currently in effect was $17.8 billion. In addition, the Company has entered into $21.4 billion of forward-starting interest rate swap agreements that will become effective as other swap agreements mature.</w:t>
      </w:r>
    </w:p>
    <w:p>
      <w:pPr>
        <w:spacing w:after="0" w:line="7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329" w:lineRule="exact"/>
        <w:rPr>
          <w:sz w:val="20"/>
          <w:szCs w:val="20"/>
          <w:color w:val="auto"/>
        </w:rPr>
      </w:pPr>
    </w:p>
    <w:p>
      <w:pPr>
        <w:jc w:val="both"/>
        <w:ind w:firstLine="518"/>
        <w:spacing w:after="0" w:line="293" w:lineRule="auto"/>
        <w:rPr>
          <w:sz w:val="20"/>
          <w:szCs w:val="20"/>
          <w:color w:val="auto"/>
        </w:rPr>
      </w:pPr>
      <w:r>
        <w:rPr>
          <w:rFonts w:ascii="Times New Roman" w:cs="Times New Roman" w:eastAsia="Times New Roman" w:hAnsi="Times New Roman"/>
          <w:sz w:val="20"/>
          <w:szCs w:val="20"/>
          <w:color w:val="auto"/>
        </w:rPr>
        <w:t>The accompanying table as of June 30, 2019 and December 31, 2018 displays the estimated impact on net interest income in the base scenario described above resulting from parallel changes in interest rates across repricing categories during the first modeling year.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1"/>
          <w:szCs w:val="21"/>
          <w:color w:val="auto"/>
        </w:rPr>
        <w:t>SENSITIVITY OF NET INTEREST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CHANGES IN INTEREST RATES</w:t>
      </w:r>
    </w:p>
    <w:tbl>
      <w:tblPr>
        <w:tblLayout w:type="fixed"/>
        <w:tblInd w:w="0" w:type="dxa"/>
        <w:tblCellMar>
          <w:top w:w="0" w:type="dxa"/>
          <w:left w:w="0" w:type="dxa"/>
          <w:bottom w:w="0" w:type="dxa"/>
          <w:right w:w="0" w:type="dxa"/>
        </w:tblCellMar>
      </w:tblPr>
      <w:tr>
        <w:trPr>
          <w:trHeight w:val="134"/>
        </w:trPr>
        <w:tc>
          <w:tcPr>
            <w:tcW w:w="1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20" w:type="dxa"/>
            <w:vAlign w:val="bottom"/>
            <w:gridSpan w:val="3"/>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Calculated Increase (Decrease)</w:t>
            </w:r>
          </w:p>
        </w:tc>
      </w:tr>
      <w:tr>
        <w:trPr>
          <w:trHeight w:val="173"/>
        </w:trPr>
        <w:tc>
          <w:tcPr>
            <w:tcW w:w="15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2"/>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Projected Net Interest Income</w:t>
            </w:r>
          </w:p>
        </w:tc>
        <w:tc>
          <w:tcPr>
            <w:tcW w:w="80" w:type="dxa"/>
            <w:vAlign w:val="bottom"/>
          </w:tcPr>
          <w:p>
            <w:pPr>
              <w:spacing w:after="0"/>
              <w:rPr>
                <w:sz w:val="15"/>
                <w:szCs w:val="15"/>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Changes in interest rates</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90"/>
        </w:trPr>
        <w:tc>
          <w:tcPr>
            <w:tcW w:w="1520" w:type="dxa"/>
            <w:vAlign w:val="bottom"/>
            <w:tcBorders>
              <w:top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2"/>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r>
      <w:tr>
        <w:trPr>
          <w:trHeight w:val="39"/>
        </w:trPr>
        <w:tc>
          <w:tcPr>
            <w:tcW w:w="15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29"/>
        </w:trPr>
        <w:tc>
          <w:tcPr>
            <w:tcW w:w="15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18"/>
                <w:szCs w:val="18"/>
                <w:color w:val="auto"/>
              </w:rPr>
              <w:t>21,971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37,513</w:t>
            </w:r>
          </w:p>
        </w:tc>
        <w:tc>
          <w:tcPr>
            <w:tcW w:w="80" w:type="dxa"/>
            <w:vAlign w:val="bottom"/>
          </w:tcPr>
          <w:p>
            <w:pPr>
              <w:spacing w:after="0"/>
              <w:rPr>
                <w:sz w:val="19"/>
                <w:szCs w:val="19"/>
                <w:color w:val="auto"/>
              </w:rPr>
            </w:pPr>
          </w:p>
        </w:tc>
      </w:tr>
      <w:tr>
        <w:trPr>
          <w:trHeight w:val="229"/>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24,581</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36,727</w:t>
            </w:r>
          </w:p>
        </w:tc>
        <w:tc>
          <w:tcPr>
            <w:tcW w:w="80" w:type="dxa"/>
            <w:vAlign w:val="bottom"/>
            <w:shd w:val="clear" w:color="auto" w:fill="CFF0FC"/>
          </w:tcPr>
          <w:p>
            <w:pPr>
              <w:spacing w:after="0"/>
              <w:rPr>
                <w:sz w:val="19"/>
                <w:szCs w:val="19"/>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(72,556)</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(114,307)</w:t>
            </w:r>
          </w:p>
        </w:tc>
      </w:tr>
    </w:tbl>
    <w:p>
      <w:pPr>
        <w:spacing w:after="0" w:line="86"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positive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The sensitivity of net interest income to changes in interest rates has lessened as of June 30, 2019 as compared with the December 31, 2018 as the Company has entered into interest rate swap agreements to mitigate exposure to declining interest rates. The Company has also entered into interest rate floor agreements that are included in the trading account. Such floor agreements provide the Company with protection against the possibility of future declines in interest rates on its earning assets. In light of the uncertainties and assumptions associated with the process, the amounts presented in the table are not considered significant to the Company’s past or projected net interest income.</w:t>
      </w:r>
    </w:p>
    <w:p>
      <w:pPr>
        <w:spacing w:after="0" w:line="83"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2 and 12 of Notes to Financial Statements.</w:t>
      </w:r>
    </w:p>
    <w:p>
      <w:pPr>
        <w:spacing w:after="0" w:line="73"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The Company engages in limited trading account activities to meet the financial needs of customers and to fund the Company’s obligations under certain deferred compensation plans. Financial instruments utilized for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10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81"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notional amounts of interest rate contracts entered into for trading account purposes totaled $44.4 billion at June 30, 2019, $40.3 billion at June 30, 2018 and $42.9 billion at December 31, 2018. The notional amounts of foreign currency and other option and futures contracts entered into for trading account purposes were $949 million at June 30, 2019, compared with $647 million at June 30, 2018 and $763 million at December 31, 2018.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were $479 million and $73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5" w:name="page66"/>
    <w:bookmarkEnd w:id="65"/>
    <w:p>
      <w:pPr>
        <w:jc w:val="both"/>
        <w:spacing w:after="0" w:line="243" w:lineRule="auto"/>
        <w:rPr>
          <w:sz w:val="20"/>
          <w:szCs w:val="20"/>
          <w:color w:val="auto"/>
        </w:rPr>
      </w:pPr>
      <w:r>
        <w:rPr>
          <w:rFonts w:ascii="Times New Roman" w:cs="Times New Roman" w:eastAsia="Times New Roman" w:hAnsi="Times New Roman"/>
          <w:sz w:val="21"/>
          <w:szCs w:val="21"/>
          <w:color w:val="auto"/>
        </w:rPr>
        <w:t>million, respectively, at June 30, 2019 and $186 million and $178 million, respectively, at December 31, 2018. The fair value asset and liability amounts at June 30, 2019 have been reduced by contractual settlements of $29 million and $281 million, respectively, and at December 31, 2018 have been reduced by contractual settlements of $171 million and $50 million, respectively. Included in trading account assets were assets related to deferred compensation plans aggregating $21 million at each of June 30, 2019, June 30, 2018 and December 31, 2018. Changes in the fair values of such assets are recorded as “trading account and foreign exchange gains” in the consolidated statement of income. Included in “other liabilities” in the consolidated balance sheet at June 30, 2019 were $24 million of liabilities related to deferred compensation plans, compared with $26 million at June 30, 2018 and $25 million at December 31, 2018.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$27 million at June 30, 2019 and $25 million at each of June 30, 2018 and December 31, 2018.</w:t>
      </w:r>
    </w:p>
    <w:p>
      <w:pPr>
        <w:spacing w:after="0" w:line="88"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Provision for Credit Losses</w:t>
      </w:r>
    </w:p>
    <w:p>
      <w:pPr>
        <w:spacing w:after="0" w:line="1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second quarter of 2019 was $55 million, compared with $35 million in the year-earlier quarter and $22 million in the initial quarter of 2019. For the six-month period ended June 30, 2019 and June 30, 2018, the provision for credit losses totaled $77 million and $78 million, respectively. Net charge-offs of loans were $44 million in the recent quarter, compared with $35 million and $22 million in the second quarter of 2018 and the first quarter of 2019, respectively. Net charge-offs as an annualized percentage of average loans and leases were .20% in the recent quarter, .16% in the year-earlier quarter and .10% in the first quarter of 2019. Net charge-offs for the six-month periods ended June 30, 2019 and 2018 were $67 million and $76 million, respectively, representing an annualized .15% and .17%, respectively, of average loans and leases. A summary of net charge-offs by loan type is presented in the table that follows.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1"/>
          <w:szCs w:val="21"/>
          <w:color w:val="auto"/>
        </w:rPr>
        <w:t>NET CHARGE-OFFS (RECOVERIES)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LOAN/LEASE TYPE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31"/>
        </w:trPr>
        <w:tc>
          <w:tcPr>
            <w:tcW w:w="43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First</w:t>
            </w:r>
          </w:p>
        </w:tc>
        <w:tc>
          <w:tcPr>
            <w:tcW w:w="160" w:type="dxa"/>
            <w:vAlign w:val="bottom"/>
          </w:tcPr>
          <w:p>
            <w:pPr>
              <w:spacing w:after="0"/>
              <w:rPr>
                <w:sz w:val="11"/>
                <w:szCs w:val="11"/>
                <w:color w:val="auto"/>
              </w:rPr>
            </w:pPr>
          </w:p>
        </w:tc>
        <w:tc>
          <w:tcPr>
            <w:tcW w:w="11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Second</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Year-</w:t>
            </w:r>
          </w:p>
        </w:tc>
        <w:tc>
          <w:tcPr>
            <w:tcW w:w="80" w:type="dxa"/>
            <w:vAlign w:val="bottom"/>
          </w:tcPr>
          <w:p>
            <w:pPr>
              <w:spacing w:after="0"/>
              <w:rPr>
                <w:sz w:val="11"/>
                <w:szCs w:val="11"/>
                <w:color w:val="auto"/>
              </w:rPr>
            </w:pPr>
          </w:p>
        </w:tc>
      </w:tr>
      <w:tr>
        <w:trPr>
          <w:trHeight w:val="173"/>
        </w:trPr>
        <w:tc>
          <w:tcPr>
            <w:tcW w:w="4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6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to-date</w:t>
            </w:r>
          </w:p>
        </w:tc>
      </w:tr>
      <w:tr>
        <w:trPr>
          <w:trHeight w:val="240"/>
        </w:trPr>
        <w:tc>
          <w:tcPr>
            <w:tcW w:w="4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37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80" w:type="dxa"/>
            <w:vAlign w:val="bottom"/>
          </w:tcPr>
          <w:p>
            <w:pPr>
              <w:spacing w:after="0"/>
              <w:rPr>
                <w:sz w:val="24"/>
                <w:szCs w:val="24"/>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80" w:type="dxa"/>
            <w:vAlign w:val="bottom"/>
          </w:tcPr>
          <w:p>
            <w:pPr>
              <w:spacing w:after="0"/>
              <w:rPr>
                <w:sz w:val="19"/>
                <w:szCs w:val="19"/>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80" w:type="dxa"/>
            <w:vAlign w:val="bottom"/>
            <w:shd w:val="clear" w:color="auto" w:fill="CFF0FC"/>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43,821</w:t>
            </w:r>
          </w:p>
        </w:tc>
        <w:tc>
          <w:tcPr>
            <w:tcW w:w="80" w:type="dxa"/>
            <w:vAlign w:val="bottom"/>
          </w:tcPr>
          <w:p>
            <w:pPr>
              <w:spacing w:after="0"/>
              <w:rPr>
                <w:sz w:val="19"/>
                <w:szCs w:val="19"/>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19"/>
                <w:szCs w:val="19"/>
                <w:color w:val="auto"/>
              </w:rPr>
            </w:pP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31"/>
        </w:trPr>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First</w:t>
            </w:r>
          </w:p>
        </w:tc>
        <w:tc>
          <w:tcPr>
            <w:tcW w:w="300" w:type="dxa"/>
            <w:vAlign w:val="bottom"/>
          </w:tcPr>
          <w:p>
            <w:pPr>
              <w:spacing w:after="0"/>
              <w:rPr>
                <w:sz w:val="11"/>
                <w:szCs w:val="11"/>
                <w:color w:val="auto"/>
              </w:rPr>
            </w:pPr>
          </w:p>
        </w:tc>
        <w:tc>
          <w:tcPr>
            <w:tcW w:w="10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Second</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Year-</w:t>
            </w:r>
          </w:p>
        </w:tc>
        <w:tc>
          <w:tcPr>
            <w:tcW w:w="80" w:type="dxa"/>
            <w:vAlign w:val="bottom"/>
          </w:tcPr>
          <w:p>
            <w:pPr>
              <w:spacing w:after="0"/>
              <w:rPr>
                <w:sz w:val="11"/>
                <w:szCs w:val="11"/>
                <w:color w:val="auto"/>
              </w:rPr>
            </w:pPr>
          </w:p>
        </w:tc>
      </w:tr>
      <w:tr>
        <w:trPr>
          <w:trHeight w:val="173"/>
        </w:trPr>
        <w:tc>
          <w:tcPr>
            <w:tcW w:w="6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0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to-date</w:t>
            </w:r>
          </w:p>
        </w:tc>
      </w:tr>
      <w:tr>
        <w:trPr>
          <w:trHeight w:val="184"/>
        </w:trPr>
        <w:tc>
          <w:tcPr>
            <w:tcW w:w="6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34"/>
        </w:trPr>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2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18,249</w:t>
            </w:r>
          </w:p>
        </w:tc>
        <w:tc>
          <w:tcPr>
            <w:tcW w:w="80" w:type="dxa"/>
            <w:vAlign w:val="bottom"/>
            <w:shd w:val="clear" w:color="auto" w:fill="CFF0FC"/>
          </w:tcPr>
          <w:p>
            <w:pPr>
              <w:spacing w:after="0"/>
              <w:rPr>
                <w:sz w:val="19"/>
                <w:szCs w:val="19"/>
                <w:color w:val="auto"/>
              </w:rPr>
            </w:pPr>
          </w:p>
        </w:tc>
      </w:tr>
      <w:tr>
        <w:trPr>
          <w:trHeight w:val="22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80" w:type="dxa"/>
            <w:vAlign w:val="bottom"/>
            <w:shd w:val="clear" w:color="auto" w:fill="CFF0FC"/>
          </w:tcPr>
          <w:p>
            <w:pPr>
              <w:spacing w:after="0"/>
              <w:rPr>
                <w:sz w:val="19"/>
                <w:szCs w:val="19"/>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80" w:type="dxa"/>
            <w:vAlign w:val="bottom"/>
          </w:tcPr>
          <w:p>
            <w:pPr>
              <w:spacing w:after="0"/>
              <w:rPr>
                <w:sz w:val="19"/>
                <w:szCs w:val="19"/>
                <w:color w:val="auto"/>
              </w:rPr>
            </w:pPr>
          </w:p>
        </w:tc>
      </w:tr>
      <w:tr>
        <w:trPr>
          <w:trHeight w:val="22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48,437</w:t>
            </w:r>
          </w:p>
        </w:tc>
        <w:tc>
          <w:tcPr>
            <w:tcW w:w="80" w:type="dxa"/>
            <w:vAlign w:val="bottom"/>
            <w:shd w:val="clear" w:color="auto" w:fill="CFF0FC"/>
          </w:tcPr>
          <w:p>
            <w:pPr>
              <w:spacing w:after="0"/>
              <w:rPr>
                <w:sz w:val="19"/>
                <w:szCs w:val="19"/>
                <w:color w:val="auto"/>
              </w:rPr>
            </w:pPr>
          </w:p>
        </w:tc>
      </w:tr>
      <w:tr>
        <w:trPr>
          <w:trHeight w:val="223"/>
        </w:trPr>
        <w:tc>
          <w:tcPr>
            <w:tcW w:w="6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40,527</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35,423</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75,950</w:t>
            </w:r>
          </w:p>
        </w:tc>
        <w:tc>
          <w:tcPr>
            <w:tcW w:w="8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Included in net charge-offs of consumer loans were: automobile loans of $6 million in the recent quarter, $8 million in the second quarter of 2018 and $7 million in the first quarter of 2019; recreational finance loans of $5 million in the second quarter of 2019, $3 million in the year-earlier quarter and $7 million in the initial 2019 quarter; and home equity loans and lines of credit secured by one-to-four family residential properties of $1 million in the recent quarter, $3 million in last year’s second quarter and $1 million in the first quarter of 2019.</w:t>
      </w:r>
    </w:p>
    <w:p>
      <w:pPr>
        <w:spacing w:after="0" w:line="79"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including its estimates of lifetime principal losses. Any decreases to the expected cash flows require the Company to evaluate the need for an additional allowance for credit losses and could lead to charge-offs of loan balances. Any significant increases in expected cash flows result in additional interest income to be recognized over the then-remaining lives of the loans. The carrying amount of loans acquired at a discount subsequent to 2008 and accounted for based on expected cash flows was $655 million, $864 million and $727 million at June 30, 2019, June 30, 2018 and December 31, 2018, respectively. The nonaccretable balance related to remaining principal losses associated with loans acquired at a discount as of June 30, 2019 and December 31, 2018 is presented in the accompanying table.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color w:val="auto"/>
        </w:rPr>
        <w:t>NONACCRETABLE BALANCE - PRINCIPAL</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Remaining balance</w:t>
            </w: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3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9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45"/>
        </w:trPr>
        <w:tc>
          <w:tcPr>
            <w:tcW w:w="4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234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2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21,045</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2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4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31,201</w:t>
            </w:r>
          </w:p>
        </w:tc>
        <w:tc>
          <w:tcPr>
            <w:tcW w:w="4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loans acquired in 2015 at a premium was $8.4 billion and $9.3 billion at June 30, 2019 and December 31, 2018, respectively. GAAP does not allow the credit loss component of the net premium associated with those loans to be bifurcated and accounted for as a nonaccreting balance as is the case with purchased impaired loans and other loans acquired at a discount. Rather,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78" w:lineRule="exact"/>
        <w:rPr>
          <w:sz w:val="20"/>
          <w:szCs w:val="20"/>
          <w:color w:val="auto"/>
        </w:rPr>
      </w:pPr>
    </w:p>
    <w:p>
      <w:pPr>
        <w:ind w:right="20" w:firstLine="518"/>
        <w:spacing w:after="0" w:line="267" w:lineRule="auto"/>
        <w:rPr>
          <w:sz w:val="20"/>
          <w:szCs w:val="20"/>
          <w:color w:val="auto"/>
        </w:rPr>
      </w:pPr>
      <w:r>
        <w:rPr>
          <w:rFonts w:ascii="Times New Roman" w:cs="Times New Roman" w:eastAsia="Times New Roman" w:hAnsi="Times New Roman"/>
          <w:sz w:val="21"/>
          <w:szCs w:val="21"/>
          <w:color w:val="auto"/>
        </w:rPr>
        <w:t>Nonaccrual loans were $865 million or .96% of total loans and leases outstanding at June 30, 2019, compared with $820 million or .93% a year earlier, $894 million or 1.01% at December 31, 2018 and $882 million or .99% at March 31, 2019.</w:t>
      </w:r>
    </w:p>
    <w:p>
      <w:pPr>
        <w:spacing w:after="0" w:line="56" w:lineRule="exact"/>
        <w:rPr>
          <w:sz w:val="20"/>
          <w:szCs w:val="20"/>
          <w:color w:val="auto"/>
        </w:rPr>
      </w:pPr>
    </w:p>
    <w:p>
      <w:pPr>
        <w:jc w:val="both"/>
        <w:ind w:firstLine="518"/>
        <w:spacing w:after="0" w:line="252" w:lineRule="auto"/>
        <w:rPr>
          <w:sz w:val="20"/>
          <w:szCs w:val="20"/>
          <w:color w:val="auto"/>
        </w:rPr>
      </w:pPr>
      <w:r>
        <w:rPr>
          <w:rFonts w:ascii="Times New Roman" w:cs="Times New Roman" w:eastAsia="Times New Roman" w:hAnsi="Times New Roman"/>
          <w:sz w:val="21"/>
          <w:szCs w:val="21"/>
          <w:color w:val="auto"/>
        </w:rPr>
        <w:t>Accruing loans past due 90 days or more (excluding loans acquired at a discount) aggregated $349 million, or .39% of total loans and leases at June 30, 2019, compared with $223 million or .25% at each of June 30, 2018 and December 31, 2018, and $244 million or</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.28% at March 31, 2019. Those amounts included loans guaranteed by government-related entities of $320 million, $202 million, $192 million and $195 million at June 30, 2019, June 30, 2018, December 31, 2018 and March 31, 2019, respectively.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$300 million at June 30, 2019, $175 million a year earlier, $165 million at December 31, 2018 and $169 million at March 31, 2019. The increase in such loans at the recent quarter-end as compared with the prior dates resulted from repurchases of loans associated with the servicing and sub-servicing the Company added in 2019. The remaining accruing loans past due 90 days or more not guaranteed by government-related entities were loans considered to be with creditworthy borrowers that were in the process of collection or renewal.</w:t>
      </w:r>
    </w:p>
    <w:p>
      <w:pPr>
        <w:spacing w:after="0" w:line="89"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Purchased impaired loans are loans obtained in acquisition transactions subsequent to 2008 that as of the acquisition date were specifically identified as displaying signs of credit deterioration and for which the Company did not expect to collect all contractually required principal and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$263 million at June 30, 2019 or .3% of total loans, compared with $352 million at June 30, 2018 and $303 million at December 31, 2018.</w:t>
      </w:r>
    </w:p>
    <w:p>
      <w:pPr>
        <w:spacing w:after="0" w:line="80"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The Company modified the terms of select loans in an effort to assist borrowers. If the borrower was experiencing financial difficulty and a concession was granted, the Company considered such modifications as troubled debt restructurings. Loan modifications included such actions as the extension of loan maturity dates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8" w:name="page69"/>
    <w:bookmarkEnd w:id="68"/>
    <w:p>
      <w:pPr>
        <w:jc w:val="both"/>
        <w:spacing w:after="0" w:line="250" w:lineRule="auto"/>
        <w:rPr>
          <w:sz w:val="20"/>
          <w:szCs w:val="20"/>
          <w:color w:val="auto"/>
        </w:rPr>
      </w:pPr>
      <w:r>
        <w:rPr>
          <w:rFonts w:ascii="Times New Roman" w:cs="Times New Roman" w:eastAsia="Times New Roman" w:hAnsi="Times New Roman"/>
          <w:sz w:val="21"/>
          <w:szCs w:val="21"/>
          <w:color w:val="auto"/>
        </w:rPr>
        <w:t>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3 of Notes to Financial Statements.</w:t>
      </w:r>
    </w:p>
    <w:p>
      <w:pPr>
        <w:spacing w:after="0" w:line="73"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$199 million at June 30, 2019 and $179 million at each of June 30 and December 31, 2018.</w:t>
      </w:r>
    </w:p>
    <w:p>
      <w:pPr>
        <w:spacing w:after="0" w:line="73"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Commercial loans and leases classified as nonaccrual were $224 million, $245 million, $234 million and $246 million at June 30, 2019, June 30, 2018, December 31, 2018 and March 31, 2019, respectively. Commercial real estate loans in nonaccrual status totaled $242 million, $166 million, $231 million and $232 million at June 30, 2019, June 30, 2018, December 31, 2018 and March 31, 2019, respectively. The increase in such loans at the three most recent quarter-ends compared with June 30, 2018 was due, in part, to the addition during the third quarter of 2018 of an office development project in Maryland. Nonaccrual commercial real estate loans included construction-related loans of $39 million at June 30, 2019, $13 million at June 30, 2018, $27 million at December 31, 2018 and $24 million at March 31, 2019.</w:t>
      </w:r>
    </w:p>
    <w:p>
      <w:pPr>
        <w:spacing w:after="0" w:line="82"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Nonaccrual residential real estate loans aggregated $298 million at June 30, 2019, compared with $313 million at June 30, 2018, $318 million at December 31, 2018 and $295 million at March 31, 2019. Included in residential real estate loans classified as nonaccrual were limited documentation first mortgage loans of $88 million at June 30, 2019, $97 million at June 30, 2018 and $85 million at each of December 31, 2018 and March 31, 2019.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(excluding loans acquired at a discount) aggregated $322 million at June 30, 2019, compared with $200 million at each of June 30, 2018 and March 31, 2019 and $190 million at December 31, 2018. A substantial portion of such amounts related to guaranteed loans repurchased from government-related entities, including the previously disclosed repurchases of loans associated with servicing and sub-servicing that the Company added in 2019. Information about the location of nonaccrual and charged-off residential real estate loans as of and for the quarter ended June 30, 2019 is presented in the accompanying table.</w:t>
      </w:r>
    </w:p>
    <w:p>
      <w:pPr>
        <w:spacing w:after="0" w:line="89"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Consumer loans in nonaccrual status amounted to $101 million at June 30, 2019, compared with $96 million at June 30, 2018, $110 million at December 31, 2018 and $109 million at March 31, 2019. Included in nonaccrual consumer loans at June 30, 2019, June 30, 2018, December 31, 2018 and March 31, 2019 were: automobile loans of $20 million, $20 million, $23 million and $21 million, respectively; recreational finance loans of $11 million, $7 million, $11 million and $11 million, respectively; and outstanding balances of home equity loans and lines of credit of $67 million, $67 million, $71 million and $69 million, respectively. Information about the location of nonaccrual and charged-off home equity loans and lines of credit as of and for the quarter ended June 30, 2019 is presented in the accompanying table.</w:t>
      </w:r>
    </w:p>
    <w:p>
      <w:pPr>
        <w:spacing w:after="0" w:line="82"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Information about past due and nonaccrual loans as of June 30, 2019 and December 31, 2018 is also included in note 3 of Notes to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1"/>
          <w:szCs w:val="21"/>
          <w:color w:val="auto"/>
        </w:rPr>
        <w:t>SELECTED RESIDENTIAL REAL ESTATE-RELATED LOAN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0" w:type="dxa"/>
            <w:vAlign w:val="bottom"/>
          </w:tcPr>
          <w:p>
            <w:pPr>
              <w:spacing w:after="0"/>
              <w:rPr>
                <w:sz w:val="1"/>
                <w:szCs w:val="1"/>
                <w:color w:val="auto"/>
              </w:rPr>
            </w:pPr>
          </w:p>
        </w:tc>
      </w:tr>
      <w:tr>
        <w:trPr>
          <w:trHeight w:val="165"/>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74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60" w:type="dxa"/>
            <w:vAlign w:val="bottom"/>
            <w:tcBorders>
              <w:top w:val="single" w:sz="8" w:color="auto"/>
              <w:bottom w:val="single" w:sz="8" w:color="auto"/>
            </w:tcBorders>
            <w:gridSpan w:val="3"/>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Net Charge-offs (Recoveries)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108"/>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65"/>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102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Residential mortgages:</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4,865,450</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70,970</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3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1,180,874</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16,591</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(194)</w:t>
            </w:r>
          </w:p>
        </w:tc>
        <w:tc>
          <w:tcPr>
            <w:tcW w:w="10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1,089,026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9,249</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3,400,669</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53,332</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983,547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8,263</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(29)</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2,791,279</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52,074</w:t>
            </w:r>
          </w:p>
        </w:tc>
        <w:tc>
          <w:tcPr>
            <w:tcW w:w="3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30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14,310,845</w:t>
            </w:r>
          </w:p>
        </w:tc>
        <w:tc>
          <w:tcPr>
            <w:tcW w:w="320" w:type="dxa"/>
            <w:vAlign w:val="bottom"/>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210,479</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1,671</w:t>
            </w:r>
          </w:p>
        </w:tc>
        <w:tc>
          <w:tcPr>
            <w:tcW w:w="300" w:type="dxa"/>
            <w:vAlign w:val="bottom"/>
          </w:tcPr>
          <w:p>
            <w:pPr>
              <w:spacing w:after="0"/>
              <w:rPr>
                <w:sz w:val="16"/>
                <w:szCs w:val="16"/>
                <w:color w:val="auto"/>
              </w:rPr>
            </w:pP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Residential construction loans:</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23,565</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9,315</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10,165</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69,764</w:t>
            </w:r>
          </w:p>
        </w:tc>
        <w:tc>
          <w:tcPr>
            <w:tcW w:w="320" w:type="dxa"/>
            <w:vAlign w:val="bottom"/>
            <w:vMerge w:val="continue"/>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443</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57</w:t>
            </w:r>
          </w:p>
        </w:tc>
        <w:tc>
          <w:tcPr>
            <w:tcW w:w="300" w:type="dxa"/>
            <w:vAlign w:val="bottom"/>
          </w:tcPr>
          <w:p>
            <w:pPr>
              <w:spacing w:after="0"/>
              <w:rPr>
                <w:sz w:val="16"/>
                <w:szCs w:val="16"/>
                <w:color w:val="auto"/>
              </w:rPr>
            </w:pP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Limited documentation first mortgages:</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1,017,083</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33,640</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49,655</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27,625</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872,161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27,916</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323,421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16,571</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(64)</w:t>
            </w:r>
          </w:p>
        </w:tc>
        <w:tc>
          <w:tcPr>
            <w:tcW w:w="10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2,313,128</w:t>
            </w:r>
          </w:p>
        </w:tc>
        <w:tc>
          <w:tcPr>
            <w:tcW w:w="320" w:type="dxa"/>
            <w:vAlign w:val="bottom"/>
            <w:vMerge w:val="continue"/>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87,551</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3.78%</w:t>
            </w:r>
          </w:p>
        </w:tc>
        <w:tc>
          <w:tcPr>
            <w:tcW w:w="1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300" w:type="dxa"/>
            <w:vAlign w:val="bottom"/>
          </w:tcPr>
          <w:p>
            <w:pPr>
              <w:spacing w:after="0"/>
              <w:rPr>
                <w:sz w:val="16"/>
                <w:szCs w:val="16"/>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First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1,155,754</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14,994</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3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700,053</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7,776</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576,944</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6,701</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65,506</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194,701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32,211</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3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2,725,169</w:t>
            </w:r>
          </w:p>
        </w:tc>
        <w:tc>
          <w:tcPr>
            <w:tcW w:w="320" w:type="dxa"/>
            <w:vAlign w:val="bottom"/>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34,902</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2,068</w:t>
            </w:r>
          </w:p>
        </w:tc>
        <w:tc>
          <w:tcPr>
            <w:tcW w:w="300" w:type="dxa"/>
            <w:vAlign w:val="bottom"/>
          </w:tcPr>
          <w:p>
            <w:pPr>
              <w:spacing w:after="0"/>
              <w:rPr>
                <w:sz w:val="16"/>
                <w:szCs w:val="16"/>
                <w:color w:val="auto"/>
              </w:rPr>
            </w:pP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Junior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713,170</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16,022</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3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265,596</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3,588</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(34)</w:t>
            </w:r>
          </w:p>
        </w:tc>
        <w:tc>
          <w:tcPr>
            <w:tcW w:w="10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561,226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7,505</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(541)</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101,182</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249,429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(91)</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42,146</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(43)</w:t>
            </w:r>
          </w:p>
        </w:tc>
        <w:tc>
          <w:tcPr>
            <w:tcW w:w="10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1,932,749</w:t>
            </w:r>
          </w:p>
        </w:tc>
        <w:tc>
          <w:tcPr>
            <w:tcW w:w="320" w:type="dxa"/>
            <w:vAlign w:val="bottom"/>
            <w:vMerge w:val="continue"/>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31,555</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(636)</w:t>
            </w:r>
          </w:p>
        </w:tc>
        <w:tc>
          <w:tcPr>
            <w:tcW w:w="300" w:type="dxa"/>
            <w:vAlign w:val="bottom"/>
            <w:vMerge w:val="continue"/>
          </w:tcPr>
          <w:p>
            <w:pPr>
              <w:spacing w:after="0"/>
              <w:rPr>
                <w:sz w:val="16"/>
                <w:szCs w:val="16"/>
                <w:color w:val="auto"/>
              </w:rPr>
            </w:pP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2"/>
        </w:trPr>
        <w:tc>
          <w:tcPr>
            <w:tcW w:w="53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Limited documentation junior lien:</w:t>
            </w: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30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0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8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6,181</w:t>
            </w:r>
          </w:p>
        </w:tc>
        <w:tc>
          <w:tcPr>
            <w:tcW w:w="320" w:type="dxa"/>
            <w:vAlign w:val="bottom"/>
          </w:tcPr>
          <w:p>
            <w:pPr>
              <w:spacing w:after="0"/>
              <w:rPr>
                <w:sz w:val="13"/>
                <w:szCs w:val="13"/>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470</w:t>
            </w:r>
          </w:p>
        </w:tc>
        <w:tc>
          <w:tcPr>
            <w:tcW w:w="300" w:type="dxa"/>
            <w:vAlign w:val="bottom"/>
          </w:tcPr>
          <w:p>
            <w:pPr>
              <w:spacing w:after="0"/>
              <w:rPr>
                <w:sz w:val="13"/>
                <w:szCs w:val="13"/>
                <w:color w:val="auto"/>
              </w:rPr>
            </w:pPr>
          </w:p>
        </w:tc>
        <w:tc>
          <w:tcPr>
            <w:tcW w:w="9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7.60%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41</w:t>
            </w:r>
          </w:p>
        </w:tc>
        <w:tc>
          <w:tcPr>
            <w:tcW w:w="30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378"/>
        <w:spacing w:after="0"/>
        <w:tabs>
          <w:tab w:leader="none" w:pos="4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Delaware, Virginia, West Virginia and the District of Columbia.</w:t>
      </w:r>
    </w:p>
    <w:p>
      <w:pPr>
        <w:spacing w:after="0" w:line="200" w:lineRule="exact"/>
        <w:rPr>
          <w:rFonts w:ascii="Times New Roman" w:cs="Times New Roman" w:eastAsia="Times New Roman" w:hAnsi="Times New Roman"/>
          <w:sz w:val="18"/>
          <w:szCs w:val="18"/>
          <w:i w:val="1"/>
          <w:iCs w:val="1"/>
          <w:color w:val="auto"/>
        </w:rPr>
      </w:pPr>
    </w:p>
    <w:p>
      <w:pPr>
        <w:spacing w:after="0" w:line="262"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0" w:name="page71"/>
    <w:bookmarkEnd w:id="70"/>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Real estate and other foreclosed assets totaled $73 million at June 30, 2019, compared with $98 million at June 30, 2018, $78 million at December 31, 2018 and $81 million at March 31, 2019. Net gains or losses associated with real estate and other foreclosed assets were not material during the three-months ended June 30, 2019, June 30, 2018 or March 31, 2019. At June 30, 2019, the Company’s holdings of residential real estate-related properties comprised approximately 99% of foreclosed assets.</w:t>
      </w:r>
    </w:p>
    <w:p>
      <w:pPr>
        <w:spacing w:after="0" w:line="73" w:lineRule="exact"/>
        <w:rPr>
          <w:sz w:val="20"/>
          <w:szCs w:val="20"/>
          <w:color w:val="auto"/>
        </w:rPr>
      </w:pPr>
    </w:p>
    <w:p>
      <w:pPr>
        <w:jc w:val="both"/>
        <w:ind w:right="20" w:firstLine="518"/>
        <w:spacing w:after="0" w:line="267" w:lineRule="auto"/>
        <w:rPr>
          <w:sz w:val="20"/>
          <w:szCs w:val="20"/>
          <w:color w:val="auto"/>
        </w:rPr>
      </w:pPr>
      <w:r>
        <w:rPr>
          <w:rFonts w:ascii="Times New Roman" w:cs="Times New Roman" w:eastAsia="Times New Roman" w:hAnsi="Times New Roman"/>
          <w:sz w:val="21"/>
          <w:szCs w:val="21"/>
          <w:color w:val="auto"/>
        </w:rPr>
        <w:t>A comparative summary of nonperforming assets and certain past due, renegotiated and impaired loan data and credit quality ratios is presented in the accompanying table.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NONPERFORMING ASSET AND PAST DUE, RENOGIATED AND IMPAIRED LOAN DATA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 Quarters</w:t>
            </w:r>
          </w:p>
        </w:tc>
        <w:tc>
          <w:tcPr>
            <w:tcW w:w="4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2018 Quarters</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Second</w:t>
            </w:r>
          </w:p>
        </w:tc>
        <w:tc>
          <w:tcPr>
            <w:tcW w:w="760" w:type="dxa"/>
            <w:vAlign w:val="bottom"/>
            <w:tcBorders>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First</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Fourth</w:t>
            </w: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Third</w:t>
            </w:r>
          </w:p>
        </w:tc>
        <w:tc>
          <w:tcPr>
            <w:tcW w:w="760" w:type="dxa"/>
            <w:vAlign w:val="bottom"/>
            <w:tcBorders>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865,384</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881,611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893,608</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870,832</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819,984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and other foreclosed assets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72,907</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78,375</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87,333</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9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938,291</w:t>
            </w:r>
          </w:p>
        </w:tc>
        <w:tc>
          <w:tcPr>
            <w:tcW w:w="38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962,946</w:t>
            </w:r>
          </w:p>
        </w:tc>
        <w:tc>
          <w:tcPr>
            <w:tcW w:w="40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971,983</w:t>
            </w:r>
          </w:p>
        </w:tc>
        <w:tc>
          <w:tcPr>
            <w:tcW w:w="3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958,165</w:t>
            </w:r>
          </w:p>
        </w:tc>
        <w:tc>
          <w:tcPr>
            <w:tcW w:w="38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918,046</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Accruing loans past due 90 days or more(a)</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348,725</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244,257</w:t>
            </w:r>
          </w:p>
        </w:tc>
        <w:tc>
          <w:tcPr>
            <w:tcW w:w="4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222,527</w:t>
            </w:r>
          </w:p>
        </w:tc>
        <w:tc>
          <w:tcPr>
            <w:tcW w:w="3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254,360</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223,026</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Government guaranteed loans included in totals above:</w:t>
            </w: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Nonaccrual loans</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36,765</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34,667</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33,570</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Accruing loans past due 90 days or more</w:t>
            </w:r>
          </w:p>
        </w:tc>
        <w:tc>
          <w:tcPr>
            <w:tcW w:w="9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320,305</w:t>
            </w:r>
          </w:p>
        </w:tc>
        <w:tc>
          <w:tcPr>
            <w:tcW w:w="3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194,510</w:t>
            </w:r>
          </w:p>
        </w:tc>
        <w:tc>
          <w:tcPr>
            <w:tcW w:w="40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192,443</w:t>
            </w:r>
          </w:p>
        </w:tc>
        <w:tc>
          <w:tcPr>
            <w:tcW w:w="30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195,450</w:t>
            </w:r>
          </w:p>
        </w:tc>
        <w:tc>
          <w:tcPr>
            <w:tcW w:w="3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202,394</w:t>
            </w:r>
          </w:p>
        </w:tc>
        <w:tc>
          <w:tcPr>
            <w:tcW w:w="1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Renegotiated loans</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254,332</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267,952</w:t>
            </w:r>
          </w:p>
        </w:tc>
        <w:tc>
          <w:tcPr>
            <w:tcW w:w="4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245,367</w:t>
            </w:r>
          </w:p>
        </w:tc>
        <w:tc>
          <w:tcPr>
            <w:tcW w:w="3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242,892</w:t>
            </w: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242,528</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Acquired accruing loans past due 90 days or more(b)</w:t>
            </w: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43,079</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43,995</w:t>
            </w:r>
          </w:p>
        </w:tc>
        <w:tc>
          <w:tcPr>
            <w:tcW w:w="40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3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38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47,405</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impaired loans(c):</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Outstanding customer balance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473,834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529,520</w:t>
            </w: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572,979</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606,683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Carrying amount</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263,025</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278,783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303,305</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325,980</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Nonaccrual loans to total loans and leases, net of</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unearned discount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1"/>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assets to total net loans and leases and</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and other foreclosed assets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r>
      <w:tr>
        <w:trPr>
          <w:trHeight w:val="211"/>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Accruing loans past due 90 days or more(a) to total</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and leases, net of unearned discount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ind w:left="700" w:hanging="692"/>
        <w:spacing w:after="0"/>
        <w:tabs>
          <w:tab w:leader="none" w:pos="70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loans acquired at a discount. Predominantly residential real estate loans.</w:t>
      </w:r>
    </w:p>
    <w:p>
      <w:pPr>
        <w:spacing w:after="0" w:line="29" w:lineRule="exact"/>
        <w:rPr>
          <w:rFonts w:ascii="Times New Roman" w:cs="Times New Roman" w:eastAsia="Times New Roman" w:hAnsi="Times New Roman"/>
          <w:sz w:val="18"/>
          <w:szCs w:val="18"/>
          <w:i w:val="1"/>
          <w:iCs w:val="1"/>
          <w:color w:val="auto"/>
        </w:rPr>
      </w:pPr>
    </w:p>
    <w:p>
      <w:pPr>
        <w:ind w:left="580" w:hanging="572"/>
        <w:spacing w:after="0" w:line="250" w:lineRule="auto"/>
        <w:tabs>
          <w:tab w:leader="none" w:pos="58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Loans acquired at a discount that were recorded at fair value at acquisition date. This category does not include purchased impaired loans that are presented separately.</w:t>
      </w:r>
    </w:p>
    <w:p>
      <w:pPr>
        <w:ind w:left="580" w:hanging="572"/>
        <w:spacing w:after="0"/>
        <w:tabs>
          <w:tab w:leader="none" w:pos="58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Accruing loans acquired at a discount that were impaired at acquisition date and recorded at fair value.</w:t>
      </w:r>
    </w:p>
    <w:p>
      <w:pPr>
        <w:spacing w:after="0" w:line="99"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20"/>
          <w:szCs w:val="20"/>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real estate values on the Company’s portfolio of loans secured by commercial and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 associated with the Company’s first and second lien loans secured by residential real estate; and (v) the size of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71" w:name="page72"/>
    <w:bookmarkEnd w:id="71"/>
    <w:p>
      <w:pPr>
        <w:jc w:val="both"/>
        <w:spacing w:after="0" w:line="267" w:lineRule="auto"/>
        <w:rPr>
          <w:sz w:val="20"/>
          <w:szCs w:val="20"/>
          <w:color w:val="auto"/>
        </w:rPr>
      </w:pPr>
      <w:r>
        <w:rPr>
          <w:rFonts w:ascii="Times New Roman" w:cs="Times New Roman" w:eastAsia="Times New Roman" w:hAnsi="Times New Roman"/>
          <w:sz w:val="21"/>
          <w:szCs w:val="21"/>
          <w:color w:val="auto"/>
        </w:rPr>
        <w:t>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56"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Management cautiously and conservatively evaluated the allowance for credit losses as of June 30, 2019 in light of: (i) 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 (v) the amount of loan growth experienced by the Company. While there has been general improvement in economic conditions, concerns continue to exist about the strength and sustainability of such improvements; the volatile nature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53% of the Company’s loans and leases are to customers in New York State and Pennsylvania).</w:t>
      </w:r>
    </w:p>
    <w:p>
      <w:pPr>
        <w:spacing w:after="0" w:line="84"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totaled $2.8 billion at June 30, 2019, compared with $2.2 billion at June 30, 2018, $2.7 billion at December 31, 2018 and $3.0 billion at March 31, 2019. The increase in criticized loans from June 30, 2018 to December 31, 2018 reflected loans to three customers each operating in different industries and geographic regions, that were added to this classification in the fourth quarter of 2018. The higher level of criticized loans at March 31, 2019 as compared with December 31, 2018 reflected, in part, the addition of outstanding loan balances to a wholesale distributor and a commercial real estate construction development company. The decline in criticized loans from March 31, 2019 to June 30, 2019 reflects paydowns and upgrades to such loans (largely commercial real estate loans) resulting from an improvement in the borrower’s financial condition. Given payment performance, amount of supporting collateral, and, in certain instances, the existence of loan guarantees, the Company still expects to collect the full outstanding principal balance on most criticized loans.</w:t>
      </w:r>
    </w:p>
    <w:p>
      <w:pPr>
        <w:spacing w:after="0" w:line="84"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20"/>
          <w:szCs w:val="20"/>
          <w:color w:val="auto"/>
        </w:rPr>
        <w:t>Loan officers in different geographic locations with the support of the Company’s credit department personnel continuously review and reassign loan grades based on their detailed knowledge of individual borrowers and their judgment of the impact on such borrowers resulting from changing conditions in their respective regions.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20"/>
          <w:szCs w:val="20"/>
          <w:color w:val="auto"/>
        </w:rPr>
        <w:t>assessed for reasonableness by the Company’s credit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60"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June 30, 2019, approximately 58% of the Company’s home equity portfolio consisted of first lien loans and lines of credit. Of the remaining junior lien loans in the portfolio, approximately 62% (or approximately 25%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June 30, 2019, the balance of junior lien loans and lines that were in nonaccrual status solely as a result of first lien loan performance was $5 million, compared with $8 million at each of June 30, 2018 and March 31, 2019 and $10 million at December 31, 2018.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June 30, 2019, approximately 82% of all outstanding balances of home equity lines of credit related to lines that were still in the draw period, the weighted-average remaining draw periods were approximately five years, and approximately 19% were making contractually allowed payments that do not include any repayment of principal.</w:t>
      </w:r>
    </w:p>
    <w:p>
      <w:pPr>
        <w:spacing w:after="0" w:line="94"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82"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In determining the allowance for credit losses, the Company estimates losses attributable to specific troubled credits identified through both normal and targeted credit review processes and also estimates losses inherent in other loans and leases. In quantifying incurred losses, the Company considers the factors and uses the techniques described herein and in note 3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3" w:name="page74"/>
    <w:bookmarkEnd w:id="73"/>
    <w:p>
      <w:pPr>
        <w:jc w:val="both"/>
        <w:spacing w:after="0" w:line="243" w:lineRule="auto"/>
        <w:rPr>
          <w:sz w:val="20"/>
          <w:szCs w:val="20"/>
          <w:color w:val="auto"/>
        </w:rPr>
      </w:pPr>
      <w:r>
        <w:rPr>
          <w:rFonts w:ascii="Times New Roman" w:cs="Times New Roman" w:eastAsia="Times New Roman" w:hAnsi="Times New Roman"/>
          <w:sz w:val="21"/>
          <w:szCs w:val="21"/>
          <w:color w:val="auto"/>
        </w:rPr>
        <w:t>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42% of the Company’s home equity portfolio consists of junior lien loans and lines of credit. Except for consumer loans and 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3 of Notes to Financial Statements.</w:t>
      </w:r>
    </w:p>
    <w:p>
      <w:pPr>
        <w:spacing w:after="0" w:line="83"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Management believes that the allowance for credit losses at June 30, 2019 appropriately reflected credit losses inherent in the portfolio as of that date. The allowance for credit losses totaled $1.03 billion at June 30, 2019 and $1.02 billion at each of June 30, 2018 and December 31, 2018. As a percentage of loans and leases outstanding, the allowance was 1.15% at each of June 30, 2019 and December 31, 2018 and 1.16% at June 30, 2018.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119% at June 30, 2019, 124% at June 30, 2018 and 114% at December 31, 2018.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assessing the adequacy of the Company’s allowance for credit losses. The level of the allowance reflects management’s evaluation of the loan and lease portfolio as of each respective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Income</w:t>
      </w:r>
    </w:p>
    <w:p>
      <w:pPr>
        <w:spacing w:after="0" w:line="1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Other income totaled $512 million in the second quarter of 2019, compared with $457 million in the corresponding 2018 quarter and $501 million in the first quarter of 2019. The recent quarter’s improvement as compared with the second quarter of 2018 and the first quarter of 2019 reflected higher mortgage banking revenues, trading account and foreign exchange gains and trust income. As compared with the first quarter of 2019, the recent quarter also reflected higher letter of credit and credit-related fees, while the first quarter results included income from BLG of $37 million.</w:t>
      </w:r>
    </w:p>
    <w:p>
      <w:pPr>
        <w:spacing w:after="0" w:line="79"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Mortgage banking revenues were $107 million in the recent quarter, compared with $92 million in the second quarter of 2018 and $95 million in the initial quarter of 2019.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79"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$72 million in the second quarter of 2019, compared with $61 million in the year-earlier quarter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4" w:name="page75"/>
    <w:bookmarkEnd w:id="74"/>
    <w:p>
      <w:pPr>
        <w:jc w:val="both"/>
        <w:spacing w:after="0" w:line="267" w:lineRule="auto"/>
        <w:rPr>
          <w:sz w:val="20"/>
          <w:szCs w:val="20"/>
          <w:color w:val="auto"/>
        </w:rPr>
      </w:pPr>
      <w:r>
        <w:rPr>
          <w:rFonts w:ascii="Times New Roman" w:cs="Times New Roman" w:eastAsia="Times New Roman" w:hAnsi="Times New Roman"/>
          <w:sz w:val="21"/>
          <w:szCs w:val="21"/>
          <w:color w:val="auto"/>
        </w:rPr>
        <w:t>$66 million in 2019’s first quarter. The higher revenues in the recent quarter as compared with the prior quarters resulted largely from increased servicing income.</w:t>
      </w:r>
    </w:p>
    <w:p>
      <w:pPr>
        <w:spacing w:after="0" w:line="56"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New commitments to originate residential real estate loans to be sold were approximately $723 million in the recent quarter, compared with $644 million in the second quarter of 2018 and $422 million in the initial 2019 quarter.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$13 million in the second quarter of 2019, $12 million in the year-earlier quarter and $10 million in the first quarter of 2019.</w:t>
      </w:r>
    </w:p>
    <w:p>
      <w:pPr>
        <w:spacing w:after="0" w:line="79"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Loans held for sale that were secured by residential real estate aggregated $294 million at June 30, 2019, $283 million at June 30, 2018 and $205 million at December 31, 2018. Commitments to sell residential real estate loans and commitments to originate residential real estate loans for sale at pre-determined rates totaled $626 million and $473 million, respectively, at June 30, 2019, compared with $532 million and $361 million, respectively, at June 30, 2018 and $364 million and $245 million, respectively, at December 31, 2018. Net recognized unrealized gains on residential real estate loans held for sale, commitments to sell loans, and commitments to originate loans for sale were $9 million and $11 million at June 30, 2019 and June 30, 2018, respectively, compared with $7 million at December 31, 2018. Changes in such net unrealized gains or losses are recorded in mortgage banking revenues and resulted in net increases in revenues of $2 million in the recent quarter, $3 million in the second quarter of 2018 and $1 million in the first quarter of 2019.</w:t>
      </w:r>
    </w:p>
    <w:p>
      <w:pPr>
        <w:spacing w:after="0" w:line="84"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Revenues from servicing residential real estate loans for others were $59 million in the quarter ended June 30, 2019, compared with $49 million and $56 million during the quarters ended June 30, 2018 and March 31, 2019, respectively. Residential real estate loans serviced for others totaled $102.9 billion at June 30, 2019, $76.0 billion at June 30, 2018, $79.1 billion at December 31, 2018 and $90.1 billion at March 31, 2019. On January 31, 2019, the Company purchased servicing rights for residential real estate loans that had outstanding principal balances of $13.1 billion. The purchase price of such servicing rights was approximately $145 million. Servicing revenues associated with that purchase realized in the second and first quarters of 2019 totaled $11 million and $8 million, respectively. Capitalized residential mortgage servicing assets aggregated $245 million at June 30, 2019 (net of a $9 million valuation allowance), $118 million at June 30, 2018, $121 million at December 31, 2018 and $260 million at March 31, 2019. A provision for impairment of capitalized residential mortgage servicing rights of $9 million was recorded in the recent quarter, resulting from changes in the estimated fair value of capitalized mortgage servicing rights that reflected the impact of lower interest rates on the expected rate of residential mortgage loan prepayments. Reflected in residential real estate loans serviced for others were loans sub-serviced for others of $68.7 billion, $53.5 billion, $56.8 billion and $54.9 billion at June 30, 2019, June 30, 2018, December 31, 2018 and March 31, 2019, respectively. Revenues earned for sub-servicing loans totaled $29 million for the three months ended June 30, 2019, compared with $28 million for the similar 2018 period and first quarter of 2019. The Company added approximately $7.9 billion to its residential real estate loan sub-servicing portfolio on April 2, 2019. In addition, on June 4, 2019, an additional $8.7 billion of residential real estate loans were added to the Company’s sub-servicing portfolio. The contractual servicing rights associated with loans sub-serviced by the Company were predominantly held by affiliates of BLG. Information about the Company’s relationship with BLG and its affiliates is included in note 15 of Notes to Financial Statements.</w:t>
      </w:r>
    </w:p>
    <w:p>
      <w:pPr>
        <w:spacing w:after="0" w:line="96"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Commercial mortgage banking revenues totaled $35 million in the recent quarter, compared with $31 million and $29 million in the second quarter of 2018 and the first quarter of 2019, respectively. Included in such amounts were revenues from loan origination and sales activities of $21 million in the second quarter of 2019, $17 million in the year-earlier quarter and $15 million in the first quarter of 2019. Commercial real estate loans originated for sale to other investors were approximately $1.1 billion in the recent quarter, compared with $1.3 billion in the second quarter of 2018 and $777 million in the initial 2019 quarter. Loan servicing revenues totaled $14 million in each of the second quarters of 2019 and 2018 and in the first quarter of 2019. Capitalized commercial mortgage servicing assets were $117 million and $110 million at June 30, 2019 and June 30, 2018, respectively, and $115 million at December 31, 2018. Commercial real estate loans serviced for other investors totaled $19.6 billion at June 30, 2019, $16.5 billion a year earlier and $18.2 billion at December 31, 2018 and included $3.6 billion, $3.3 billion and $3.4</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5" w:name="page76"/>
    <w:bookmarkEnd w:id="75"/>
    <w:p>
      <w:pPr>
        <w:jc w:val="both"/>
        <w:spacing w:after="0" w:line="246" w:lineRule="auto"/>
        <w:rPr>
          <w:sz w:val="20"/>
          <w:szCs w:val="20"/>
          <w:color w:val="auto"/>
        </w:rPr>
      </w:pPr>
      <w:r>
        <w:rPr>
          <w:rFonts w:ascii="Times New Roman" w:cs="Times New Roman" w:eastAsia="Times New Roman" w:hAnsi="Times New Roman"/>
          <w:sz w:val="21"/>
          <w:szCs w:val="21"/>
          <w:color w:val="auto"/>
        </w:rPr>
        <w:t>billion, respectively, of loan balances for which investors had recourse to the Company if such balances are ultimately uncollectible. Commitments to sell commercial real estate loans and commitments to originate commercial real estate loans for sale were $751 million and $247 million, respectively, at June 30, 2019, $1.2 billion and $324 million, respectively, at June 30, 2018 and $577 million and $229 million, respectively, at December 31, 2018. Commercial real estate loans held for sale at June 30, 2019, June 30, 2018 and December 31, 2018 were $504 million, $868 million and $347 million, respectively. The higher balance at June 30, 2018 reflected loans originated later in 2018’s second quarter that had not been delivered to investors as of that date.</w:t>
      </w:r>
    </w:p>
    <w:p>
      <w:pPr>
        <w:spacing w:after="0" w:line="80" w:lineRule="exact"/>
        <w:rPr>
          <w:sz w:val="20"/>
          <w:szCs w:val="20"/>
          <w:color w:val="auto"/>
        </w:rPr>
      </w:pPr>
    </w:p>
    <w:p>
      <w:pPr>
        <w:jc w:val="both"/>
        <w:ind w:right="20" w:firstLine="518"/>
        <w:spacing w:after="0" w:line="273" w:lineRule="auto"/>
        <w:rPr>
          <w:sz w:val="20"/>
          <w:szCs w:val="20"/>
          <w:color w:val="auto"/>
        </w:rPr>
      </w:pPr>
      <w:r>
        <w:rPr>
          <w:rFonts w:ascii="Times New Roman" w:cs="Times New Roman" w:eastAsia="Times New Roman" w:hAnsi="Times New Roman"/>
          <w:sz w:val="20"/>
          <w:szCs w:val="20"/>
          <w:color w:val="auto"/>
        </w:rPr>
        <w:t>Service charges on deposit accounts were $108 million and $107 million in the second quarters of 2019 and 2018, respectively, and $103 million in the initial quarter of 2019. The increase in such service charges in the recent quarter as compared with the immediately preceding quarter resulted from higher consumer service charges, largely fees associated with debit cards and insufficient funds.</w:t>
      </w:r>
    </w:p>
    <w:p>
      <w:pPr>
        <w:spacing w:after="0" w:line="52"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aggregated $144 million in the second quarter of 2019, compared with $138 million in the year-earlier quarter and $133 million in the first quarter of 2019. Revenues associated with the ICS business were approximately $77 million, $70 million and $71 million during the quarters ended June 30, 2019, June 30, 2018 and March 31, 2019, respectively. The higher revenues in the most recent quarter reflect the impact of sales activities and higher retirement services income from growth in collective fund balances. Revenues attributable to WAS totaled approximately $60 million, $62 million and $55 million for the three-month periods ended June 30, 2019, June 30, 2018 and March 31, 2019, respectively. The higher revenues in the recent quarter as compared with the initial 2019 quarter reflected annual tax service fees earned for assisting customers with their tax filings. Trust assets under management were $97.6 billion, $83.4 billion and $92.9 billion at June 30, 2019, June 30, 2018 and March 31, 2019, respectively. Trust assets under management include the Company’s proprietary mutual funds’ assets of $11.8 billion, $9.9 billion and $11.3 billion at June 30, 2019, June 30, 2018 and March 31, 2019, respectively. Additional trust income from investment management activities was $7 million during the quarters ended June 30, 2019 and March 31, 2019, compared with $6 million during the quarter ended June 30, 2018, and is predominantly comprised of fees earned from retail customer investment accounts. The Company’s trust income from the previously noted affiliated asset manager was not material during any of the quarters referenced herein. In July 2019, the Company entered into an agreement to sell its non-controlling interest in that entity. Assets managed by the affiliated manager totaled $3.8 billion at June 30, 2019, $6.0 billion at June 30, 2018 and $4.2 billion at December 31, 2018.</w:t>
      </w:r>
    </w:p>
    <w:p>
      <w:pPr>
        <w:spacing w:after="0" w:line="94"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20"/>
          <w:szCs w:val="20"/>
          <w:color w:val="auto"/>
        </w:rPr>
        <w:t>Brokerage services income, which includes revenues from the sale of mutual funds and annuities and securities brokerage fees, totaled $12 million in each of the first and second quarters of 2019, compared with $13 million in the second quarter of 2018. Trading account and foreign exchange activity resulted in gains of $18 million and $5 million during the quarters ended June 30, 2019 and 2018, respectively, compared with gains of $11 million in the initial 2019 quarter. The increases from the year-earlier quarter and the immediately preceding quarter were due to increased activity related to interest rate swap transactions executed on behalf of commercial customers and improved valuations of interest rate floor agreements that are not accounted for as hedging instruments but, nevertheless, provide the Company with protection against the possibility of future declines in interest rates on earnings assets.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68"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The Company recognized net gains on investment securities of $9 million in the recent quarter, $2 million in the second quarter of 2018 and $12 million in the first quarter of 2019, consisting predominantly of unrealized gains on investments in Fannie Mae and Freddie Mac preferred stock.</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6" w:name="page77"/>
    <w:bookmarkEnd w:id="76"/>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Other revenues from operations were $113 million in the second quarter of 2019, compared with $100 million in the corresponding 2018 period and $134 million in the initial quarter of 2019. The recent quarter’s improvement as compared with the year-earlier quarter reflects higher letter of credit and other credit-related fees, including loan syndication fees. The recent quarter’s decline as compared with the first quarter of 2019 resulted from $37 million of income received from BLG in the preceding quarter partially offset by higher letter of credit and other credit-related fees in the recent quarter. Included in other revenues from operations were the following significant components. Letter of credit and other credit-related fees aggregated $29 million in the recent quarter, compared with $25 million in the year-earlier quarter and $24 million in the initial quarter of 2019. Revenues from merchant discount and credit card fees were $31 million in 2019’s second quarter, compared with $29 million in 2018’s second quarter and $27 million in the first quarter of 2019. Tax-exempt income from bank owned life insurance, which includes increases in the cash surrender value of life insurance policies and benefits received, totaled $14 million in the second 2019 quarter and $12 million in each of the second quarter of 2018 and the first quarter of 2019. Insurance-related sales commissions and other revenues totaled $12 million in the recently completed quarter, compared with $11 million and $14 million in 2018’s second quarter and the initial 2019 quarter, respectively.</w:t>
      </w:r>
    </w:p>
    <w:p>
      <w:pPr>
        <w:spacing w:after="0" w:line="88"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Other income aggregated $1.01 billion during the first six months of 2019, compared with $916 million in the corresponding 2018 period. That improvement reflects higher mortgage banking revenues, trading account and foreign exchange gains, gains on bank investment securities, trust income and income from BLG.</w:t>
      </w:r>
    </w:p>
    <w:p>
      <w:pPr>
        <w:spacing w:after="0" w:line="7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Mortgage banking revenues totaled $203 million during the first six months of 2019, compared with $180 million during the similar period in 2018. Residential mortgage banking revenues aggregated $138 million and $123 million during the six-month periods ended June 30, 2019 and 2018, respectively. New commitments to originate residential real estate loans to be sold aggregated $1.1 billion and $1.3 billion in the first half of 2019 and 2018, respectively. Realized gains from sales of residential real estate loans and loan servicing rights and recognized unrealized gains and losses on residential real estate loans held for sale, commitments to originate loans for sale and commitments to sell loans aggregated to gains of $23 million and $24 million in the six-month periods ended June 30, 2019 and 2018, respectively. Revenues from servicing residential real estate loans for others were $115 million in the first half of 2019 and $99 million in the corresponding 2018 period. Included in servicing revenues were sub-servicing revenues aggregating $57 million and $58 million in the first six months of 2019 and 2018, respectively. For the six months ended June 30, commercial mortgage banking revenues were $65 million and $57 million in 2019 and 2018, respectively. That increase resulted predominantly from revenues associated with loan origination activities. Commercial real estate loans originated for sale to other investors totaled $1.8 billion during both six-month periods ended June 30, 2019 and 2018.</w:t>
      </w:r>
    </w:p>
    <w:p>
      <w:pPr>
        <w:spacing w:after="0" w:line="88"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Service charges on deposit accounts aggregated $211 million during the first half of 2019, compared with $212 million in the year-earlier period. Trust income totaled $277 million and $269 million during the first six months of 2019 and 2018, respectively. The increase in trust income in 2019 as compared with 2018 was largely due to higher revenues from the ICS business, reflecting both sales activities and higher retirement services income from growth in collective fund balances, partially offset by lower revenues from the WAS business reflecting, in part, lower recurring fees due to product mix and competitive factors. Brokerage services income totaled $25 million in the first half of 2019, compared with $26 million in the six-month period ended June 30, 2018. Trading account and foreign exchange activity resulted in gains of $29 million and $10 million in the first six months of 2019 and 2018, respectively. The significantly higher gains in the 2019 period were predominantly due to valuation changes on interest rate floor agreements and higher income associated with increased activity related to interest rate swap agreements executed on behalf of commercial customers.</w:t>
      </w:r>
    </w:p>
    <w:p>
      <w:pPr>
        <w:spacing w:after="0" w:line="84"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Other revenues from operations totaled $247 million in the first half of 2019, compared with $227 million in the year-earlier period. Other revenues from operations include the following significant components. Letter of credit and other credit-related fees aggregated $53 million and $54 million in 2019 and 2018, respectively. Reflecting higher death benefits proceeds, income from bank owned life insurance totaled $26 million in the first six months of 2019, compared with $23 million in the corresponding 2018 period. Merchant discount and credit card fees were $58 million and $57 million in the first six months of 2019 and 2018, respectively. Insurance-related commissions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7" w:name="page78"/>
    <w:bookmarkEnd w:id="77"/>
    <w:p>
      <w:pPr>
        <w:jc w:val="both"/>
        <w:spacing w:after="0" w:line="267" w:lineRule="auto"/>
        <w:rPr>
          <w:sz w:val="20"/>
          <w:szCs w:val="20"/>
          <w:color w:val="auto"/>
        </w:rPr>
      </w:pPr>
      <w:r>
        <w:rPr>
          <w:rFonts w:ascii="Times New Roman" w:cs="Times New Roman" w:eastAsia="Times New Roman" w:hAnsi="Times New Roman"/>
          <w:sz w:val="21"/>
          <w:szCs w:val="21"/>
          <w:color w:val="auto"/>
        </w:rPr>
        <w:t>other revenues aggregated $26 million and $25 million in 2019 and 2018, respectively. M&amp;T’s investment in BLG resulted in income of $37 million in the first six months of 2019 and $23 million in the similar 2018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Expense</w:t>
      </w:r>
    </w:p>
    <w:p>
      <w:pPr>
        <w:spacing w:after="0" w:line="1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Other expense totaled $873 million in the second quarter of 2019, compared with $777 million in the year-earlier quarter and $894 million in the first quarter of 2019. Included in those amounts are expenses considered to be “nonoperating” in nature consisting of amortization of core deposit and other intangible assets of $5 million in each of the second and first quarters of 2019, compared with $6 million in the second quarter of 2018. Exclusive of those nonoperating expenses, noninterest operating expenses were $868 million in the most recent quarter, compared with $770 million in the similar period of 2018 and $889 million in the initial quarter of 2019. A $48 million charge was recorded in the recent quarter to reduce the carrying value of an investment in an asset manager accounted for using the equity method of accounting to its estimated net realizable value. In addition, higher costs for salaries and employee benefits also contributed to the rise in noninterest operating expenses in the recent quarter as compared with the year-earlier quarter. As compared with the first quarter of 2019, the most significant factors contributing to the decline in noninterest operating expenses in the recent quarter were a $50 million addition to the reserve for legal matters in 2019’s initial quarter and seasonally higher stock-based compensation and employee benefits expenses in that quarter offset, in part, by the $48 million charge in the recently completed quarter related to the investment in an asset manager.</w:t>
      </w:r>
    </w:p>
    <w:p>
      <w:pPr>
        <w:spacing w:after="0" w:line="88"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Other expense for the first half of 2019 totaled $1.77 billion, compared with $1.71 billion in the year-earlier period. Included in those amounts are expenses considered to be “nonoperating” in nature consisting of amortization of core deposit and other intangible assets of $10 million and $13 million in the six-month periods ended June 30, 2019 and 2018, respectively. Exclusive of those nonoperating expenses, noninterest operating expenses for the first half of 2019 were $1.76 billion, compared with $1.70 billion in the first six months of 2018. Higher salaries and employee benefits expenses and the $48 million charge associated with the asset manager investment were largely offset by a decrease of $85 million in additions to the reserve for legal matters.</w:t>
      </w:r>
    </w:p>
    <w:p>
      <w:pPr>
        <w:spacing w:after="0" w:line="80" w:lineRule="exact"/>
        <w:rPr>
          <w:sz w:val="20"/>
          <w:szCs w:val="20"/>
          <w:color w:val="auto"/>
        </w:rPr>
      </w:pPr>
    </w:p>
    <w:p>
      <w:pPr>
        <w:jc w:val="both"/>
        <w:ind w:firstLine="518"/>
        <w:spacing w:after="0" w:line="242" w:lineRule="auto"/>
        <w:rPr>
          <w:sz w:val="20"/>
          <w:szCs w:val="20"/>
          <w:color w:val="auto"/>
        </w:rPr>
      </w:pPr>
      <w:r>
        <w:rPr>
          <w:rFonts w:ascii="Times New Roman" w:cs="Times New Roman" w:eastAsia="Times New Roman" w:hAnsi="Times New Roman"/>
          <w:sz w:val="21"/>
          <w:szCs w:val="21"/>
          <w:color w:val="auto"/>
        </w:rPr>
        <w:t>Salaries and employee benefits expense aggregated $456 million in the second quarter of 2019, compared with $419 million in the year-earlier quarter and $499 million in the initial quarter of 2019. During the first six months of 2019 and 2018, salaries and employee benefits expense aggregated $955 million and $882 million, respectively. The higher salaries and employee benefits expenses for the three-month and six-month periods ended June 30, 2019 as compared with the corresponding 2018 periods largely reflect the impact of higher employment levels, merit and other increases for employees, higher incentive-based compensation and increased medical benefit costs. The higher employment levels include staff additions to accommodate the residential mortgage servicing and sub-servicing acquisitions that were previously noted. The decrease in salaries and employee benefits expense in the recent quarter as compared with the first quarter of 2019 was attributable to seasonally higher stock-based compensation, medical plan costs, payroll-related taxes, unemployment insurance and the Company’s contributions for retirement savings plan benefits related to annual incentive compensation payments in the first quarter of 2019.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 of 2019 included $27 million that would have been recognized over the normal vesting period if not for the accelerated recognition provisions of GAAP. That acceleration had no effect on the value of stock-based compensation awarded to employees. Salaries and employee benefits expense included stock-based compensation of $12 million and $11 million in the three-month periods ended June 30, 2019 and June 30, 2018, respectively, $40 million in the three-month period ended March 31, 2019, and $53 million and $45 million during the six-month periods ended June 20, 2019 and 2018, respectively. The number of full-time equivalent employees was 17,516 at June 30, 2019, compared with 16,760 and 17,080 at June 30, 2018 and March 31, 2019, respectively.</w:t>
      </w:r>
    </w:p>
    <w:p>
      <w:pPr>
        <w:spacing w:after="0" w:line="96"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Excluding the nonoperating expense items described earlier from each quarter, nonpersonnel operating expenses were $412 million and $352 million in the quarters ended June 30, 2019 and June 30, 2018, respectively, and $390 million in the initial quarter of 2019. On that same basis, such expenses were $802 million and $815 million in the six-month periods ended June 30, 2019 and 2018, respectively. The higher level of nonpersonnel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8" w:name="page79"/>
    <w:bookmarkEnd w:id="78"/>
    <w:p>
      <w:pPr>
        <w:jc w:val="both"/>
        <w:spacing w:after="0" w:line="243" w:lineRule="auto"/>
        <w:rPr>
          <w:sz w:val="20"/>
          <w:szCs w:val="20"/>
          <w:color w:val="auto"/>
        </w:rPr>
      </w:pPr>
      <w:r>
        <w:rPr>
          <w:rFonts w:ascii="Times New Roman" w:cs="Times New Roman" w:eastAsia="Times New Roman" w:hAnsi="Times New Roman"/>
          <w:sz w:val="21"/>
          <w:szCs w:val="21"/>
          <w:color w:val="auto"/>
        </w:rPr>
        <w:t>operating expenses in the recent quarter compared with the second quarter of 2018 was predominantly attributable to the $48 million charge associated with the asset manager, the $9 million valuation reserve on residential mortgage servicing rights and higher equipment and net occupancy expenses, partially offset by lower FDIC assessments. As compared with the initial 2019 quarter, the recent quarter’s $48 million charge, the valuation reserve on residential mortgage servicing rights and higher costs for professional services were largely offset by a $50 million first quarter 2019 addition to the reserve for legal matters. There were no valuation allowances related to residential mortgage servicing rights at June 30, 2018, December 31, 2018 and March 31, 2019. Additional information about the Company’s capitalized residential mortgage loan servicing assets is presented herein under the heading “Other Income.” The lower level of nonpersonnel operating expenses in the first six months of 2019 as compared with the similar 2018 period reflected lower additions to the reserve for legal matters of $85 million and decreased FDIC assessments, partially offset by the $48 million charge for the investment in an asset manager, higher equipment, net occupancy, outside data processing and software costs and the valuation reserve on residential mortgage servicing rights.</w:t>
      </w:r>
    </w:p>
    <w:p>
      <w:pPr>
        <w:spacing w:after="0" w:line="89"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The efficiency ratio measures the relationship of noninterest operating expenses to revenues. The Company’s efficiency ratio was 56.0% during the recent quarter, compared with 52.4% and 57.6% in the second quarter of 2018 and first quarter of 2019, respectively. The efficiency ratios for the six-month periods ended June 30, 2019 and 2018 were 56.8% and 58.2%, respectively. The calculation of the efficiency ratio is presented in Table 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Income Taxes</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provision for income taxes was $152 million in each of the second and first quarters of 2019, compared with $161 million in the second quarter of 2018. For the six-month periods ended June 30, 2019 and 2018, the provisions for income taxes were $304 million and $267 million, respectively. The effective tax rates were 24.3%, 24.7% and 23.9% for the quarters ended June 30, 2019, June 30, 2018 and March 31, 2019, respectively, and 24.1% and 24.0% for the six-month periods ended June 30, 2019 and 2018, respectively.</w:t>
      </w:r>
    </w:p>
    <w:p>
      <w:pPr>
        <w:spacing w:after="0" w:line="73"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1"/>
          <w:szCs w:val="21"/>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Capital</w:t>
      </w:r>
    </w:p>
    <w:p>
      <w:pPr>
        <w:spacing w:after="0" w:line="1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Shareholders’ equity was $15.7 billion at June 30, 2019, representing 12.91% of total assets, compared with $15.6 billion or 13.15% a year earlier and $15.5 billion or 12.87% at December 31, 2018. Included in shareholders’ equity was preferred stock with financial statement carrying values of $1.2 billion at each of June 30, 2019, June 30, 2018 and December 31, 2018. On July 30, 2019, M&amp;T issued 40,000 shares of Series G Perpetual Fixed-Rate Reset Non-cumulative Preferred Stock, par value $1.00 per share and liquidation preference of $10,000 per share. Through July 31, 2024 holders of the Series G preferred stock are entitled to receive, only when, as and if declared by M&amp;T’s Board of Directors, non-cumulative cash dividends at an annual rate of 5.0%, payable semiannually in arrears. Subsequent to July 31, 2024 holders will be entitled to receive, only when, as and if declared by M&amp;T’s Board of Directors, non-cumulative cash dividends at an annual rate of the five-year U.S. Treasury Rate plus 3.174%, payable semiannually in arrears. The Series G preferred stock may be redeemed at M&amp;T’s option, in whole or in part, on any dividend payment date on or after August 1, 2024 or, in whole but not in part, at any time within 90 days following a regulatory capital treatment event whereby the full liquidation value of the shares no longer qualifies as “additional Tier 1 capital.” In addition, M&amp;T expects to redeem the 230,000 shares issued and outstanding of the Series A and 151,500 shares issued and outstanding of the Series C Fixed Rate Cumulative Perpetual Preferred Stock, $1,000 liquidation preference per share on August 30, 2019, having received the approval of the Federal Reserve to redeem such shares after issuing the Series G preferred stock.</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9" w:name="page80"/>
    <w:bookmarkEnd w:id="79"/>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Reflecting the impact of repurchases of M&amp;T’s common stock, common shareholders’ equity was $14.5 billion, or $107.73 per share, at June 30, 2019, compared with $14.3 billion, or $99.43 per share, a year earlier and $14.2 billion, or $102.69 per share, at December 31, 2018. Tangible equity per common share, which excludes goodwill and core deposit and other intangible assets and applicable deferred tax balances, was $73.29 at the end of the second quarter of 2019, compared with $67.29 a year earlier and $69.28 at December 31, 2018. The Company’s ratio of tangible common equity to tangible assets was 8.41% at June 30, 2019, compared with 8.53% at June 30, 2018 and 8.31% at December 31, 2018. Reconciliations of total common shareholders’ equity and tangible common equity and total assets and tangible assets as of each of those respective dates are presented in table 2.</w:t>
      </w:r>
    </w:p>
    <w:p>
      <w:pPr>
        <w:spacing w:after="0" w:line="82"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reflected in shareholders’ equity, net of applicable tax effect, were $7 million, or $.05 per common share, at June 30, 2019, compared with net unrealized losses of $198 million, or $1.38 per common share, a year earlier and $148 million, or $1.06 per common share, at December 31, 2018. Changes in unrealized gains and losses on investment securities are predominantly reflective of the impact of changes in interest rates on the values of such securities. Information about unrealized gains and losses as of June 30, 2019 and December 31, 2018 is included in note 2 of Notes to Financial Statements.</w:t>
      </w:r>
    </w:p>
    <w:p>
      <w:pPr>
        <w:spacing w:after="0" w:line="81"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Reflected in the carrying amount of available-for-sale investment securities at June 30, 2019 were pre-tax effect unrealized gains of $68 million on securities with an amortized cost of $3.9 billion and pre-tax effect unrealized losses of $47 million on securities with an amortized cost of $3.5 billion. Information concerning the Company’s fair valuations of investment securities is provided in notes 2 and 12 of Notes to Financial Statements.</w:t>
      </w:r>
    </w:p>
    <w:p>
      <w:pPr>
        <w:spacing w:after="0" w:line="73"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Each reporting period the Company reviews its investment securities for other-than-temporary impairment.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for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w:t>
      </w:r>
    </w:p>
    <w:p>
      <w:pPr>
        <w:spacing w:after="0" w:line="84"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As of June 30, 2019, based on a review of each of the securities in the investment securities portfolio, the Company concluded that the declines in the values of any securities containing an unrealized loss were temporary and that any other-than-temporary impairment charges were not appropriate. As of June 30, 2019,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w:t>
      </w:r>
    </w:p>
    <w:p>
      <w:pPr>
        <w:spacing w:after="0" w:line="81"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The Company assessed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20"/>
          <w:szCs w:val="20"/>
          <w:color w:val="auto"/>
        </w:rPr>
        <w:t>bond-specific cash flows also reflect the placement of the bond in the overall securitization structure and the remaining subordination levels. In total, at June 30, 2019 and December 31, 2018, the Company had in its held-to-maturity portfolio privately issued mortgage-backed securities with an amortized cost basis of $105 million and $113 million, respectively, and a fair value of $96 million and $103 million, respectively. At June 30, 2019, 82% of the mortgage-backed securities were in the most senior tranche of the securitization structure with 14% being independently rated as investment grade. The mortgage-backed securities are generally collateralized by residential and small-balance commercial real estate loans originated between 2004 and 2008 and had a weighted-average credit enhancement of 18% at June 30, 2019, calculated by dividing the remaining unpaid principal 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34% and 68% respectively. Given the securitization structure, some of the bonds held by the Company may defer interest payments in certain circumstances, but after considering the repayment structure and estimated future collateral cash flows of each individual senior and subordinate tranche bond, the Company has concluded that as of June 30, 2019, those privately issued mortgage-backed securities were not other-than-temporarily impaired. Nevertheless, it is possible that adverse changes in the estimated future performance of mortgage loan collateral underlying such securities could impact the Company’s conclusions.</w:t>
      </w:r>
    </w:p>
    <w:p>
      <w:pPr>
        <w:spacing w:after="0" w:line="73"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1"/>
          <w:szCs w:val="21"/>
          <w:color w:val="auto"/>
        </w:rPr>
        <w:t>Adjustments to reflect the funded status of defined benefit pension and other postretirement plans, net of applicable tax effect, reduced accumulated other comprehensive income by $255 million or $1.90 per common share, at June 30, 2019, $290 million or $2.01 per common share, at June 30, 2018 and $261 million, or $1.89 per common share, at December 31, 2018.</w:t>
      </w:r>
    </w:p>
    <w:p>
      <w:pPr>
        <w:spacing w:after="0" w:line="70"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In accordance with M&amp;T’s revised 2018 Capital Plan filed with the Federal Reserve, M&amp;T repurchased 2,450,000 shares of its common stock for $402 million in the second quarter of 2019 and 4,600,000 shares for $768 million during the first half of 2019. M&amp;T repurchased 2,608,376 common shares at a total cost of $475 million during the second quarter of 2018 and 6,391,658 shares for $1.2 billion during the first half of 2018.</w:t>
      </w:r>
    </w:p>
    <w:p>
      <w:pPr>
        <w:spacing w:after="0" w:line="73" w:lineRule="exact"/>
        <w:rPr>
          <w:sz w:val="20"/>
          <w:szCs w:val="20"/>
          <w:color w:val="auto"/>
        </w:rPr>
      </w:pPr>
    </w:p>
    <w:p>
      <w:pPr>
        <w:jc w:val="both"/>
        <w:ind w:firstLine="476"/>
        <w:spacing w:after="0" w:line="246" w:lineRule="auto"/>
        <w:rPr>
          <w:sz w:val="20"/>
          <w:szCs w:val="20"/>
          <w:color w:val="auto"/>
        </w:rPr>
      </w:pPr>
      <w:r>
        <w:rPr>
          <w:rFonts w:ascii="Times New Roman" w:cs="Times New Roman" w:eastAsia="Times New Roman" w:hAnsi="Times New Roman"/>
          <w:sz w:val="21"/>
          <w:szCs w:val="21"/>
          <w:color w:val="auto"/>
        </w:rPr>
        <w:t>During 2018, M&amp;T’s Board of Directors authorized increases in the quarterly common stock dividend to $.80 per common share in the second quarter from the previous rate of $.75 per common share and to $1.00 per common share in the third quarter. Cash dividends declared on M&amp;T’s common stock totaled $135 million in the recent quarter, compared with $116 million and $139 million during the quarters ended June 30, 2018 and March 31, 2019, respectively. Common stock dividends during the six-month periods ended June 30, 2019 and 2018 were $274 million and $228 million, respectively. Cash dividends declared on preferred stock aggregated $18 million in each of the second quarters of 2019 and 2018 and in the first quarter of 2018.</w:t>
      </w:r>
    </w:p>
    <w:p>
      <w:pPr>
        <w:spacing w:after="0" w:line="80"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On June 27, 2019, M&amp;T announced its 2019 Capital Plan, which covers the four-quarter period that began on July 1, 2019. The 2019 Capital Plan, which has been reviewed and approved by M&amp;T’s Board of Directors, reflects capital distributions within the amount that M&amp;T can make over the specified period based on the prior approval of the Board of Governors of the Federal Reserve System. M&amp;T’s 2019 Capital Plan reflects net capital distributions of approximately $1.9 billion, which include common and preferred stock dividends as well as repurchases of M&amp;T’s common stock. M&amp;T’s Board of Directors may consider an increase in the common stock dividend, at its discretion, during the four-quarter period. All dividends are subject to declaration by M&amp;T’s Board of Directors. On July 17, 2019, M&amp;T’s Board of Directors authorized a new stock repurchase plan to repurchase up to $1.635 billion of shares of M&amp;T’s common stock subject to all applicable regulatory limitations. During July 2019, M&amp;T repurchased 520,000 common shares for $85 million pursuant to that repurchase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1" w:name="page82"/>
    <w:bookmarkEnd w:id="81"/>
    <w:p>
      <w:pPr>
        <w:ind w:firstLine="471"/>
        <w:spacing w:after="0" w:line="267" w:lineRule="auto"/>
        <w:rPr>
          <w:sz w:val="20"/>
          <w:szCs w:val="20"/>
          <w:color w:val="auto"/>
        </w:rPr>
      </w:pPr>
      <w:r>
        <w:rPr>
          <w:rFonts w:ascii="Times New Roman" w:cs="Times New Roman" w:eastAsia="Times New Roman" w:hAnsi="Times New Roman"/>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29" w:lineRule="exact"/>
        <w:rPr>
          <w:sz w:val="20"/>
          <w:szCs w:val="20"/>
          <w:color w:val="auto"/>
        </w:rPr>
      </w:pPr>
    </w:p>
    <w:p>
      <w:pPr>
        <w:ind w:left="760" w:hanging="374"/>
        <w:spacing w:after="0"/>
        <w:tabs>
          <w:tab w:leader="none" w:pos="7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 Common Equity Tier 1 (“CET1”) to risk-weighted assets (each as defined in the capital regulations);</w:t>
      </w:r>
    </w:p>
    <w:p>
      <w:pPr>
        <w:spacing w:after="0" w:line="68" w:lineRule="exact"/>
        <w:rPr>
          <w:rFonts w:ascii="Times New Roman" w:cs="Times New Roman" w:eastAsia="Times New Roman" w:hAnsi="Times New Roman"/>
          <w:sz w:val="21"/>
          <w:szCs w:val="21"/>
          <w:color w:val="auto"/>
        </w:rPr>
      </w:pPr>
    </w:p>
    <w:p>
      <w:pPr>
        <w:ind w:left="760" w:hanging="374"/>
        <w:spacing w:after="0" w:line="267" w:lineRule="auto"/>
        <w:tabs>
          <w:tab w:leader="none" w:pos="7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6.0% Tier 1 capital (that is, CET1 plus Additional Tier 1 capital) to risk-weighted assets (each as defined in the capital regulations);</w:t>
      </w:r>
    </w:p>
    <w:p>
      <w:pPr>
        <w:spacing w:after="0" w:line="56" w:lineRule="exact"/>
        <w:rPr>
          <w:rFonts w:ascii="Times New Roman" w:cs="Times New Roman" w:eastAsia="Times New Roman" w:hAnsi="Times New Roman"/>
          <w:sz w:val="21"/>
          <w:szCs w:val="21"/>
          <w:color w:val="auto"/>
        </w:rPr>
      </w:pPr>
    </w:p>
    <w:p>
      <w:pPr>
        <w:ind w:left="760" w:right="20" w:hanging="374"/>
        <w:spacing w:after="0" w:line="267" w:lineRule="auto"/>
        <w:tabs>
          <w:tab w:leader="none" w:pos="7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8.0% Total capital (that is, Tier 1 capital plus Tier 2 capital) to risk-weighted assets (each as defined in the capital regulations); and</w:t>
      </w:r>
    </w:p>
    <w:p>
      <w:pPr>
        <w:spacing w:after="0" w:line="56" w:lineRule="exact"/>
        <w:rPr>
          <w:rFonts w:ascii="Times New Roman" w:cs="Times New Roman" w:eastAsia="Times New Roman" w:hAnsi="Times New Roman"/>
          <w:sz w:val="21"/>
          <w:szCs w:val="21"/>
          <w:color w:val="auto"/>
        </w:rPr>
      </w:pPr>
    </w:p>
    <w:p>
      <w:pPr>
        <w:ind w:left="760" w:hanging="374"/>
        <w:spacing w:after="0" w:line="267" w:lineRule="auto"/>
        <w:tabs>
          <w:tab w:leader="none" w:pos="7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 Tier 1 capital to average consolidated assets as reported on consolidated financial statements (known as the “leverage ratio”), as defined in the capital regulations.</w:t>
      </w:r>
    </w:p>
    <w:p>
      <w:pPr>
        <w:spacing w:after="0" w:line="56"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In addition, capital regulations require a “capital conservation buffer” of 2.5% composed entirely of CET1 on top of these minimum risk-weighted asset ratios.</w:t>
      </w:r>
    </w:p>
    <w:p>
      <w:pPr>
        <w:spacing w:after="0" w:line="56"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The regulatory capital ratios of the Company and its bank subsidiaries, M&amp;T Bank and Wilmington Trust, N.A., as of June 30, 2019 are presented in the accompanying table.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REGULATORY CAPITAL RATIOS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30, 2019</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Wilmington</w:t>
            </w:r>
          </w:p>
        </w:tc>
      </w:tr>
      <w:tr>
        <w:trPr>
          <w:trHeight w:val="173"/>
        </w:trPr>
        <w:tc>
          <w:tcPr>
            <w:tcW w:w="53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Bank</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Trust, N.A.</w:t>
            </w:r>
          </w:p>
        </w:tc>
      </w:tr>
      <w:tr>
        <w:trPr>
          <w:trHeight w:val="45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1</w:t>
            </w:r>
          </w:p>
        </w:tc>
        <w:tc>
          <w:tcPr>
            <w:tcW w:w="1040" w:type="dxa"/>
            <w:vAlign w:val="bottom"/>
            <w:tcBorders>
              <w:top w:val="single" w:sz="8" w:color="auto"/>
            </w:tcBorders>
          </w:tcPr>
          <w:p>
            <w:pPr>
              <w:jc w:val="center"/>
              <w:ind w:left="16"/>
              <w:spacing w:after="0"/>
              <w:rPr>
                <w:sz w:val="20"/>
                <w:szCs w:val="20"/>
                <w:color w:val="auto"/>
              </w:rPr>
            </w:pPr>
            <w:r>
              <w:rPr>
                <w:rFonts w:ascii="Times New Roman" w:cs="Times New Roman" w:eastAsia="Times New Roman" w:hAnsi="Times New Roman"/>
                <w:sz w:val="18"/>
                <w:szCs w:val="18"/>
                <w:color w:val="auto"/>
                <w:w w:val="98"/>
              </w:rPr>
              <w:t>9.84%</w:t>
            </w:r>
          </w:p>
        </w:tc>
        <w:tc>
          <w:tcPr>
            <w:tcW w:w="28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10.56%</w:t>
            </w:r>
          </w:p>
        </w:tc>
        <w:tc>
          <w:tcPr>
            <w:tcW w:w="260" w:type="dxa"/>
            <w:vAlign w:val="bottom"/>
          </w:tcPr>
          <w:p>
            <w:pPr>
              <w:spacing w:after="0"/>
              <w:rPr>
                <w:sz w:val="24"/>
                <w:szCs w:val="24"/>
                <w:color w:val="auto"/>
              </w:rPr>
            </w:pPr>
          </w:p>
        </w:tc>
        <w:tc>
          <w:tcPr>
            <w:tcW w:w="10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62.25%</w:t>
            </w:r>
          </w:p>
        </w:tc>
        <w:tc>
          <w:tcPr>
            <w:tcW w:w="80" w:type="dxa"/>
            <w:vAlign w:val="bottom"/>
          </w:tcPr>
          <w:p>
            <w:pPr>
              <w:spacing w:after="0"/>
              <w:rPr>
                <w:sz w:val="24"/>
                <w:szCs w:val="24"/>
                <w:color w:val="auto"/>
              </w:rPr>
            </w:pP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capital</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11.06%</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10.56%</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62.25%</w:t>
            </w:r>
          </w:p>
        </w:tc>
        <w:tc>
          <w:tcPr>
            <w:tcW w:w="8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13.33%</w:t>
            </w:r>
          </w:p>
        </w:tc>
        <w:tc>
          <w:tcPr>
            <w:tcW w:w="2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12.40%</w:t>
            </w:r>
          </w:p>
        </w:tc>
        <w:tc>
          <w:tcPr>
            <w:tcW w:w="260" w:type="dxa"/>
            <w:vAlign w:val="bottom"/>
          </w:tcPr>
          <w:p>
            <w:pPr>
              <w:spacing w:after="0"/>
              <w:rPr>
                <w:sz w:val="19"/>
                <w:szCs w:val="19"/>
                <w:color w:val="auto"/>
              </w:rPr>
            </w:pP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62.44%</w:t>
            </w:r>
          </w:p>
        </w:tc>
        <w:tc>
          <w:tcPr>
            <w:tcW w:w="8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04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8"/>
              </w:rPr>
              <w:t>9.80%</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9.37%</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ind w:firstLine="476"/>
        <w:spacing w:after="0" w:line="244" w:lineRule="auto"/>
        <w:rPr>
          <w:sz w:val="20"/>
          <w:szCs w:val="20"/>
          <w:color w:val="auto"/>
        </w:rPr>
      </w:pPr>
      <w:r>
        <w:rPr>
          <w:rFonts w:ascii="Times New Roman" w:cs="Times New Roman" w:eastAsia="Times New Roman" w:hAnsi="Times New Roman"/>
          <w:sz w:val="21"/>
          <w:szCs w:val="21"/>
          <w:color w:val="auto"/>
        </w:rPr>
        <w:t>The Company is subject to the comprehensive regulatory framework applicable to bank and financial holding companies and their subsidiaries, which includes regular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2018.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Segment Information</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Company's reportable segments have been determined based upon its internal profitability reporting system, which is organized by strategic business unit. Financial information about the Company's segments is presented in note 14 of Notes to Financial Statements. The reportable segments are Business Banking, Commercial Banking, Commercial Real Estate, Discretionary Portfolio, Residential Mortgage Banking and Retail Banking.</w:t>
      </w:r>
    </w:p>
    <w:p>
      <w:pPr>
        <w:spacing w:after="0" w:line="73"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The Business Banking segment recorded net income of $42 million in the second quarter of 2019, compared with $43 million in each of the three-month periods ended June 30, 2018 and March 31, 2019. As compared with the year-earlier quarter, a $6 million rise in the provision for credit losses, due to higher net charge-offs and loan balances, was largely offset by a $4 million increase in net interest income, reflecting a 15 basis point widening of the net interest margin on deposits. As compared with the first quarter of 2019, the slight decline in net income in the recent quarter was attributable to a higher provision for credit losses, due to higher net charge-offs. Net income recorded by the Business Banking segment was $86 million in the first six months of 2019, compared with $81 million in the year-earlier period. That 6% improvement resulted from a $15 million rise in net interest income,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2" w:name="page83"/>
    <w:bookmarkEnd w:id="82"/>
    <w:p>
      <w:pPr>
        <w:jc w:val="both"/>
        <w:spacing w:after="0" w:line="254" w:lineRule="auto"/>
        <w:rPr>
          <w:sz w:val="20"/>
          <w:szCs w:val="20"/>
          <w:color w:val="auto"/>
        </w:rPr>
      </w:pPr>
      <w:r>
        <w:rPr>
          <w:rFonts w:ascii="Times New Roman" w:cs="Times New Roman" w:eastAsia="Times New Roman" w:hAnsi="Times New Roman"/>
          <w:sz w:val="21"/>
          <w:szCs w:val="21"/>
          <w:color w:val="auto"/>
        </w:rPr>
        <w:t>partially offset by a $6 million increase in the provision for credit losses, due to higher net charge-offs and loan balances, and higher centrally-allocated costs associated with data processing, risk management and other support services provided to the Business Banking segment. The increase in net interest income reflected a widening of the net interest margin on deposits of 32 basis points.</w:t>
      </w:r>
    </w:p>
    <w:p>
      <w:pPr>
        <w:spacing w:after="0" w:line="70"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Net income earned by the Commercial Banking segment totaled $124 million during the quarter ended June 30, 2019, compared with $126 million in the year-earlier quarter and $132 million in the first quarter of 2019. The modest decline in net income as compared with the second quarter of 2018 reflected a $10 million increase in the provision for credit losses, due to higher net charge-offs and loan balances, partially offset by higher net interest income of $4 million. The higher net interest income resulted from growth in average outstanding loan balances of $1.4 billion and a widening of the net interest margin on deposits of 19 basis points, partially offset by lower average deposit balances of $1.4 billion. The recent quarter’s 7% decline in net income as compared with the initial 2019 quarter was largely due to a $20 million increase in the provision for credit losses, predominantly due to higher net charge-offs and loan balances. Partially offsetting the higher provision were a $3 million increase in each of loan syndication fees and trading account and foreign exchange gains. The Commercial Banking segment contributed $256 million of net income in the first half of 2019, up from $252 million earned in the similar 2018 period. Contributing to that improvement were a $12 million rise in net interest income and a $5 million decrease in FDIC assessments. Those factors were offset by an $8 million rise in centrally-allocated costs associated with data processing, risk management and other support services provided to the Commercial Banking segment, $3 million decreases in each of loan syndication fees and service charges on deposit accounts, and a $3 million rise in personnel-related costs. The higher net interest income reflected higher average outstanding loan balances of $1.4 billion and a 41 basis point widening of the net interest margin on deposits, partially offset by lower average deposit balances of $1.8 billion.</w:t>
      </w:r>
    </w:p>
    <w:p>
      <w:pPr>
        <w:spacing w:after="0" w:line="83"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20"/>
          <w:szCs w:val="20"/>
          <w:color w:val="auto"/>
        </w:rPr>
        <w:t>The Commercial Real Estate segment contributed net income of $122 million in the recent quarter, compared with $113 million in the second quarter of 2018 and $117 million in the initial 2019 quarter. The improvement as compared with the second quarter of 2018 reflects: a $10 million increase in net interest income, driven largely by higher average outstanding loan balances of $884 million and a 5 basis point widening of the net interest margin on loans; higher mortgage banking revenues of $4 million, due largely to increased origination activities; a decline in FDIC assessments of $3 million; and a $3 million increase in trading account and foreign exchange gains. Partially offsetting those favorable factors were a $7 million rise in centrally-allocated costs associated with data processing, risk management and other support services provided to the Commercial Real Estate segment and a $4 million increase in the provision for credit losses. Contributing to the 4% improvement in the recent quarter’s net income as compared with the first quarter of 2019 were higher mortgage banking revenues of $6 million, predominantly due to increased origination activities. Net income earned by the Commercial Real Estate segment totaled $239 million during the six-month period ended June 30, 2019, compared with $221 million in the corresponding 2018 period. The favorable factors contributing to that increase included: a $21 million rise in net interest income, reflecting higher average outstanding loan balances of $784 million and a 25 basis point widening of the net interest margin on deposits; higher mortgage banking revenues of $7 million, due largely to wider margins on loan originations; a $6 million decrease in FDIC assessments; and a $5 million increase in trading account and foreign exchange gains, resulting mainly from increased activity related to interest rate swap transactions executed on behalf of commercial customers. Those favorable factors were partially offset by a $13 million increase in centrally-allocated costs associated with data processing, risk management and other support services provided to the Commercial Real Estate segment, a $5 million increase in the provision for credit losses and higher personnel-related costs of $4 million.</w:t>
      </w:r>
    </w:p>
    <w:p>
      <w:pPr>
        <w:spacing w:after="0" w:line="82"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21"/>
          <w:szCs w:val="21"/>
          <w:color w:val="auto"/>
        </w:rPr>
        <w:t>Net income from the Discretionary Portfolio segment was $38 million in the recent quarter, compared with $29 million in the second quarter of 2018 and $39 million in the initial 2019 quarter. As compared with 2018’s second quarter, the recent quarter’s results reflected higher valuation gains associated with marketable equity securities of $7 million; higher trading account and foreign exchange gains of $7 million, due to valuation gains on interest rate contracts; a $6 million decrease in the provision for credit losses, primarily due to the favorable impact from the Company’s allocation methodologies for the provision for credit losses associated with acquired loans; and a $3 million increase in revenues from bank owned life insurance. Partially offsetting those favorable factors was lower net interest income of $17 million that reflected a 13 basis point narrowing of the net interest margin on loans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3" w:name="page84"/>
    <w:bookmarkEnd w:id="83"/>
    <w:p>
      <w:pPr>
        <w:jc w:val="both"/>
        <w:spacing w:after="0" w:line="243" w:lineRule="auto"/>
        <w:rPr>
          <w:sz w:val="20"/>
          <w:szCs w:val="20"/>
          <w:color w:val="auto"/>
        </w:rPr>
      </w:pPr>
      <w:r>
        <w:rPr>
          <w:rFonts w:ascii="Times New Roman" w:cs="Times New Roman" w:eastAsia="Times New Roman" w:hAnsi="Times New Roman"/>
          <w:sz w:val="21"/>
          <w:szCs w:val="21"/>
          <w:color w:val="auto"/>
        </w:rPr>
        <w:t>lower average outstanding loan and investment securities balances of $1.9 billion and $1.7 billion, respectively. The slight decline in net income in the recent quarter as compared with the immediately preceding quarter was attributable to a $7 million decrease in net interest income, reflecting a narrowing of the net interest margin on loans of 9 basis points, a $408 million decline in average outstanding loan balances and a $785 million decline in average investment securities balances, partially offset by higher trading account and foreign exchange gains of $3 million. Year-to-date net income recorded by this segment was $77 million in 2019 and $49 million in 2018. That 58% year-over-year increase was predominantly the result of higher valuation gains associated with marketable equity securities of $28 million, a $14 million decrease in the provision for credit losses, primarily due to the favorable impact from the Company’s allocation methodologies for the provision for credit losses associated with acquired loans, a $10 million increase in trading account and foreign exchange gains due to valuation gains on interest rate contracts and higher bank owned life insurance income and lower FDIC assessments of $3 million each, offset, in part, by a $29 million decline in net interest income. That decline reflected lower average outstanding loan balances of $2.0 billion, a 12 basis point narrowing of the net interest margin on loans and lower average investment securities balances of $1.6 billion.</w:t>
      </w:r>
    </w:p>
    <w:p>
      <w:pPr>
        <w:spacing w:after="0" w:line="88"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Net income from the Residential Mortgage Banking segment totaled $8 million during the quarter ended June 30, 2019, compared with $15 million in the year-earlier quarter and $13 million in the first quarter of 2019. As compared with the year-earlier period, a $9 million valuation allowance for capitalized mortgage servicing rights, higher servicing-related costs (including intersegment costs), and a $6 million increase in centrally-allocated expenses associated with support services provided to the Residential Mortgage Banking segment were partially offset by higher mortgage banking revenues of $11 million, predominantly associated with servicing residential real estate loans (including intersegment revenues). The decline in net income from the first quarter of 2019 reflected the $9 million valuation allowance for capitalized mortgage servicing rights, a $5 million rise in centrally-allocated costs for support services provided to this segment and higher personnel-related expenses of $3 million. Those unfavorable factors were partially offset by a $7 million increase in revenues associated with servicing residential real estate loans (including intersegment revenues) and mortgage origination and sales activities and a $4 million increase in net interest income that largely reflected a 14 basis point widening of the net interest margin on deposits and higher average deposit balances of $956 million. The Residential Mortgage Banking segment contributed net income of $21 million in the first six months of 2019, compared with $30 million in the corresponding 2018 period. A $10 million increase in servicing-related costs (including intersegment costs), the $9 million valuation allowance for capitalized servicing rights and a $7 million increase in centrally-allocated expenses in 2019 were partially offset by higher residential mortgage banking servicing revenues of $14 million as compared with the 2018 period.</w:t>
      </w:r>
    </w:p>
    <w:p>
      <w:pPr>
        <w:spacing w:after="0" w:line="83" w:lineRule="exact"/>
        <w:rPr>
          <w:sz w:val="20"/>
          <w:szCs w:val="20"/>
          <w:color w:val="auto"/>
        </w:rPr>
      </w:pPr>
    </w:p>
    <w:p>
      <w:pPr>
        <w:jc w:val="both"/>
        <w:ind w:firstLine="518"/>
        <w:spacing w:after="0" w:line="243" w:lineRule="auto"/>
        <w:rPr>
          <w:sz w:val="20"/>
          <w:szCs w:val="20"/>
          <w:color w:val="auto"/>
        </w:rPr>
      </w:pPr>
      <w:r>
        <w:rPr>
          <w:rFonts w:ascii="Times New Roman" w:cs="Times New Roman" w:eastAsia="Times New Roman" w:hAnsi="Times New Roman"/>
          <w:sz w:val="21"/>
          <w:szCs w:val="21"/>
          <w:color w:val="auto"/>
        </w:rPr>
        <w:t>Net income earned by the Retail Banking segment totaled $140 million in the second quarter of 2019, compared with $143 million in the year-earlier quarter and $145 million in the first quarter of 2019. The recent quarter decline as compared with the second quarter of 2018 reflected a $6 million rise in personnel-related costs, higher centrally-allocated expenses associated with support services provided to the Retail Banking segment of $6 million, and increased advertising and marketing expenses of $4 million. Those unfavorable factors were partially offset by a $14 million increase in net interest income, reflecting a 17 basis point widening of the net interest margin on deposits and higher average outstanding loan balances of $1.1 billion offset, in part, by lower average deposit balances of $1.4 billion. As compared with the immediately preceding quarter, higher centrally-allocated costs of $7 million in the recent quarter and a $5 million increase in advertising and marketing expenses, partially offset by a $4 million increase in service charges on deposit accounts, contributed to the decline in net income. Net income recorded by the Retail Banking segment totaled $286 million in the first half of 2019 and $266 million in 2018. The most significant factor contributing to that improvement was a $53 million increase in net interest income, reflecting a widening of the net interest margin on deposits of 32 basis points and higher average outstanding balances of loans of $975 million, offset, in part, by lower average outstanding deposit balances of $1.5 billion. That increase was partially offset by $11 million of higher personnel-related costs, an $8 million increase in professional services and other operating expenses, increased advertising and marketing expenses of $6 million and a $4 million rise in centrally-allocated costs for support services provided to the Retail Banking segment.</w:t>
      </w:r>
    </w:p>
    <w:p>
      <w:pPr>
        <w:spacing w:after="0" w:line="83"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The “All Other” category reflects other activities of the Company that are not directly attributable to the reported segments. Reflected in this category are the amortization of core deposit and other intangible assets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4" w:name="page85"/>
    <w:bookmarkEnd w:id="84"/>
    <w:p>
      <w:pPr>
        <w:jc w:val="both"/>
        <w:spacing w:after="0" w:line="255" w:lineRule="auto"/>
        <w:rPr>
          <w:sz w:val="20"/>
          <w:szCs w:val="20"/>
          <w:color w:val="auto"/>
        </w:rPr>
      </w:pPr>
      <w:r>
        <w:rPr>
          <w:rFonts w:ascii="Times New Roman" w:cs="Times New Roman" w:eastAsia="Times New Roman" w:hAnsi="Times New Roman"/>
          <w:sz w:val="20"/>
          <w:szCs w:val="20"/>
          <w:color w:val="auto"/>
        </w:rPr>
        <w:t>resulting from the acquisitions of financial institutions, M&amp;T’s share of the operating results and distributions associated with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a net loss of $302,000 for the quarter ended June 30, 2019, compared with net income of $23 million in the year-earlier quarter and a net loss of $7 million in the first quarter of 2019. The change from the year-earlier quarter was largely due to the $48 million charge to reduce the carrying value of the investment in an asset manager and higher personnel-related costs of $24 million, partially offset by the favorable impact from the Company’s allocation methodologies for internal transfers for funding charges and credits associated with earning assets and interest-bearing liabilities of the Company’s reportable segments and a $7 million rise in trust income. The reduced net loss in the second quarter of 2019 as compared with the immediately preceding quarter reflected a $50 million seasonal decrease in personnel-related expenses and higher trust income of $12 million. Those favorable factors were largely offset by $37 million of income from BLG received in the first quarter of 2019 and the unfavorable impact from the Company’s allocation methodologies for the provision for credit losses. The “All Other” category had a net loss of $8 million for the six months ended June 30, 2019, compared with a net loss of $53 million recorded in the corresponding prior year period. The improved performance in 2019 was attributable to the following factors: the favorable impact from the Company’s allocation methodologies for internal transfers for funding charges and credits associated with earning assets and interest-bearing liabilities of the Company’s reportable segments; lower additions to the reserve for legal matters of $85 million (a $50 million addition to the reserve in 2019, compared with a $135 million addition in 2018); a $14 million increase in earnings from BLG; and higher trust income of $8 million. Partially offsetting those favorable factors were a $52 million rise in personnel-related costs, reflecting annual merit and other increases and higher costs for incentive and stock-based compensation and employee benefits, the $48 million charge associated with the reduction of the carrying value of the asset manager and an $11 million increase in equipment and occupancy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Recent Accounting Developments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discussion of recent accounting developments is included in note 16 of Notes to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1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92"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5" w:name="page86"/>
    <w:bookmarkEnd w:id="85"/>
    <w:p>
      <w:pPr>
        <w:jc w:val="both"/>
        <w:spacing w:after="0" w:line="246" w:lineRule="auto"/>
        <w:rPr>
          <w:sz w:val="20"/>
          <w:szCs w:val="20"/>
          <w:color w:val="auto"/>
        </w:rPr>
      </w:pPr>
      <w:r>
        <w:rPr>
          <w:rFonts w:ascii="Times New Roman" w:cs="Times New Roman" w:eastAsia="Times New Roman" w:hAnsi="Times New Roman"/>
          <w:sz w:val="21"/>
          <w:szCs w:val="21"/>
          <w:color w:val="auto"/>
        </w:rPr>
        <w:t>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88"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Table 1</w:t>
      </w:r>
    </w:p>
    <w:p>
      <w:pPr>
        <w:spacing w:after="0"/>
        <w:rPr>
          <w:sz w:val="20"/>
          <w:szCs w:val="20"/>
          <w:color w:val="auto"/>
        </w:rPr>
      </w:pPr>
      <w:r>
        <w:rPr>
          <w:rFonts w:ascii="Times New Roman" w:cs="Times New Roman" w:eastAsia="Times New Roman" w:hAnsi="Times New Roman"/>
          <w:sz w:val="20"/>
          <w:szCs w:val="20"/>
          <w:color w:val="auto"/>
        </w:rPr>
        <w:t>QUARTERLY TRENDS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2019 Quarters</w:t>
            </w:r>
          </w:p>
        </w:tc>
        <w:tc>
          <w:tcPr>
            <w:tcW w:w="3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2018 Quarters</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3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First</w:t>
            </w:r>
          </w:p>
        </w:tc>
        <w:tc>
          <w:tcPr>
            <w:tcW w:w="3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3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Third</w:t>
            </w:r>
          </w:p>
        </w:tc>
        <w:tc>
          <w:tcPr>
            <w:tcW w:w="3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First</w:t>
            </w:r>
          </w:p>
        </w:tc>
        <w:tc>
          <w:tcPr>
            <w:tcW w:w="3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Earnings and dividends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Times New Roman" w:cs="Times New Roman" w:eastAsia="Times New Roman" w:hAnsi="Times New Roman"/>
                <w:sz w:val="13"/>
                <w:szCs w:val="13"/>
                <w:i w:val="1"/>
                <w:iCs w:val="1"/>
                <w:color w:val="auto"/>
              </w:rPr>
              <w:t>Amounts in thousands, except per share</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Interest income (taxable-equivalent basis)</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1,243,838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1,232,276</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1,226,239</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1,173,108</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1,134,302</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1,086,959</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196,432</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176,249</w:t>
            </w:r>
          </w:p>
        </w:tc>
        <w:tc>
          <w:tcPr>
            <w:tcW w:w="3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161,321</w:t>
            </w:r>
          </w:p>
        </w:tc>
        <w:tc>
          <w:tcPr>
            <w:tcW w:w="3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138,337</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120,118</w:t>
            </w:r>
          </w:p>
        </w:tc>
        <w:tc>
          <w:tcPr>
            <w:tcW w:w="32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106,633</w:t>
            </w:r>
          </w:p>
        </w:tc>
        <w:tc>
          <w:tcPr>
            <w:tcW w:w="3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Net interest income</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1,047,406</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1,056,027</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1,064,918</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1,034,771</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1,014,184</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980,326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Less: provision for credit losses</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55,000</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22,000</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38,000</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16,000</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35,000</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43,000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Other income</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512,095</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500,765</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480,596</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459,294</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457,414</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458,696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3"/>
                <w:szCs w:val="13"/>
                <w:color w:val="auto"/>
              </w:rPr>
              <w:t>Less: other expense</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873,032</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894,348</w:t>
            </w:r>
          </w:p>
        </w:tc>
        <w:tc>
          <w:tcPr>
            <w:tcW w:w="3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802,162</w:t>
            </w:r>
          </w:p>
        </w:tc>
        <w:tc>
          <w:tcPr>
            <w:tcW w:w="3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775,979</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776,577</w:t>
            </w:r>
          </w:p>
        </w:tc>
        <w:tc>
          <w:tcPr>
            <w:tcW w:w="32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933,344</w:t>
            </w:r>
          </w:p>
        </w:tc>
        <w:tc>
          <w:tcPr>
            <w:tcW w:w="3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631,469</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640,444</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705,352</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702,086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660,021</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462,678</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Applicable income taxes</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152,284</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151,735</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153,175</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170,262</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161,464</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105,259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Taxable-equivalent adjustment</w:t>
            </w: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5,925</w:t>
            </w:r>
          </w:p>
        </w:tc>
        <w:tc>
          <w:tcPr>
            <w:tcW w:w="32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5,967</w:t>
            </w:r>
          </w:p>
        </w:tc>
        <w:tc>
          <w:tcPr>
            <w:tcW w:w="32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5,958</w:t>
            </w:r>
          </w:p>
        </w:tc>
        <w:tc>
          <w:tcPr>
            <w:tcW w:w="30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5,733</w:t>
            </w:r>
          </w:p>
        </w:tc>
        <w:tc>
          <w:tcPr>
            <w:tcW w:w="30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5,397</w:t>
            </w:r>
          </w:p>
        </w:tc>
        <w:tc>
          <w:tcPr>
            <w:tcW w:w="32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4,809</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8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473,260</w:t>
            </w:r>
          </w:p>
        </w:tc>
        <w:tc>
          <w:tcPr>
            <w:tcW w:w="3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482,742</w:t>
            </w:r>
          </w:p>
        </w:tc>
        <w:tc>
          <w:tcPr>
            <w:tcW w:w="3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546,219</w:t>
            </w:r>
          </w:p>
        </w:tc>
        <w:tc>
          <w:tcPr>
            <w:tcW w:w="3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526,091</w:t>
            </w:r>
          </w:p>
        </w:tc>
        <w:tc>
          <w:tcPr>
            <w:tcW w:w="3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493,160</w:t>
            </w:r>
          </w:p>
        </w:tc>
        <w:tc>
          <w:tcPr>
            <w:tcW w:w="32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352,610</w:t>
            </w:r>
          </w:p>
        </w:tc>
        <w:tc>
          <w:tcPr>
            <w:tcW w:w="3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income available to common shareholders-diluted</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452,633</w:t>
            </w: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462,086</w:t>
            </w: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525,328</w:t>
            </w: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505,365</w:t>
            </w: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472,600</w:t>
            </w: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332,749</w:t>
            </w: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Per common share data</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Basic earnings</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3.34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3.35</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3.76</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3.54</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3.26</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2.24</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Diluted earnings</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3.34</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3.35</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3.76</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3.53</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3.26</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2.23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Cash dividends</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1.00</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1.00</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1.00</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1.00</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.80</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.75</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Average common shares outstanding</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Basic</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135,433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137,889</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139,744</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142,822</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144,825</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148,688</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080" w:type="dxa"/>
            <w:vAlign w:val="bottom"/>
            <w:tcBorders>
              <w:bottom w:val="single" w:sz="8" w:color="CFF0FC"/>
            </w:tcBorders>
          </w:tcPr>
          <w:p>
            <w:pPr>
              <w:ind w:left="260"/>
              <w:spacing w:after="0" w:line="149"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135,464</w:t>
            </w:r>
          </w:p>
        </w:tc>
        <w:tc>
          <w:tcPr>
            <w:tcW w:w="3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137,920</w:t>
            </w:r>
          </w:p>
        </w:tc>
        <w:tc>
          <w:tcPr>
            <w:tcW w:w="32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139,838</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142,976</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144,998</w:t>
            </w:r>
          </w:p>
        </w:tc>
        <w:tc>
          <w:tcPr>
            <w:tcW w:w="32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148,905</w:t>
            </w:r>
          </w:p>
        </w:tc>
        <w:tc>
          <w:tcPr>
            <w:tcW w:w="34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Performance ratios, annualized</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Return 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Average assets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1.60</w:t>
            </w:r>
          </w:p>
        </w:tc>
        <w:tc>
          <w:tcPr>
            <w:tcW w:w="3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1.68</w:t>
            </w:r>
          </w:p>
        </w:tc>
        <w:tc>
          <w:tcPr>
            <w:tcW w:w="32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1.84</w:t>
            </w:r>
          </w:p>
        </w:tc>
        <w:tc>
          <w:tcPr>
            <w:tcW w:w="300" w:type="dxa"/>
            <w:vAlign w:val="bottom"/>
            <w:shd w:val="clear" w:color="auto" w:fill="CFF0FC"/>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1.80</w:t>
            </w:r>
          </w:p>
        </w:tc>
        <w:tc>
          <w:tcPr>
            <w:tcW w:w="3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1.70</w:t>
            </w:r>
          </w:p>
        </w:tc>
        <w:tc>
          <w:tcPr>
            <w:tcW w:w="32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1.22</w:t>
            </w:r>
          </w:p>
        </w:tc>
        <w:tc>
          <w:tcPr>
            <w:tcW w:w="340" w:type="dxa"/>
            <w:vAlign w:val="bottom"/>
            <w:shd w:val="clear" w:color="auto" w:fill="CFF0FC"/>
          </w:tcPr>
          <w:p>
            <w:pPr>
              <w:jc w:val="right"/>
              <w:ind w:right="57"/>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Average common shareholders’ equity</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12.68</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13.14</w:t>
            </w:r>
          </w:p>
        </w:tc>
        <w:tc>
          <w:tcPr>
            <w:tcW w:w="32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14.80</w:t>
            </w:r>
          </w:p>
        </w:tc>
        <w:tc>
          <w:tcPr>
            <w:tcW w:w="30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14.08</w:t>
            </w:r>
          </w:p>
        </w:tc>
        <w:tc>
          <w:tcPr>
            <w:tcW w:w="3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13.32</w:t>
            </w:r>
          </w:p>
        </w:tc>
        <w:tc>
          <w:tcPr>
            <w:tcW w:w="32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9.15</w:t>
            </w:r>
          </w:p>
        </w:tc>
        <w:tc>
          <w:tcPr>
            <w:tcW w:w="340" w:type="dxa"/>
            <w:vAlign w:val="bottom"/>
          </w:tcPr>
          <w:p>
            <w:pPr>
              <w:jc w:val="right"/>
              <w:ind w:right="57"/>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508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Net interest margin on average earning assets (taxable-</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equivalent basis)</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3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508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Nonaccrual loans to total loans and leases, net 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0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3"/>
                <w:szCs w:val="13"/>
                <w:color w:val="auto"/>
              </w:rPr>
              <w:t>unearned discount</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32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320" w:type="dxa"/>
            <w:vAlign w:val="bottom"/>
            <w:tcBorders>
              <w:bottom w:val="single" w:sz="8" w:color="CFF0FC"/>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300" w:type="dxa"/>
            <w:vAlign w:val="bottom"/>
            <w:tcBorders>
              <w:bottom w:val="single" w:sz="8" w:color="CFF0FC"/>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30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320" w:type="dxa"/>
            <w:vAlign w:val="bottom"/>
            <w:tcBorders>
              <w:bottom w:val="single" w:sz="8" w:color="CFF0FC"/>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340" w:type="dxa"/>
            <w:vAlign w:val="bottom"/>
            <w:tcBorders>
              <w:bottom w:val="single" w:sz="8" w:color="CFF0FC"/>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5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operating (tangible) results (a)</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Net operating income (in thousands)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477,001</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486,440</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550,169</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530,619</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497,869</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357,498</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Diluted net operating income per common share</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3.37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3.38</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3.79</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3.56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3.29</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2.26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Annualized return 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Average tangible assets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1.68</w:t>
            </w:r>
          </w:p>
        </w:tc>
        <w:tc>
          <w:tcPr>
            <w:tcW w:w="3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1.76</w:t>
            </w:r>
          </w:p>
        </w:tc>
        <w:tc>
          <w:tcPr>
            <w:tcW w:w="32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1.93</w:t>
            </w:r>
          </w:p>
        </w:tc>
        <w:tc>
          <w:tcPr>
            <w:tcW w:w="300" w:type="dxa"/>
            <w:vAlign w:val="bottom"/>
            <w:shd w:val="clear" w:color="auto" w:fill="CFF0FC"/>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1.89</w:t>
            </w:r>
          </w:p>
        </w:tc>
        <w:tc>
          <w:tcPr>
            <w:tcW w:w="3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1.79</w:t>
            </w:r>
          </w:p>
        </w:tc>
        <w:tc>
          <w:tcPr>
            <w:tcW w:w="32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1.28</w:t>
            </w:r>
          </w:p>
        </w:tc>
        <w:tc>
          <w:tcPr>
            <w:tcW w:w="340" w:type="dxa"/>
            <w:vAlign w:val="bottom"/>
            <w:shd w:val="clear" w:color="auto" w:fill="CFF0FC"/>
          </w:tcPr>
          <w:p>
            <w:pPr>
              <w:jc w:val="right"/>
              <w:ind w:right="57"/>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Average tangible common shareholders’ equity</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18.83</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19.56</w:t>
            </w:r>
          </w:p>
        </w:tc>
        <w:tc>
          <w:tcPr>
            <w:tcW w:w="32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22.16</w:t>
            </w:r>
          </w:p>
        </w:tc>
        <w:tc>
          <w:tcPr>
            <w:tcW w:w="30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21.00</w:t>
            </w:r>
          </w:p>
        </w:tc>
        <w:tc>
          <w:tcPr>
            <w:tcW w:w="3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19.91</w:t>
            </w:r>
          </w:p>
        </w:tc>
        <w:tc>
          <w:tcPr>
            <w:tcW w:w="32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13.51</w:t>
            </w:r>
          </w:p>
        </w:tc>
        <w:tc>
          <w:tcPr>
            <w:tcW w:w="340" w:type="dxa"/>
            <w:vAlign w:val="bottom"/>
          </w:tcPr>
          <w:p>
            <w:pPr>
              <w:jc w:val="right"/>
              <w:ind w:right="57"/>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50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Efficiency ratio (b)</w:t>
            </w: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55.98</w:t>
            </w:r>
          </w:p>
        </w:tc>
        <w:tc>
          <w:tcPr>
            <w:tcW w:w="32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57.56</w:t>
            </w:r>
          </w:p>
        </w:tc>
        <w:tc>
          <w:tcPr>
            <w:tcW w:w="320" w:type="dxa"/>
            <w:vAlign w:val="bottom"/>
            <w:tcBorders>
              <w:bottom w:val="single" w:sz="8" w:color="CFF0FC"/>
            </w:tcBorders>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51.70</w:t>
            </w:r>
          </w:p>
        </w:tc>
        <w:tc>
          <w:tcPr>
            <w:tcW w:w="300" w:type="dxa"/>
            <w:vAlign w:val="bottom"/>
            <w:tcBorders>
              <w:bottom w:val="single" w:sz="8" w:color="CFF0FC"/>
            </w:tcBorders>
            <w:shd w:val="clear" w:color="auto" w:fill="CFF0FC"/>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51.41</w:t>
            </w:r>
          </w:p>
        </w:tc>
        <w:tc>
          <w:tcPr>
            <w:tcW w:w="30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52.42</w:t>
            </w:r>
          </w:p>
        </w:tc>
        <w:tc>
          <w:tcPr>
            <w:tcW w:w="320" w:type="dxa"/>
            <w:vAlign w:val="bottom"/>
            <w:tcBorders>
              <w:bottom w:val="single" w:sz="8" w:color="CFF0FC"/>
            </w:tcBorders>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63.98</w:t>
            </w:r>
          </w:p>
        </w:tc>
        <w:tc>
          <w:tcPr>
            <w:tcW w:w="340" w:type="dxa"/>
            <w:vAlign w:val="bottom"/>
            <w:tcBorders>
              <w:bottom w:val="single" w:sz="8" w:color="CFF0FC"/>
            </w:tcBorders>
            <w:shd w:val="clear" w:color="auto" w:fill="CFF0FC"/>
          </w:tcPr>
          <w:p>
            <w:pPr>
              <w:jc w:val="right"/>
              <w:ind w:right="57"/>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i w:val="1"/>
                <w:iCs w:val="1"/>
                <w:color w:val="auto"/>
              </w:rPr>
              <w:t>In millions, except per share</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Average balances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Total assets (c)</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118,487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116,839</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117,799</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115,997</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116,413</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117,684</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Total tangible assets (c)</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113,864</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112,213</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113,169</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111,363</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111,775</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113,041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Earning assets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107,511</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106,096</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107,785</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105,835</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106,210</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107,231</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Investment securities</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12,170</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12,949</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13,034</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13,431</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13,856</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14,467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Loans and leases, net of unearned discount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89,150</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88,477</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87,301</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87,132</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87,406</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87,766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Deposits</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91,371</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89,733</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91,104</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89,252</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90,195</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91,119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Common shareholders’ equity (c)</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14,398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14,337</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14,157</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14,317</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14,301</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14,827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Tangible common shareholders’ equity (c)</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9,775</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9,711</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9,527</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9,683</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9,663</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10,184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At end of quarter</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Total assets (c)</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121,555</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120,025</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120,097</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116,828</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118,426</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118,623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Total tangible assets (c)</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116,934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115,400</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115,470</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112,197</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113,790</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113,982</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Earning assets</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110,323</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108,849</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109,321</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106,331</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107,819</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107,976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Investment securities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11,580</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12,537</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12,693</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13,074</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13,283</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14,067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Loans and leases, net of unearned discount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89,878</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88,640</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88,466</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86,680</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87,797</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87,711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Deposits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91,681</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90,470</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90,157</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89,140</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89,273</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90,947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0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auto"/>
              </w:rPr>
              <w:t>Common shareholders’ equity, net of undeclared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cumulative preferred dividends (c)</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14,457</w:t>
            </w: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3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14,225</w:t>
            </w: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14,201</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14,343</w:t>
            </w: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14,475</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Tangible common shareholders’ equity (c)</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9,836</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9,728</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9,598</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9,570</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9,707</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9,834</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auto"/>
              </w:rPr>
              <w:t>Equity per common share</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107.73</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105.04</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102.69</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100.38</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99.43</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98.60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3"/>
                <w:szCs w:val="13"/>
                <w:color w:val="auto"/>
              </w:rPr>
              <w:t>Tangible equity per common share</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73.29</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71.19</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69.28</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67.64</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67.29</w:t>
            </w: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66.99</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520" w:right="20" w:hanging="512"/>
        <w:spacing w:after="0" w:line="229" w:lineRule="auto"/>
        <w:tabs>
          <w:tab w:leader="none" w:pos="520" w:val="left"/>
        </w:tabs>
        <w:numPr>
          <w:ilvl w:val="0"/>
          <w:numId w:val="2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20" w:hanging="512"/>
        <w:spacing w:after="0" w:line="216" w:lineRule="auto"/>
        <w:tabs>
          <w:tab w:leader="none" w:pos="520" w:val="left"/>
        </w:tabs>
        <w:numPr>
          <w:ilvl w:val="0"/>
          <w:numId w:val="2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impact of merger-related expenses and net securities transactions.</w:t>
      </w:r>
    </w:p>
    <w:p>
      <w:pPr>
        <w:ind w:left="520" w:hanging="512"/>
        <w:spacing w:after="0" w:line="228" w:lineRule="auto"/>
        <w:tabs>
          <w:tab w:leader="none" w:pos="520" w:val="left"/>
        </w:tabs>
        <w:numPr>
          <w:ilvl w:val="0"/>
          <w:numId w:val="2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87" w:lineRule="exact"/>
        <w:rPr>
          <w:rFonts w:ascii="Times New Roman" w:cs="Times New Roman" w:eastAsia="Times New Roman" w:hAnsi="Times New Roman"/>
          <w:sz w:val="13"/>
          <w:szCs w:val="13"/>
          <w:i w:val="1"/>
          <w:iCs w:val="1"/>
          <w:color w:val="auto"/>
        </w:rPr>
      </w:pPr>
    </w:p>
    <w:p>
      <w:pPr>
        <w:ind w:left="5620" w:hanging="101"/>
        <w:spacing w:after="0"/>
        <w:tabs>
          <w:tab w:leader="none" w:pos="5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2</w:t>
            </w:r>
          </w:p>
        </w:tc>
        <w:tc>
          <w:tcPr>
            <w:tcW w:w="0" w:type="dxa"/>
            <w:vAlign w:val="bottom"/>
          </w:tcPr>
          <w:p>
            <w:pPr>
              <w:spacing w:after="0"/>
              <w:rPr>
                <w:sz w:val="1"/>
                <w:szCs w:val="1"/>
                <w:color w:val="auto"/>
              </w:rPr>
            </w:pPr>
          </w:p>
        </w:tc>
      </w:tr>
      <w:tr>
        <w:trPr>
          <w:trHeight w:val="337"/>
        </w:trPr>
        <w:tc>
          <w:tcPr>
            <w:tcW w:w="66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RECONCILIATION OF QUARTERLY GAAP TO NON-GAAP MEASURES</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2019 Quarters</w:t>
            </w:r>
          </w:p>
        </w:tc>
        <w:tc>
          <w:tcPr>
            <w:tcW w:w="6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3"/>
                <w:szCs w:val="13"/>
                <w:b w:val="1"/>
                <w:bCs w:val="1"/>
                <w:color w:val="auto"/>
                <w:w w:val="95"/>
              </w:rPr>
              <w:t>2018 Quarters</w:t>
            </w: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Second</w:t>
            </w:r>
          </w:p>
        </w:tc>
        <w:tc>
          <w:tcPr>
            <w:tcW w:w="66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3"/>
                <w:szCs w:val="13"/>
                <w:b w:val="1"/>
                <w:bCs w:val="1"/>
                <w:color w:val="auto"/>
              </w:rPr>
              <w:t>First</w:t>
            </w:r>
          </w:p>
        </w:tc>
        <w:tc>
          <w:tcPr>
            <w:tcW w:w="300" w:type="dxa"/>
            <w:vAlign w:val="bottom"/>
          </w:tcPr>
          <w:p>
            <w:pPr>
              <w:spacing w:after="0"/>
              <w:rPr>
                <w:sz w:val="12"/>
                <w:szCs w:val="12"/>
                <w:color w:val="auto"/>
              </w:rPr>
            </w:pPr>
          </w:p>
        </w:tc>
        <w:tc>
          <w:tcPr>
            <w:tcW w:w="124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3"/>
                <w:szCs w:val="13"/>
                <w:b w:val="1"/>
                <w:bCs w:val="1"/>
                <w:color w:val="auto"/>
              </w:rPr>
              <w:t>Fourth</w:t>
            </w:r>
          </w:p>
        </w:tc>
        <w:tc>
          <w:tcPr>
            <w:tcW w:w="1500" w:type="dxa"/>
            <w:vAlign w:val="bottom"/>
            <w:gridSpan w:val="3"/>
          </w:tcPr>
          <w:p>
            <w:pPr>
              <w:ind w:left="300"/>
              <w:spacing w:after="0" w:line="142" w:lineRule="exact"/>
              <w:rPr>
                <w:sz w:val="20"/>
                <w:szCs w:val="20"/>
                <w:color w:val="auto"/>
              </w:rPr>
            </w:pPr>
            <w:r>
              <w:rPr>
                <w:rFonts w:ascii="Times New Roman" w:cs="Times New Roman" w:eastAsia="Times New Roman" w:hAnsi="Times New Roman"/>
                <w:sz w:val="13"/>
                <w:szCs w:val="13"/>
                <w:b w:val="1"/>
                <w:bCs w:val="1"/>
                <w:color w:val="auto"/>
              </w:rPr>
              <w:t>Third</w:t>
            </w:r>
          </w:p>
        </w:tc>
        <w:tc>
          <w:tcPr>
            <w:tcW w:w="98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Second</w:t>
            </w:r>
          </w:p>
        </w:tc>
        <w:tc>
          <w:tcPr>
            <w:tcW w:w="98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3"/>
                <w:szCs w:val="13"/>
                <w:b w:val="1"/>
                <w:bCs w:val="1"/>
                <w:color w:val="auto"/>
              </w:rPr>
              <w:t>First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Income statement data (in thousands, except per share)</w:t>
            </w:r>
          </w:p>
        </w:tc>
        <w:tc>
          <w:tcPr>
            <w:tcW w:w="18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473,260</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482,742</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546,219</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526,091</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493,160</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352,610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10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Amortization of core deposit and other</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3"/>
                <w:szCs w:val="13"/>
                <w:color w:val="auto"/>
              </w:rPr>
              <w:t>intangible assets (a)</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3,741</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3,698</w:t>
            </w:r>
          </w:p>
        </w:tc>
        <w:tc>
          <w:tcPr>
            <w:tcW w:w="3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3,950</w:t>
            </w:r>
          </w:p>
        </w:tc>
        <w:tc>
          <w:tcPr>
            <w:tcW w:w="3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4,528</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4,709</w:t>
            </w: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Net operating income</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477,001</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486,440</w:t>
            </w:r>
          </w:p>
        </w:tc>
        <w:tc>
          <w:tcPr>
            <w:tcW w:w="3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550,169</w:t>
            </w:r>
          </w:p>
        </w:tc>
        <w:tc>
          <w:tcPr>
            <w:tcW w:w="3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530,619</w:t>
            </w:r>
          </w:p>
        </w:tc>
        <w:tc>
          <w:tcPr>
            <w:tcW w:w="3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497,869</w:t>
            </w:r>
          </w:p>
        </w:tc>
        <w:tc>
          <w:tcPr>
            <w:tcW w:w="28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357,498</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Diluted earnings per common share</w:t>
            </w:r>
          </w:p>
        </w:tc>
        <w:tc>
          <w:tcPr>
            <w:tcW w:w="18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3.34</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3.35</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3.76</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3.53</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3.26</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3"/>
                <w:szCs w:val="13"/>
                <w:color w:val="auto"/>
              </w:rPr>
              <w:t>Amortization of core deposit and other intangible assets (a)</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.03</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.03</w:t>
            </w:r>
          </w:p>
        </w:tc>
        <w:tc>
          <w:tcPr>
            <w:tcW w:w="30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.03</w:t>
            </w:r>
          </w:p>
        </w:tc>
        <w:tc>
          <w:tcPr>
            <w:tcW w:w="30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.03</w:t>
            </w:r>
          </w:p>
        </w:tc>
        <w:tc>
          <w:tcPr>
            <w:tcW w:w="3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.03</w:t>
            </w:r>
          </w:p>
        </w:tc>
        <w:tc>
          <w:tcPr>
            <w:tcW w:w="28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.03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Diluted net operating earnings per common share</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3.37</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3.38</w:t>
            </w:r>
          </w:p>
        </w:tc>
        <w:tc>
          <w:tcPr>
            <w:tcW w:w="3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3.79</w:t>
            </w:r>
          </w:p>
        </w:tc>
        <w:tc>
          <w:tcPr>
            <w:tcW w:w="3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3.56</w:t>
            </w:r>
          </w:p>
        </w:tc>
        <w:tc>
          <w:tcPr>
            <w:tcW w:w="3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3.29</w:t>
            </w:r>
          </w:p>
        </w:tc>
        <w:tc>
          <w:tcPr>
            <w:tcW w:w="28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 expense</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Other expense</w:t>
            </w:r>
          </w:p>
        </w:tc>
        <w:tc>
          <w:tcPr>
            <w:tcW w:w="18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873,032</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894,348</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802,162</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775,979</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776,577</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933,344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1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(5,077)</w:t>
            </w:r>
          </w:p>
        </w:tc>
        <w:tc>
          <w:tcPr>
            <w:tcW w:w="3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3"/>
                <w:szCs w:val="13"/>
                <w:color w:val="auto"/>
              </w:rPr>
              <w:t>(5,020)</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(5,359)</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(6,143)</w:t>
            </w:r>
          </w:p>
        </w:tc>
        <w:tc>
          <w:tcPr>
            <w:tcW w:w="2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(6,388)</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(6,632)</w:t>
            </w:r>
          </w:p>
        </w:tc>
        <w:tc>
          <w:tcPr>
            <w:tcW w:w="0" w:type="dxa"/>
            <w:vAlign w:val="bottom"/>
          </w:tcPr>
          <w:p>
            <w:pPr>
              <w:spacing w:after="0"/>
              <w:rPr>
                <w:sz w:val="1"/>
                <w:szCs w:val="1"/>
                <w:color w:val="auto"/>
              </w:rPr>
            </w:pPr>
          </w:p>
        </w:tc>
      </w:tr>
      <w:tr>
        <w:trPr>
          <w:trHeight w:val="142"/>
        </w:trPr>
        <w:tc>
          <w:tcPr>
            <w:tcW w:w="4100" w:type="dxa"/>
            <w:vAlign w:val="bottom"/>
            <w:tcBorders>
              <w:top w:val="single" w:sz="8" w:color="CFF0FC"/>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Noninterest operating expense</w:t>
            </w:r>
          </w:p>
        </w:tc>
        <w:tc>
          <w:tcPr>
            <w:tcW w:w="18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867,955</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889,328</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796,803</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769,836</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770,189</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926,712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Efficiency ratio</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Noninterest operating expense (numerator)</w:t>
            </w:r>
          </w:p>
        </w:tc>
        <w:tc>
          <w:tcPr>
            <w:tcW w:w="180" w:type="dxa"/>
            <w:vAlign w:val="bottom"/>
            <w:tcBorders>
              <w:bottom w:val="single" w:sz="8" w:color="auto"/>
            </w:tcBorders>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867,955</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889,328</w:t>
            </w:r>
          </w:p>
        </w:tc>
        <w:tc>
          <w:tcPr>
            <w:tcW w:w="3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796,803</w:t>
            </w:r>
          </w:p>
        </w:tc>
        <w:tc>
          <w:tcPr>
            <w:tcW w:w="3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769,836</w:t>
            </w:r>
          </w:p>
        </w:tc>
        <w:tc>
          <w:tcPr>
            <w:tcW w:w="3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770,189</w:t>
            </w:r>
          </w:p>
        </w:tc>
        <w:tc>
          <w:tcPr>
            <w:tcW w:w="28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926,712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Taxable-equivalent net interest income</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1,047,406</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1,056,027</w:t>
            </w:r>
          </w:p>
        </w:tc>
        <w:tc>
          <w:tcPr>
            <w:tcW w:w="3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1,064,918</w:t>
            </w:r>
          </w:p>
        </w:tc>
        <w:tc>
          <w:tcPr>
            <w:tcW w:w="3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1,034,771</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1,014,184</w:t>
            </w:r>
          </w:p>
        </w:tc>
        <w:tc>
          <w:tcPr>
            <w:tcW w:w="2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980,326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Other income</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512,095</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500,765</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480,596</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459,294</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457,414</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458,696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Less: Gain (loss) on bank investment securities</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8,911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11,841</w:t>
            </w: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4,219</w:t>
            </w:r>
          </w:p>
        </w:tc>
        <w:tc>
          <w:tcPr>
            <w:tcW w:w="30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(3,415)</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2,326</w:t>
            </w:r>
          </w:p>
        </w:tc>
        <w:tc>
          <w:tcPr>
            <w:tcW w:w="2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(9,431)</w:t>
            </w:r>
          </w:p>
        </w:tc>
        <w:tc>
          <w:tcPr>
            <w:tcW w:w="0" w:type="dxa"/>
            <w:vAlign w:val="bottom"/>
          </w:tcPr>
          <w:p>
            <w:pPr>
              <w:spacing w:after="0"/>
              <w:rPr>
                <w:sz w:val="1"/>
                <w:szCs w:val="1"/>
                <w:color w:val="auto"/>
              </w:rPr>
            </w:pPr>
          </w:p>
        </w:tc>
      </w:tr>
      <w:tr>
        <w:trPr>
          <w:trHeight w:val="142"/>
        </w:trPr>
        <w:tc>
          <w:tcPr>
            <w:tcW w:w="41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Denominator</w:t>
            </w:r>
          </w:p>
        </w:tc>
        <w:tc>
          <w:tcPr>
            <w:tcW w:w="18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1,550,590</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1,544,951</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1,541,295</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1,497,480</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1,469,272</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1,448,453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Efficiency ratio</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55.98%</w:t>
            </w:r>
          </w:p>
        </w:tc>
        <w:tc>
          <w:tcPr>
            <w:tcW w:w="300" w:type="dxa"/>
            <w:vAlign w:val="bottom"/>
          </w:tcPr>
          <w:p>
            <w:pPr>
              <w:spacing w:after="0"/>
              <w:rPr>
                <w:sz w:val="14"/>
                <w:szCs w:val="14"/>
                <w:color w:val="auto"/>
              </w:rPr>
            </w:pPr>
          </w:p>
        </w:tc>
        <w:tc>
          <w:tcPr>
            <w:tcW w:w="9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57.56%</w:t>
            </w:r>
          </w:p>
        </w:tc>
        <w:tc>
          <w:tcPr>
            <w:tcW w:w="12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51.70%</w:t>
            </w:r>
          </w:p>
        </w:tc>
        <w:tc>
          <w:tcPr>
            <w:tcW w:w="12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51.41%</w:t>
            </w:r>
          </w:p>
        </w:tc>
        <w:tc>
          <w:tcPr>
            <w:tcW w:w="260" w:type="dxa"/>
            <w:vAlign w:val="bottom"/>
          </w:tcPr>
          <w:p>
            <w:pPr>
              <w:spacing w:after="0"/>
              <w:rPr>
                <w:sz w:val="14"/>
                <w:szCs w:val="14"/>
                <w:color w:val="auto"/>
              </w:rPr>
            </w:pPr>
          </w:p>
        </w:tc>
        <w:tc>
          <w:tcPr>
            <w:tcW w:w="98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52.42%</w:t>
            </w:r>
          </w:p>
        </w:tc>
        <w:tc>
          <w:tcPr>
            <w:tcW w:w="11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63.98%</w:t>
            </w:r>
          </w:p>
        </w:tc>
        <w:tc>
          <w:tcPr>
            <w:tcW w:w="0" w:type="dxa"/>
            <w:vAlign w:val="bottom"/>
          </w:tcPr>
          <w:p>
            <w:pPr>
              <w:spacing w:after="0"/>
              <w:rPr>
                <w:sz w:val="1"/>
                <w:szCs w:val="1"/>
                <w:color w:val="auto"/>
              </w:rPr>
            </w:pPr>
          </w:p>
        </w:tc>
      </w:tr>
      <w:tr>
        <w:trPr>
          <w:trHeight w:val="129"/>
        </w:trPr>
        <w:tc>
          <w:tcPr>
            <w:tcW w:w="410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sheet data (in millions)</w:t>
            </w:r>
          </w:p>
        </w:tc>
        <w:tc>
          <w:tcPr>
            <w:tcW w:w="18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Average assets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Average assets</w:t>
            </w:r>
          </w:p>
        </w:tc>
        <w:tc>
          <w:tcPr>
            <w:tcW w:w="18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118,487</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116,839</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117,799</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115,997</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116,413</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117,684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Goodwill</w:t>
            </w:r>
          </w:p>
        </w:tc>
        <w:tc>
          <w:tcPr>
            <w:tcW w:w="1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3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2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Core deposit and other intangible assets</w:t>
            </w: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(41)</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3"/>
                <w:szCs w:val="13"/>
                <w:color w:val="auto"/>
              </w:rPr>
              <w:t>(45)</w:t>
            </w: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(50)</w:t>
            </w: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(55)</w:t>
            </w:r>
          </w:p>
        </w:tc>
        <w:tc>
          <w:tcPr>
            <w:tcW w:w="2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(62)</w:t>
            </w: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48"/>
        </w:trPr>
        <w:tc>
          <w:tcPr>
            <w:tcW w:w="410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11</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12</w:t>
            </w:r>
          </w:p>
        </w:tc>
        <w:tc>
          <w:tcPr>
            <w:tcW w:w="30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13</w:t>
            </w:r>
          </w:p>
        </w:tc>
        <w:tc>
          <w:tcPr>
            <w:tcW w:w="30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14</w:t>
            </w:r>
          </w:p>
        </w:tc>
        <w:tc>
          <w:tcPr>
            <w:tcW w:w="3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17</w:t>
            </w:r>
          </w:p>
        </w:tc>
        <w:tc>
          <w:tcPr>
            <w:tcW w:w="28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Average tangible assets</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113,864</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112,213</w:t>
            </w:r>
          </w:p>
        </w:tc>
        <w:tc>
          <w:tcPr>
            <w:tcW w:w="3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113,169</w:t>
            </w:r>
          </w:p>
        </w:tc>
        <w:tc>
          <w:tcPr>
            <w:tcW w:w="3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111,363</w:t>
            </w:r>
          </w:p>
        </w:tc>
        <w:tc>
          <w:tcPr>
            <w:tcW w:w="3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111,775</w:t>
            </w:r>
          </w:p>
        </w:tc>
        <w:tc>
          <w:tcPr>
            <w:tcW w:w="28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113,041</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Average common equity</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Average total equity</w:t>
            </w:r>
          </w:p>
        </w:tc>
        <w:tc>
          <w:tcPr>
            <w:tcW w:w="180" w:type="dxa"/>
            <w:vAlign w:val="bottom"/>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15,630</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15,569</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15,389</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15,549</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15,533</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16,059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Preferred stock</w:t>
            </w:r>
          </w:p>
        </w:tc>
        <w:tc>
          <w:tcPr>
            <w:tcW w:w="1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3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2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0" w:type="dxa"/>
            <w:vAlign w:val="bottom"/>
          </w:tcPr>
          <w:p>
            <w:pPr>
              <w:spacing w:after="0"/>
              <w:rPr>
                <w:sz w:val="1"/>
                <w:szCs w:val="1"/>
                <w:color w:val="auto"/>
              </w:rPr>
            </w:pPr>
          </w:p>
        </w:tc>
      </w:tr>
      <w:tr>
        <w:trPr>
          <w:trHeight w:val="142"/>
        </w:trPr>
        <w:tc>
          <w:tcPr>
            <w:tcW w:w="4100" w:type="dxa"/>
            <w:vAlign w:val="bottom"/>
            <w:tcBorders>
              <w:top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Average common equity</w:t>
            </w:r>
          </w:p>
        </w:tc>
        <w:tc>
          <w:tcPr>
            <w:tcW w:w="18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14,398</w:t>
            </w:r>
          </w:p>
        </w:tc>
        <w:tc>
          <w:tcPr>
            <w:tcW w:w="2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14,337</w:t>
            </w:r>
          </w:p>
        </w:tc>
        <w:tc>
          <w:tcPr>
            <w:tcW w:w="30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14,157</w:t>
            </w:r>
          </w:p>
        </w:tc>
        <w:tc>
          <w:tcPr>
            <w:tcW w:w="30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14,317</w:t>
            </w:r>
          </w:p>
        </w:tc>
        <w:tc>
          <w:tcPr>
            <w:tcW w:w="3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14,301</w:t>
            </w:r>
          </w:p>
        </w:tc>
        <w:tc>
          <w:tcPr>
            <w:tcW w:w="28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14,827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Goodwill</w:t>
            </w:r>
          </w:p>
        </w:tc>
        <w:tc>
          <w:tcPr>
            <w:tcW w:w="1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3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2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Core deposit and other intangible assets</w:t>
            </w: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(41)</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3"/>
                <w:szCs w:val="13"/>
                <w:color w:val="auto"/>
              </w:rPr>
              <w:t>(45)</w:t>
            </w: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(50)</w:t>
            </w: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(55)</w:t>
            </w:r>
          </w:p>
        </w:tc>
        <w:tc>
          <w:tcPr>
            <w:tcW w:w="2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(62)</w:t>
            </w: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48"/>
        </w:trPr>
        <w:tc>
          <w:tcPr>
            <w:tcW w:w="410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11</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12</w:t>
            </w:r>
          </w:p>
        </w:tc>
        <w:tc>
          <w:tcPr>
            <w:tcW w:w="30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13</w:t>
            </w:r>
          </w:p>
        </w:tc>
        <w:tc>
          <w:tcPr>
            <w:tcW w:w="30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14</w:t>
            </w:r>
          </w:p>
        </w:tc>
        <w:tc>
          <w:tcPr>
            <w:tcW w:w="3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17</w:t>
            </w:r>
          </w:p>
        </w:tc>
        <w:tc>
          <w:tcPr>
            <w:tcW w:w="28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Average tangible common equity</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9,775</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9,711</w:t>
            </w:r>
          </w:p>
        </w:tc>
        <w:tc>
          <w:tcPr>
            <w:tcW w:w="3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9,527</w:t>
            </w:r>
          </w:p>
        </w:tc>
        <w:tc>
          <w:tcPr>
            <w:tcW w:w="3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9,683</w:t>
            </w:r>
          </w:p>
        </w:tc>
        <w:tc>
          <w:tcPr>
            <w:tcW w:w="3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9,663</w:t>
            </w:r>
          </w:p>
        </w:tc>
        <w:tc>
          <w:tcPr>
            <w:tcW w:w="28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10,184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At end of quarter</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121,555</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120,025</w:t>
            </w: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120,097</w:t>
            </w: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116,828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118,426</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118,623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Goodwill</w:t>
            </w: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2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8"/>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Core deposit and other intangible assets</w:t>
            </w:r>
          </w:p>
        </w:tc>
        <w:tc>
          <w:tcPr>
            <w:tcW w:w="1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(38)</w:t>
            </w:r>
          </w:p>
        </w:tc>
        <w:tc>
          <w:tcPr>
            <w:tcW w:w="3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3"/>
                <w:szCs w:val="13"/>
                <w:color w:val="auto"/>
              </w:rPr>
              <w:t>(44)</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(47)</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(52)</w:t>
            </w:r>
          </w:p>
        </w:tc>
        <w:tc>
          <w:tcPr>
            <w:tcW w:w="2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(59)</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w:t>
            </w:r>
          </w:p>
        </w:tc>
        <w:tc>
          <w:tcPr>
            <w:tcW w:w="28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w:t>
            </w:r>
          </w:p>
        </w:tc>
        <w:tc>
          <w:tcPr>
            <w:tcW w:w="300" w:type="dxa"/>
            <w:vAlign w:val="bottom"/>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w:t>
            </w:r>
          </w:p>
        </w:tc>
        <w:tc>
          <w:tcPr>
            <w:tcW w:w="300" w:type="dxa"/>
            <w:vAlign w:val="bottom"/>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w:t>
            </w:r>
          </w:p>
        </w:tc>
        <w:tc>
          <w:tcPr>
            <w:tcW w:w="30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16</w:t>
            </w:r>
          </w:p>
        </w:tc>
        <w:tc>
          <w:tcPr>
            <w:tcW w:w="280" w:type="dxa"/>
            <w:vAlign w:val="bottom"/>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00" w:type="dxa"/>
            <w:vAlign w:val="bottom"/>
            <w:tcBorders>
              <w:bottom w:val="single" w:sz="8" w:color="CFF0FC"/>
            </w:tcBorders>
          </w:tcPr>
          <w:p>
            <w:pPr>
              <w:ind w:left="260"/>
              <w:spacing w:after="0" w:line="142" w:lineRule="exact"/>
              <w:rPr>
                <w:sz w:val="20"/>
                <w:szCs w:val="20"/>
                <w:color w:val="auto"/>
              </w:rPr>
            </w:pPr>
            <w:r>
              <w:rPr>
                <w:rFonts w:ascii="Times New Roman" w:cs="Times New Roman" w:eastAsia="Times New Roman" w:hAnsi="Times New Roman"/>
                <w:sz w:val="13"/>
                <w:szCs w:val="13"/>
                <w:color w:val="auto"/>
              </w:rPr>
              <w:t>Total tangible assets</w:t>
            </w:r>
          </w:p>
        </w:tc>
        <w:tc>
          <w:tcPr>
            <w:tcW w:w="1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116,934</w:t>
            </w:r>
          </w:p>
        </w:tc>
        <w:tc>
          <w:tcPr>
            <w:tcW w:w="2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115,400</w:t>
            </w:r>
          </w:p>
        </w:tc>
        <w:tc>
          <w:tcPr>
            <w:tcW w:w="30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115,470</w:t>
            </w:r>
          </w:p>
        </w:tc>
        <w:tc>
          <w:tcPr>
            <w:tcW w:w="30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112,197</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113,790</w:t>
            </w:r>
          </w:p>
        </w:tc>
        <w:tc>
          <w:tcPr>
            <w:tcW w:w="2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113,982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common equity</w:t>
            </w: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Total equity</w:t>
            </w:r>
          </w:p>
        </w:tc>
        <w:tc>
          <w:tcPr>
            <w:tcW w:w="18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15,692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15,588</w:t>
            </w: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15,460</w:t>
            </w: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15,436</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15,578</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15,710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Preferred stock</w:t>
            </w: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2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(1,232)</w:t>
            </w:r>
          </w:p>
        </w:tc>
        <w:tc>
          <w:tcPr>
            <w:tcW w:w="0" w:type="dxa"/>
            <w:vAlign w:val="bottom"/>
          </w:tcPr>
          <w:p>
            <w:pPr>
              <w:spacing w:after="0"/>
              <w:rPr>
                <w:sz w:val="1"/>
                <w:szCs w:val="1"/>
                <w:color w:val="auto"/>
              </w:rPr>
            </w:pPr>
          </w:p>
        </w:tc>
      </w:tr>
      <w:tr>
        <w:trPr>
          <w:trHeight w:val="148"/>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Undeclared dividends - cumulative preferred stock</w:t>
            </w:r>
          </w:p>
        </w:tc>
        <w:tc>
          <w:tcPr>
            <w:tcW w:w="1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w:t>
            </w:r>
          </w:p>
        </w:tc>
        <w:tc>
          <w:tcPr>
            <w:tcW w:w="3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3"/>
                <w:szCs w:val="13"/>
                <w:color w:val="auto"/>
              </w:rPr>
              <w:t>(3)</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w:t>
            </w:r>
          </w:p>
        </w:tc>
        <w:tc>
          <w:tcPr>
            <w:tcW w:w="2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24"/>
        </w:trPr>
        <w:tc>
          <w:tcPr>
            <w:tcW w:w="4100" w:type="dxa"/>
            <w:vAlign w:val="bottom"/>
            <w:tcBorders>
              <w:top w:val="single" w:sz="8" w:color="CFF0FC"/>
            </w:tcBorders>
            <w:shd w:val="clear" w:color="auto" w:fill="CFF0FC"/>
          </w:tcPr>
          <w:p>
            <w:pPr>
              <w:ind w:left="260"/>
              <w:spacing w:after="0" w:line="124" w:lineRule="exact"/>
              <w:rPr>
                <w:sz w:val="20"/>
                <w:szCs w:val="20"/>
                <w:color w:val="auto"/>
              </w:rPr>
            </w:pPr>
            <w:r>
              <w:rPr>
                <w:rFonts w:ascii="Times New Roman" w:cs="Times New Roman" w:eastAsia="Times New Roman" w:hAnsi="Times New Roman"/>
                <w:sz w:val="13"/>
                <w:szCs w:val="13"/>
                <w:color w:val="auto"/>
              </w:rPr>
              <w:t>Common equity, net of undeclared</w:t>
            </w:r>
          </w:p>
        </w:tc>
        <w:tc>
          <w:tcPr>
            <w:tcW w:w="18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cumulative preferred dividends</w:t>
            </w: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14,457</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3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14,225</w:t>
            </w:r>
          </w:p>
        </w:tc>
        <w:tc>
          <w:tcPr>
            <w:tcW w:w="3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14,201</w:t>
            </w: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14,343</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Goodwill</w:t>
            </w:r>
          </w:p>
        </w:tc>
        <w:tc>
          <w:tcPr>
            <w:tcW w:w="1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3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2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(4,593)</w:t>
            </w:r>
          </w:p>
        </w:tc>
        <w:tc>
          <w:tcPr>
            <w:tcW w:w="0" w:type="dxa"/>
            <w:vAlign w:val="bottom"/>
          </w:tcPr>
          <w:p>
            <w:pPr>
              <w:spacing w:after="0"/>
              <w:rPr>
                <w:sz w:val="1"/>
                <w:szCs w:val="1"/>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Core deposit and other intangible assets</w:t>
            </w: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(38)</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3"/>
                <w:szCs w:val="13"/>
                <w:color w:val="auto"/>
              </w:rPr>
              <w:t>(44)</w:t>
            </w: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(47)</w:t>
            </w: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(52)</w:t>
            </w:r>
          </w:p>
        </w:tc>
        <w:tc>
          <w:tcPr>
            <w:tcW w:w="2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(59)</w:t>
            </w: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48"/>
        </w:trPr>
        <w:tc>
          <w:tcPr>
            <w:tcW w:w="410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10</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12</w:t>
            </w:r>
          </w:p>
        </w:tc>
        <w:tc>
          <w:tcPr>
            <w:tcW w:w="30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13</w:t>
            </w:r>
          </w:p>
        </w:tc>
        <w:tc>
          <w:tcPr>
            <w:tcW w:w="30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14</w:t>
            </w:r>
          </w:p>
        </w:tc>
        <w:tc>
          <w:tcPr>
            <w:tcW w:w="3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16</w:t>
            </w:r>
          </w:p>
        </w:tc>
        <w:tc>
          <w:tcPr>
            <w:tcW w:w="28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Total tangible common equity</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9,836</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9,728</w:t>
            </w:r>
          </w:p>
        </w:tc>
        <w:tc>
          <w:tcPr>
            <w:tcW w:w="3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9,598</w:t>
            </w:r>
          </w:p>
        </w:tc>
        <w:tc>
          <w:tcPr>
            <w:tcW w:w="3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9,570</w:t>
            </w:r>
          </w:p>
        </w:tc>
        <w:tc>
          <w:tcPr>
            <w:tcW w:w="3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9,707</w:t>
            </w:r>
          </w:p>
        </w:tc>
        <w:tc>
          <w:tcPr>
            <w:tcW w:w="28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9,834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4"/>
          <w:szCs w:val="14"/>
          <w:i w:val="1"/>
          <w:iCs w:val="1"/>
          <w:color w:val="auto"/>
        </w:rPr>
        <w:t>a)</w:t>
      </w:r>
      <w:r>
        <w:rPr>
          <w:sz w:val="20"/>
          <w:szCs w:val="20"/>
          <w:color w:val="auto"/>
        </w:rPr>
        <w:tab/>
      </w:r>
      <w:r>
        <w:rPr>
          <w:rFonts w:ascii="Times New Roman" w:cs="Times New Roman" w:eastAsia="Times New Roman" w:hAnsi="Times New Roman"/>
          <w:sz w:val="14"/>
          <w:szCs w:val="14"/>
          <w:i w:val="1"/>
          <w:iCs w:val="1"/>
          <w:color w:val="auto"/>
        </w:rPr>
        <w:t>After any related tax effect.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3</w:t>
            </w:r>
          </w:p>
        </w:tc>
        <w:tc>
          <w:tcPr>
            <w:tcW w:w="0" w:type="dxa"/>
            <w:vAlign w:val="bottom"/>
          </w:tcPr>
          <w:p>
            <w:pPr>
              <w:spacing w:after="0"/>
              <w:rPr>
                <w:sz w:val="1"/>
                <w:szCs w:val="1"/>
                <w:color w:val="auto"/>
              </w:rPr>
            </w:pPr>
          </w:p>
        </w:tc>
      </w:tr>
      <w:tr>
        <w:trPr>
          <w:trHeight w:val="337"/>
        </w:trPr>
        <w:tc>
          <w:tcPr>
            <w:tcW w:w="774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AVERAGE BALANCE SHEETS AND ANNUALIZED TAXABLE-EQUIVALENT RATES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6"/>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2019 Second Quarter</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2019 First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5"/>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2018 Fourth Quarter</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5"/>
                <w:szCs w:val="15"/>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0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20" w:type="dxa"/>
            <w:vAlign w:val="bottom"/>
            <w:gridSpan w:val="3"/>
            <w:vMerge w:val="continue"/>
          </w:tcPr>
          <w:p>
            <w:pPr>
              <w:spacing w:after="0"/>
              <w:rPr>
                <w:sz w:val="15"/>
                <w:szCs w:val="15"/>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Rate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02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Average balance in millions; interest in thousands</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Loans and leases, net of unearned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discount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financial, etc.</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23,335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288,914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23,010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287,676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22,376</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277,350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Real estate – commercial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465,911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461,050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452,448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Real estate – consumer</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16,723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179,218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184,868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187,670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197,418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190,193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187,723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loans and leases, net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89,150</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1,131,461</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88,477</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1,123,787</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87,301</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1,105,191</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funds sold</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Trading account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68,755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72,967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72,274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Obligations of states and political</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subdivisions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12,170</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75,675</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12,949</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80,522</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13,034</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79,041</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Total earning assets</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107,511</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1,243,838</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106,096</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1,232,276</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107,785</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1,226,239</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118,487</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116,839</w:t>
            </w:r>
          </w:p>
        </w:tc>
        <w:tc>
          <w:tcPr>
            <w:tcW w:w="22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117,799</w:t>
            </w:r>
          </w:p>
        </w:tc>
        <w:tc>
          <w:tcPr>
            <w:tcW w:w="22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Savings and interest-checking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91,556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76,139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69,990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deposits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24,931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Deposits at Cayman Islands office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61,272</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122,527</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59,418</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101,957</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58,473</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89,293</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66,012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67,579</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70,508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70,813</w:t>
            </w:r>
          </w:p>
        </w:tc>
        <w:tc>
          <w:tcPr>
            <w:tcW w:w="2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196,432</w:t>
            </w:r>
          </w:p>
        </w:tc>
        <w:tc>
          <w:tcPr>
            <w:tcW w:w="220" w:type="dxa"/>
            <w:vAlign w:val="bottom"/>
            <w:tcBorders>
              <w:bottom w:val="single" w:sz="8" w:color="CFF0FC"/>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80" w:type="dxa"/>
            <w:vAlign w:val="bottom"/>
            <w:tcBorders>
              <w:bottom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69,003</w:t>
            </w:r>
          </w:p>
        </w:tc>
        <w:tc>
          <w:tcPr>
            <w:tcW w:w="220" w:type="dxa"/>
            <w:vAlign w:val="bottom"/>
            <w:tcBorders>
              <w:bottom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176,249</w:t>
            </w:r>
          </w:p>
        </w:tc>
        <w:tc>
          <w:tcPr>
            <w:tcW w:w="220" w:type="dxa"/>
            <w:vAlign w:val="bottom"/>
            <w:tcBorders>
              <w:bottom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00" w:type="dxa"/>
            <w:vAlign w:val="bottom"/>
            <w:tcBorders>
              <w:bottom w:val="single" w:sz="8" w:color="CFF0FC"/>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68,027</w:t>
            </w:r>
          </w:p>
        </w:tc>
        <w:tc>
          <w:tcPr>
            <w:tcW w:w="220" w:type="dxa"/>
            <w:vAlign w:val="bottom"/>
            <w:tcBorders>
              <w:bottom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161,321</w:t>
            </w:r>
          </w:p>
        </w:tc>
        <w:tc>
          <w:tcPr>
            <w:tcW w:w="220" w:type="dxa"/>
            <w:vAlign w:val="bottom"/>
            <w:tcBorders>
              <w:bottom w:val="single" w:sz="8" w:color="CFF0FC"/>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30,099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30,315</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32,631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102,857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101,270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102,410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15,630</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15,389</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118,487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116,839</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117,799</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income/margin 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earning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1,047,406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1,056,027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1,064,918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nonaccrual loans.</w:t>
      </w:r>
    </w:p>
    <w:p>
      <w:pPr>
        <w:spacing w:after="0" w:line="29"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available-for-sale securities at amortized cost.</w:t>
      </w:r>
    </w:p>
    <w:p>
      <w:pPr>
        <w:spacing w:after="0" w:line="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Table 3 (continued)</w:t>
            </w:r>
          </w:p>
        </w:tc>
        <w:tc>
          <w:tcPr>
            <w:tcW w:w="0" w:type="dxa"/>
            <w:vAlign w:val="bottom"/>
          </w:tcPr>
          <w:p>
            <w:pPr>
              <w:spacing w:after="0"/>
              <w:rPr>
                <w:sz w:val="1"/>
                <w:szCs w:val="1"/>
                <w:color w:val="auto"/>
              </w:rPr>
            </w:pPr>
          </w:p>
        </w:tc>
      </w:tr>
      <w:tr>
        <w:trPr>
          <w:trHeight w:val="337"/>
        </w:trPr>
        <w:tc>
          <w:tcPr>
            <w:tcW w:w="89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AVERAGE BALANCE SHEETS AND ANNUALIZED TAXABLE-EQUIVALENT RATES (continued)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2018 Third Quarter</w:t>
            </w:r>
          </w:p>
        </w:tc>
        <w:tc>
          <w:tcPr>
            <w:tcW w:w="7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24"/>
                <w:szCs w:val="24"/>
                <w:color w:val="auto"/>
              </w:rPr>
            </w:pPr>
          </w:p>
        </w:tc>
        <w:tc>
          <w:tcPr>
            <w:tcW w:w="74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2018 Second Quarter</w:t>
            </w:r>
          </w:p>
        </w:tc>
        <w:tc>
          <w:tcPr>
            <w:tcW w:w="74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20" w:type="dxa"/>
            <w:vAlign w:val="bottom"/>
          </w:tcPr>
          <w:p>
            <w:pPr>
              <w:spacing w:after="0"/>
              <w:rPr>
                <w:sz w:val="15"/>
                <w:szCs w:val="15"/>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84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Average balance in millions; interest in thousands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Loans and leases, net of unearned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discount (a)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financial, etc.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21,689</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255,735</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243,081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Real estate – commercial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440,381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421,705</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Real estate – consumer</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189,634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18,644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193,547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180,764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171,441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loans and leases, net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87,132</w:t>
            </w: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1,066,514</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3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87,406</w:t>
            </w:r>
          </w:p>
        </w:tc>
        <w:tc>
          <w:tcPr>
            <w:tcW w:w="3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1,029,774</w:t>
            </w: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21,869</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funds sold</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Trading account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76,704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13,431</w:t>
            </w: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80,304</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3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13,856</w:t>
            </w:r>
          </w:p>
        </w:tc>
        <w:tc>
          <w:tcPr>
            <w:tcW w:w="3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82,239</w:t>
            </w: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Total earning assets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105,835</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1,173,108</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3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106,210</w:t>
            </w:r>
          </w:p>
        </w:tc>
        <w:tc>
          <w:tcPr>
            <w:tcW w:w="30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1,134,302</w:t>
            </w: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9,944</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0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115,997</w:t>
            </w: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116,413</w:t>
            </w:r>
          </w:p>
        </w:tc>
        <w:tc>
          <w:tcPr>
            <w:tcW w:w="300" w:type="dxa"/>
            <w:vAlign w:val="bottom"/>
            <w:tcBorders>
              <w:bottom w:val="single" w:sz="8" w:color="CFF0FC"/>
            </w:tcBorders>
          </w:tcPr>
          <w:p>
            <w:pPr>
              <w:spacing w:after="0"/>
              <w:rPr>
                <w:sz w:val="21"/>
                <w:szCs w:val="21"/>
                <w:color w:val="auto"/>
              </w:rPr>
            </w:pPr>
          </w:p>
        </w:tc>
        <w:tc>
          <w:tcPr>
            <w:tcW w:w="80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Savings and interest-checking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48,738</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Deposits at Cayman Islands office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57,785</w:t>
            </w: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70,688</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58,769</w:t>
            </w:r>
          </w:p>
        </w:tc>
        <w:tc>
          <w:tcPr>
            <w:tcW w:w="3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60,642</w:t>
            </w: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66,049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8,480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58,093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67,206</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138,337</w:t>
            </w:r>
          </w:p>
        </w:tc>
        <w:tc>
          <w:tcPr>
            <w:tcW w:w="320" w:type="dxa"/>
            <w:vAlign w:val="bottom"/>
            <w:tcBorders>
              <w:bottom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32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67,602</w:t>
            </w:r>
          </w:p>
        </w:tc>
        <w:tc>
          <w:tcPr>
            <w:tcW w:w="300" w:type="dxa"/>
            <w:vAlign w:val="bottom"/>
            <w:tcBorders>
              <w:bottom w:val="single" w:sz="8" w:color="CFF0FC"/>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120,118</w:t>
            </w:r>
          </w:p>
        </w:tc>
        <w:tc>
          <w:tcPr>
            <w:tcW w:w="30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31,467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31,426</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30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100,448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100,880</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15,549</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15,533</w:t>
            </w:r>
          </w:p>
        </w:tc>
        <w:tc>
          <w:tcPr>
            <w:tcW w:w="30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115,997</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116,413</w:t>
            </w:r>
          </w:p>
        </w:tc>
        <w:tc>
          <w:tcPr>
            <w:tcW w:w="3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interest income/margin on earning assets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1,034,771</w:t>
            </w:r>
          </w:p>
        </w:tc>
        <w:tc>
          <w:tcPr>
            <w:tcW w:w="3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1,014,184</w:t>
            </w:r>
          </w:p>
        </w:tc>
        <w:tc>
          <w:tcPr>
            <w:tcW w:w="3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nonaccrual loans.</w:t>
      </w:r>
    </w:p>
    <w:p>
      <w:pPr>
        <w:spacing w:after="0" w:line="29"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90" w:name="page91"/>
    <w:bookmarkEnd w:id="90"/>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p>
    <w:p>
      <w:pPr>
        <w:spacing w:after="0" w:line="55"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Controls and Procedures.</w:t>
      </w:r>
    </w:p>
    <w:p>
      <w:pPr>
        <w:spacing w:after="0" w:line="55" w:lineRule="exact"/>
        <w:rPr>
          <w:sz w:val="20"/>
          <w:szCs w:val="20"/>
          <w:color w:val="auto"/>
        </w:rPr>
      </w:pPr>
    </w:p>
    <w:p>
      <w:pPr>
        <w:jc w:val="both"/>
        <w:ind w:firstLine="526"/>
        <w:spacing w:after="0" w:line="250" w:lineRule="auto"/>
        <w:tabs>
          <w:tab w:leader="none" w:pos="79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June 30, 2019.</w:t>
      </w:r>
    </w:p>
    <w:p>
      <w:pPr>
        <w:spacing w:after="0" w:line="19" w:lineRule="exact"/>
        <w:rPr>
          <w:rFonts w:ascii="Times New Roman" w:cs="Times New Roman" w:eastAsia="Times New Roman" w:hAnsi="Times New Roman"/>
          <w:sz w:val="21"/>
          <w:szCs w:val="21"/>
          <w:color w:val="auto"/>
        </w:rPr>
      </w:pPr>
    </w:p>
    <w:p>
      <w:pPr>
        <w:jc w:val="both"/>
        <w:ind w:firstLine="526"/>
        <w:spacing w:after="0" w:line="248" w:lineRule="auto"/>
        <w:tabs>
          <w:tab w:leader="none" w:pos="81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w:t>
      </w:r>
    </w:p>
    <w:p>
      <w:pPr>
        <w:spacing w:after="0" w:line="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disclosure controls and procedures during the quarter ended June 30, 2019 that have materially affected, or are reasonably likely to materially affect, M&amp;T’s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PART II. OTHER INFORMATION</w:t>
      </w:r>
    </w:p>
    <w:p>
      <w:pPr>
        <w:spacing w:after="0" w:line="3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1.</w:t>
      </w:r>
      <w:r>
        <w:rPr>
          <w:sz w:val="20"/>
          <w:szCs w:val="20"/>
          <w:color w:val="auto"/>
        </w:rPr>
        <w:tab/>
      </w:r>
      <w:r>
        <w:rPr>
          <w:rFonts w:ascii="Times New Roman" w:cs="Times New Roman" w:eastAsia="Times New Roman" w:hAnsi="Times New Roman"/>
          <w:sz w:val="20"/>
          <w:szCs w:val="20"/>
          <w:color w:val="auto"/>
        </w:rPr>
        <w:t>Legal Proceedings.</w:t>
      </w:r>
    </w:p>
    <w:p>
      <w:pPr>
        <w:spacing w:after="0" w:line="109"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i w:val="1"/>
          <w:iCs w:val="1"/>
          <w:color w:val="auto"/>
        </w:rPr>
        <w:t>ESOP Matters</w:t>
      </w:r>
      <w:r>
        <w:rPr>
          <w:rFonts w:ascii="Times New Roman" w:cs="Times New Roman" w:eastAsia="Times New Roman" w:hAnsi="Times New Roman"/>
          <w:sz w:val="21"/>
          <w:szCs w:val="21"/>
          <w:color w:val="auto"/>
        </w:rPr>
        <w:t>: Wilmington Trust, N.A. provides retirement services, including serving in certain trustee roles relating to Employee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investigations, the DOL has commenced three lawsuits against Wilmington Trust, N.A. relating to its role as trustee of three ESOP transactions. In July 2019, Wilmington Trust, N.A. reached a settlement in principle with the DOL to resolve certain pending DOL ESOP matters. Although a formal settlement agreement has yet to be prepared and executed, the Company does not expect that the agreed-upon settlement will have a material incremental impact on the Company’s consolidated financial position or results of operations. Wilmington Trust, N.A. has also been named as a defendant in four private party lawsuits relating to its role as trustee for four ESOP transactions. Under applicable transaction documents, Wilmington Trust, N.A. may be entitled to indemnification by the ESOP Plan Sponsors. These matters could result in damages, settlements, penalties, restitution, reputational damage or additional costs and expenses.</w:t>
      </w:r>
    </w:p>
    <w:p>
      <w:pPr>
        <w:spacing w:after="0" w:line="90"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1"/>
          <w:szCs w:val="21"/>
          <w:color w:val="auto"/>
        </w:rPr>
        <w:t>Due to their complex nature, it is difficult to estimate when litigation or investigatory matters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91" w:name="page92"/>
    <w:bookmarkEnd w:id="91"/>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1A.</w:t>
      </w:r>
      <w:r>
        <w:rPr>
          <w:sz w:val="20"/>
          <w:szCs w:val="20"/>
          <w:color w:val="auto"/>
        </w:rPr>
        <w:tab/>
      </w:r>
      <w:r>
        <w:rPr>
          <w:rFonts w:ascii="Times New Roman" w:cs="Times New Roman" w:eastAsia="Times New Roman" w:hAnsi="Times New Roman"/>
          <w:sz w:val="20"/>
          <w:szCs w:val="20"/>
          <w:color w:val="auto"/>
        </w:rPr>
        <w:t>Risk Factors.</w:t>
      </w:r>
    </w:p>
    <w:p>
      <w:pPr>
        <w:spacing w:after="0" w:line="109"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21"/>
          <w:szCs w:val="21"/>
          <w:color w:val="auto"/>
        </w:rPr>
        <w:t>There have been no material changes in risk factors relating to M&amp;T to those disclosed in response to Item 1A. to Part I of Form 10-K for the year ended December 31, 2018.</w:t>
      </w:r>
    </w:p>
    <w:p>
      <w:pPr>
        <w:spacing w:after="0" w:line="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Unregistered Sales of Equity Securities and Use of Proceeds.</w:t>
      </w:r>
    </w:p>
    <w:p>
      <w:pPr>
        <w:spacing w:after="0" w:line="109" w:lineRule="exact"/>
        <w:rPr>
          <w:sz w:val="20"/>
          <w:szCs w:val="20"/>
          <w:color w:val="auto"/>
        </w:rPr>
      </w:pPr>
    </w:p>
    <w:p>
      <w:pPr>
        <w:ind w:left="800" w:hanging="274"/>
        <w:spacing w:after="0"/>
        <w:tabs>
          <w:tab w:leader="none" w:pos="80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(b) Not applicable.</w:t>
      </w:r>
    </w:p>
    <w:p>
      <w:pPr>
        <w:spacing w:after="0" w:line="109" w:lineRule="exact"/>
        <w:rPr>
          <w:rFonts w:ascii="Times New Roman" w:cs="Times New Roman" w:eastAsia="Times New Roman" w:hAnsi="Times New Roman"/>
          <w:sz w:val="21"/>
          <w:szCs w:val="21"/>
          <w:color w:val="auto"/>
        </w:rPr>
      </w:pPr>
    </w:p>
    <w:p>
      <w:pPr>
        <w:spacing w:after="0"/>
        <w:tabs>
          <w:tab w:leader="none" w:pos="0" w:val="left"/>
        </w:tabs>
        <w:numPr>
          <w:ilvl w:val="0"/>
          <w:numId w:val="28"/>
        </w:numPr>
        <w:rPr>
          <w:rFonts w:ascii="Times New Roman" w:cs="Times New Roman" w:eastAsia="Times New Roman" w:hAnsi="Times New Roman"/>
          <w:sz w:val="21"/>
          <w:szCs w:val="21"/>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(c)Total</w:t>
            </w:r>
          </w:p>
        </w:tc>
        <w:tc>
          <w:tcPr>
            <w:tcW w:w="6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(a)Total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(b)Average</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4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67"/>
        </w:trPr>
        <w:tc>
          <w:tcPr>
            <w:tcW w:w="4400" w:type="dxa"/>
            <w:vAlign w:val="bottom"/>
            <w:gridSpan w:val="3"/>
            <w:vMerge w:val="continue"/>
          </w:tcPr>
          <w:p>
            <w:pPr>
              <w:spacing w:after="0"/>
              <w:rPr>
                <w:sz w:val="14"/>
                <w:szCs w:val="14"/>
                <w:color w:val="auto"/>
              </w:rPr>
            </w:pP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Purchased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line="159" w:lineRule="exact"/>
              <w:rPr>
                <w:sz w:val="20"/>
                <w:szCs w:val="20"/>
                <w:color w:val="auto"/>
              </w:rPr>
            </w:pPr>
            <w:r>
              <w:rPr>
                <w:rFonts w:ascii="Times New Roman" w:cs="Times New Roman" w:eastAsia="Times New Roman" w:hAnsi="Times New Roman"/>
                <w:sz w:val="14"/>
                <w:szCs w:val="14"/>
                <w:b w:val="1"/>
                <w:bCs w:val="1"/>
                <w:color w:val="auto"/>
              </w:rPr>
              <w:t>(or Unit)</w:t>
            </w:r>
          </w:p>
        </w:tc>
        <w:tc>
          <w:tcPr>
            <w:tcW w:w="10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60" w:type="dxa"/>
            <w:vAlign w:val="bottom"/>
          </w:tcPr>
          <w:p>
            <w:pPr>
              <w:spacing w:after="0"/>
              <w:rPr>
                <w:sz w:val="14"/>
                <w:szCs w:val="14"/>
                <w:color w:val="auto"/>
              </w:rPr>
            </w:pPr>
          </w:p>
        </w:tc>
        <w:tc>
          <w:tcPr>
            <w:tcW w:w="11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Programs (2) (3)</w:t>
            </w:r>
          </w:p>
        </w:tc>
        <w:tc>
          <w:tcPr>
            <w:tcW w:w="0" w:type="dxa"/>
            <w:vAlign w:val="bottom"/>
          </w:tcPr>
          <w:p>
            <w:pPr>
              <w:spacing w:after="0"/>
              <w:rPr>
                <w:sz w:val="1"/>
                <w:szCs w:val="1"/>
                <w:color w:val="auto"/>
              </w:rPr>
            </w:pPr>
          </w:p>
        </w:tc>
      </w:tr>
      <w:tr>
        <w:trPr>
          <w:trHeight w:val="229"/>
        </w:trPr>
        <w:tc>
          <w:tcPr>
            <w:tcW w:w="420" w:type="dxa"/>
            <w:vAlign w:val="bottom"/>
            <w:tcBorders>
              <w:top w:val="single" w:sz="8" w:color="auto"/>
            </w:tcBorders>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 April 30, 2019</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$ 436,008,393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1 - May 31, 2019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2,275,378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2,275,000</w:t>
            </w: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62,429,992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 June 30, 2019</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175,070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2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34,053,904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2,450,530</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164.07</w:t>
            </w: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2,450,000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left="520" w:hanging="512"/>
        <w:spacing w:after="0" w:line="256" w:lineRule="auto"/>
        <w:tabs>
          <w:tab w:leader="none" w:pos="52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520" w:hanging="512"/>
        <w:spacing w:after="0"/>
        <w:tabs>
          <w:tab w:leader="none" w:pos="52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July 17, 2018, M&amp;T announced a program to purchase up to $1.8 billion of its common stock through June 30, 2019.</w:t>
      </w:r>
    </w:p>
    <w:p>
      <w:pPr>
        <w:spacing w:after="0" w:line="8" w:lineRule="exact"/>
        <w:rPr>
          <w:rFonts w:ascii="Times New Roman" w:cs="Times New Roman" w:eastAsia="Times New Roman" w:hAnsi="Times New Roman"/>
          <w:sz w:val="18"/>
          <w:szCs w:val="18"/>
          <w:i w:val="1"/>
          <w:iCs w:val="1"/>
          <w:color w:val="auto"/>
        </w:rPr>
      </w:pPr>
    </w:p>
    <w:p>
      <w:pPr>
        <w:ind w:left="520" w:hanging="512"/>
        <w:spacing w:after="0" w:line="260" w:lineRule="auto"/>
        <w:tabs>
          <w:tab w:leader="none" w:pos="52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July 17, 2019 M&amp;T’s Board of Directors authorized a new stock repurchase program to repurchase up to $1.635 billion of common shares, including the remaining shares not purchased related to M&amp;T’s 2018 revised capital plan.</w:t>
      </w:r>
    </w:p>
    <w:p>
      <w:pPr>
        <w:spacing w:after="0" w:line="18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Defaults Upon Senior Securities.</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(Not applicable.)</w:t>
      </w:r>
    </w:p>
    <w:p>
      <w:pPr>
        <w:spacing w:after="0" w:line="21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Mine Safety Disclosures.</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21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5.</w:t>
      </w:r>
      <w:r>
        <w:rPr>
          <w:sz w:val="20"/>
          <w:szCs w:val="20"/>
          <w:color w:val="auto"/>
        </w:rPr>
        <w:tab/>
      </w:r>
      <w:r>
        <w:rPr>
          <w:rFonts w:ascii="Times New Roman" w:cs="Times New Roman" w:eastAsia="Times New Roman" w:hAnsi="Times New Roman"/>
          <w:sz w:val="20"/>
          <w:szCs w:val="20"/>
          <w:color w:val="auto"/>
        </w:rPr>
        <w:t>Other Information.</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68"/>
        </w:trPr>
        <w:tc>
          <w:tcPr>
            <w:tcW w:w="9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Item 6.</w:t>
            </w:r>
          </w:p>
        </w:tc>
        <w:tc>
          <w:tcPr>
            <w:tcW w:w="104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Exhibits.</w:t>
            </w:r>
          </w:p>
        </w:tc>
      </w:tr>
      <w:tr>
        <w:trPr>
          <w:trHeight w:val="351"/>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9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The following exhibits are filed as a part of this report.</w:t>
            </w:r>
          </w:p>
        </w:tc>
      </w:tr>
      <w:tr>
        <w:trPr>
          <w:trHeight w:val="325"/>
        </w:trPr>
        <w:tc>
          <w:tcPr>
            <w:tcW w:w="12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Exhibit</w:t>
            </w:r>
          </w:p>
        </w:tc>
        <w:tc>
          <w:tcPr>
            <w:tcW w:w="10460" w:type="dxa"/>
            <w:vAlign w:val="bottom"/>
          </w:tcPr>
          <w:p>
            <w:pPr>
              <w:spacing w:after="0"/>
              <w:rPr>
                <w:sz w:val="24"/>
                <w:szCs w:val="24"/>
                <w:color w:val="auto"/>
              </w:rPr>
            </w:pPr>
          </w:p>
        </w:tc>
      </w:tr>
      <w:tr>
        <w:trPr>
          <w:trHeight w:val="260"/>
        </w:trPr>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1"/>
                <w:szCs w:val="21"/>
                <w:color w:val="auto"/>
              </w:rPr>
              <w:t>No.</w:t>
            </w:r>
          </w:p>
        </w:tc>
        <w:tc>
          <w:tcPr>
            <w:tcW w:w="10460" w:type="dxa"/>
            <w:vAlign w:val="bottom"/>
          </w:tcPr>
          <w:p>
            <w:pPr>
              <w:spacing w:after="0"/>
              <w:rPr>
                <w:sz w:val="22"/>
                <w:szCs w:val="22"/>
                <w:color w:val="auto"/>
              </w:rPr>
            </w:pPr>
          </w:p>
        </w:tc>
      </w:tr>
      <w:tr>
        <w:trPr>
          <w:trHeight w:val="439"/>
        </w:trPr>
        <w:tc>
          <w:tcPr>
            <w:tcW w:w="480" w:type="dxa"/>
            <w:vAlign w:val="bottom"/>
            <w:gridSpan w:val="2"/>
          </w:tcPr>
          <w:p>
            <w:pPr>
              <w:ind w:left="120"/>
              <w:spacing w:after="0"/>
              <w:rPr>
                <w:rFonts w:ascii="Times New Roman" w:cs="Times New Roman" w:eastAsia="Times New Roman" w:hAnsi="Times New Roman"/>
                <w:sz w:val="21"/>
                <w:szCs w:val="21"/>
                <w:color w:val="0000EE"/>
                <w:w w:val="92"/>
              </w:rPr>
            </w:pPr>
            <w:hyperlink w:anchor="page94">
              <w:r>
                <w:rPr>
                  <w:rFonts w:ascii="Times New Roman" w:cs="Times New Roman" w:eastAsia="Times New Roman" w:hAnsi="Times New Roman"/>
                  <w:sz w:val="21"/>
                  <w:szCs w:val="21"/>
                  <w:color w:val="0000EE"/>
                  <w:w w:val="92"/>
                </w:rPr>
                <w:t>31.</w:t>
              </w:r>
              <w:r>
                <w:rPr>
                  <w:rFonts w:ascii="Times New Roman" w:cs="Times New Roman" w:eastAsia="Times New Roman" w:hAnsi="Times New Roman"/>
                  <w:sz w:val="21"/>
                  <w:szCs w:val="21"/>
                  <w:u w:val="single" w:color="auto"/>
                  <w:color w:val="0000EE"/>
                  <w:w w:val="92"/>
                </w:rPr>
                <w:t>1</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Certification of Chief Executive Officer under Section 302 of the Sarbanes-Oxley Act of 2002. Filed herewith.</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466"/>
        </w:trPr>
        <w:tc>
          <w:tcPr>
            <w:tcW w:w="480" w:type="dxa"/>
            <w:vAlign w:val="bottom"/>
            <w:gridSpan w:val="2"/>
          </w:tcPr>
          <w:p>
            <w:pPr>
              <w:ind w:left="120"/>
              <w:spacing w:after="0"/>
              <w:rPr>
                <w:rFonts w:ascii="Times New Roman" w:cs="Times New Roman" w:eastAsia="Times New Roman" w:hAnsi="Times New Roman"/>
                <w:sz w:val="21"/>
                <w:szCs w:val="21"/>
                <w:color w:val="0000EE"/>
                <w:w w:val="92"/>
              </w:rPr>
            </w:pPr>
            <w:hyperlink w:anchor="page95">
              <w:r>
                <w:rPr>
                  <w:rFonts w:ascii="Times New Roman" w:cs="Times New Roman" w:eastAsia="Times New Roman" w:hAnsi="Times New Roman"/>
                  <w:sz w:val="21"/>
                  <w:szCs w:val="21"/>
                  <w:color w:val="0000EE"/>
                  <w:w w:val="92"/>
                </w:rPr>
                <w:t>31.</w:t>
              </w:r>
              <w:r>
                <w:rPr>
                  <w:rFonts w:ascii="Times New Roman" w:cs="Times New Roman" w:eastAsia="Times New Roman" w:hAnsi="Times New Roman"/>
                  <w:sz w:val="21"/>
                  <w:szCs w:val="21"/>
                  <w:u w:val="single" w:color="auto"/>
                  <w:color w:val="0000EE"/>
                  <w:w w:val="92"/>
                </w:rPr>
                <w:t>2</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Certification of Chief Financial Officer under Section 302 of the Sarbanes-Oxley Act of 2002. Filed herewith.</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466"/>
        </w:trPr>
        <w:tc>
          <w:tcPr>
            <w:tcW w:w="480" w:type="dxa"/>
            <w:vAlign w:val="bottom"/>
            <w:gridSpan w:val="2"/>
          </w:tcPr>
          <w:p>
            <w:pPr>
              <w:ind w:left="120"/>
              <w:spacing w:after="0"/>
              <w:rPr>
                <w:rFonts w:ascii="Times New Roman" w:cs="Times New Roman" w:eastAsia="Times New Roman" w:hAnsi="Times New Roman"/>
                <w:sz w:val="21"/>
                <w:szCs w:val="21"/>
                <w:color w:val="0000EE"/>
                <w:w w:val="92"/>
              </w:rPr>
            </w:pPr>
            <w:hyperlink w:anchor="page96">
              <w:r>
                <w:rPr>
                  <w:rFonts w:ascii="Times New Roman" w:cs="Times New Roman" w:eastAsia="Times New Roman" w:hAnsi="Times New Roman"/>
                  <w:sz w:val="21"/>
                  <w:szCs w:val="21"/>
                  <w:color w:val="0000EE"/>
                  <w:w w:val="92"/>
                </w:rPr>
                <w:t>32.</w:t>
              </w:r>
              <w:r>
                <w:rPr>
                  <w:rFonts w:ascii="Times New Roman" w:cs="Times New Roman" w:eastAsia="Times New Roman" w:hAnsi="Times New Roman"/>
                  <w:sz w:val="21"/>
                  <w:szCs w:val="21"/>
                  <w:u w:val="single" w:color="auto"/>
                  <w:color w:val="0000EE"/>
                  <w:w w:val="92"/>
                </w:rPr>
                <w:t>1</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98"/>
              </w:rPr>
              <w:t>Certification of Chief Executive Officer under 18 U.S.C. §1350 pursuant to Section 906 of the Sarbanes-Oxley Act of 2002.</w:t>
            </w:r>
          </w:p>
        </w:tc>
      </w:tr>
      <w:tr>
        <w:trPr>
          <w:trHeight w:val="271"/>
        </w:trPr>
        <w:tc>
          <w:tcPr>
            <w:tcW w:w="120" w:type="dxa"/>
            <w:vAlign w:val="bottom"/>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Filed herewith.</w:t>
            </w:r>
          </w:p>
        </w:tc>
      </w:tr>
      <w:tr>
        <w:trPr>
          <w:trHeight w:val="437"/>
        </w:trPr>
        <w:tc>
          <w:tcPr>
            <w:tcW w:w="480" w:type="dxa"/>
            <w:vAlign w:val="bottom"/>
            <w:gridSpan w:val="2"/>
          </w:tcPr>
          <w:p>
            <w:pPr>
              <w:ind w:left="120"/>
              <w:spacing w:after="0"/>
              <w:rPr>
                <w:rFonts w:ascii="Times New Roman" w:cs="Times New Roman" w:eastAsia="Times New Roman" w:hAnsi="Times New Roman"/>
                <w:sz w:val="21"/>
                <w:szCs w:val="21"/>
                <w:color w:val="0000EE"/>
                <w:w w:val="92"/>
              </w:rPr>
            </w:pPr>
            <w:hyperlink w:anchor="page97">
              <w:r>
                <w:rPr>
                  <w:rFonts w:ascii="Times New Roman" w:cs="Times New Roman" w:eastAsia="Times New Roman" w:hAnsi="Times New Roman"/>
                  <w:sz w:val="21"/>
                  <w:szCs w:val="21"/>
                  <w:color w:val="0000EE"/>
                  <w:w w:val="92"/>
                </w:rPr>
                <w:t>32.</w:t>
              </w:r>
              <w:r>
                <w:rPr>
                  <w:rFonts w:ascii="Times New Roman" w:cs="Times New Roman" w:eastAsia="Times New Roman" w:hAnsi="Times New Roman"/>
                  <w:sz w:val="21"/>
                  <w:szCs w:val="21"/>
                  <w:u w:val="single" w:color="auto"/>
                  <w:color w:val="0000EE"/>
                  <w:w w:val="92"/>
                </w:rPr>
                <w:t>2</w:t>
              </w:r>
            </w:hyperlink>
          </w:p>
        </w:tc>
        <w:tc>
          <w:tcPr>
            <w:tcW w:w="48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98"/>
              </w:rPr>
              <w:t>Certification of Chief Financial Officer under 18 U.S.C. §1350 pursuant to Section 906 of the Sarbanes-Oxley Act of 2002.</w:t>
            </w:r>
          </w:p>
        </w:tc>
      </w:tr>
      <w:tr>
        <w:trPr>
          <w:trHeight w:val="271"/>
        </w:trPr>
        <w:tc>
          <w:tcPr>
            <w:tcW w:w="120" w:type="dxa"/>
            <w:vAlign w:val="bottom"/>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Filed herewith.</w:t>
            </w:r>
          </w:p>
        </w:tc>
      </w:tr>
      <w:tr>
        <w:trPr>
          <w:trHeight w:val="460"/>
        </w:trPr>
        <w:tc>
          <w:tcPr>
            <w:tcW w:w="9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101.INS</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99"/>
              </w:rPr>
              <w:t>XBRL Instance Document – the instance document does not appear in the Interactive Data File because its XBRL tags are</w:t>
            </w:r>
          </w:p>
        </w:tc>
      </w:tr>
      <w:tr>
        <w:trPr>
          <w:trHeight w:val="268"/>
        </w:trPr>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embedded within the Inline XBRL document.</w:t>
            </w:r>
          </w:p>
        </w:tc>
      </w:tr>
      <w:tr>
        <w:trPr>
          <w:trHeight w:val="486"/>
        </w:trPr>
        <w:tc>
          <w:tcPr>
            <w:tcW w:w="9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101.SCH</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XBRL Taxonomy Extension Schema. Filed herewith.</w:t>
            </w:r>
          </w:p>
        </w:tc>
      </w:tr>
      <w:tr>
        <w:trPr>
          <w:trHeight w:val="486"/>
        </w:trPr>
        <w:tc>
          <w:tcPr>
            <w:tcW w:w="9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101.CAL</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XBRL Taxonomy Extension Calculation Linkbase. Filed herewith.</w:t>
            </w:r>
          </w:p>
        </w:tc>
      </w:tr>
      <w:tr>
        <w:trPr>
          <w:trHeight w:val="486"/>
        </w:trPr>
        <w:tc>
          <w:tcPr>
            <w:tcW w:w="9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101.LAB</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XBRL Taxonomy Extension Label Linkbase. Filed herewith.</w:t>
            </w:r>
          </w:p>
        </w:tc>
      </w:tr>
      <w:tr>
        <w:trPr>
          <w:trHeight w:val="486"/>
        </w:trPr>
        <w:tc>
          <w:tcPr>
            <w:tcW w:w="9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101.PRE</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XBRL Taxonomy Extension Presentation Linkbase. Filed herewith.</w:t>
            </w:r>
          </w:p>
        </w:tc>
      </w:tr>
      <w:tr>
        <w:trPr>
          <w:trHeight w:val="486"/>
        </w:trPr>
        <w:tc>
          <w:tcPr>
            <w:tcW w:w="9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101.DEF</w:t>
            </w:r>
          </w:p>
        </w:tc>
        <w:tc>
          <w:tcPr>
            <w:tcW w:w="104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XBRL Taxonomy Definition Linkbase. Filed herewith.</w:t>
            </w: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SIGNATURES</w:t>
      </w:r>
    </w:p>
    <w:p>
      <w:pPr>
        <w:spacing w:after="0" w:line="217"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21"/>
          <w:szCs w:val="21"/>
          <w:color w:val="auto"/>
        </w:rPr>
        <w:t>M&amp;T BANK CORPORATION</w:t>
      </w:r>
    </w:p>
    <w:p>
      <w:pPr>
        <w:spacing w:after="0" w:line="239" w:lineRule="exact"/>
        <w:rPr>
          <w:sz w:val="20"/>
          <w:szCs w:val="20"/>
          <w:color w:val="auto"/>
        </w:rPr>
      </w:pPr>
    </w:p>
    <w:p>
      <w:pPr>
        <w:spacing w:after="0"/>
        <w:tabs>
          <w:tab w:leader="none" w:pos="6700" w:val="left"/>
          <w:tab w:leader="none" w:pos="7160" w:val="left"/>
        </w:tabs>
        <w:rPr>
          <w:sz w:val="20"/>
          <w:szCs w:val="20"/>
          <w:color w:val="auto"/>
        </w:rPr>
      </w:pPr>
      <w:r>
        <w:rPr>
          <w:rFonts w:ascii="Times New Roman" w:cs="Times New Roman" w:eastAsia="Times New Roman" w:hAnsi="Times New Roman"/>
          <w:sz w:val="20"/>
          <w:szCs w:val="20"/>
          <w:color w:val="auto"/>
        </w:rPr>
        <w:t>Date: August 5, 2019</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13970</wp:posOffset>
            </wp:positionV>
            <wp:extent cx="2698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98115" cy="8255"/>
                    </a:xfrm>
                    <a:prstGeom prst="rect">
                      <a:avLst/>
                    </a:prstGeom>
                    <a:noFill/>
                  </pic:spPr>
                </pic:pic>
              </a:graphicData>
            </a:graphic>
          </wp:anchor>
        </w:drawing>
      </w:r>
    </w:p>
    <w:p>
      <w:pPr>
        <w:spacing w:after="0" w:line="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Darren J. King</w:t>
      </w:r>
    </w:p>
    <w:p>
      <w:pPr>
        <w:spacing w:after="0" w:line="5"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Executive Vice President</w:t>
      </w:r>
    </w:p>
    <w:p>
      <w:pPr>
        <w:ind w:left="718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- 93 -</w:t>
      </w:r>
    </w:p>
    <w:p>
      <w:pPr>
        <w:sectPr>
          <w:pgSz w:w="11900" w:h="16838" w:orient="portrait"/>
          <w:cols w:equalWidth="0" w:num="1">
            <w:col w:w="11420"/>
          </w:cols>
          <w:pgMar w:left="240" w:top="338"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René F. Jones, certify that:</w:t>
      </w:r>
    </w:p>
    <w:p>
      <w:pPr>
        <w:spacing w:after="0" w:line="82" w:lineRule="exact"/>
        <w:rPr>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82"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jc w:val="both"/>
        <w:ind w:left="440" w:hanging="432"/>
        <w:spacing w:after="0" w:line="196" w:lineRule="auto"/>
        <w:tabs>
          <w:tab w:leader="none" w:pos="4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sz w:val="20"/>
          <w:szCs w:val="20"/>
          <w:color w:val="auto"/>
        </w:rPr>
      </w:pPr>
    </w:p>
    <w:p>
      <w:pPr>
        <w:jc w:val="both"/>
        <w:ind w:left="440" w:hanging="432"/>
        <w:spacing w:after="0" w:line="196" w:lineRule="auto"/>
        <w:tabs>
          <w:tab w:leader="none" w:pos="44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sz w:val="20"/>
          <w:szCs w:val="20"/>
          <w:color w:val="auto"/>
        </w:rPr>
      </w:pPr>
    </w:p>
    <w:p>
      <w:pPr>
        <w:ind w:left="440" w:hanging="432"/>
        <w:spacing w:after="0" w:line="213" w:lineRule="auto"/>
        <w:tabs>
          <w:tab w:leader="none" w:pos="4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 w:lineRule="exact"/>
        <w:rPr>
          <w:rFonts w:ascii="Times New Roman" w:cs="Times New Roman" w:eastAsia="Times New Roman" w:hAnsi="Times New Roman"/>
          <w:sz w:val="21"/>
          <w:szCs w:val="21"/>
          <w:color w:val="auto"/>
        </w:rPr>
      </w:pPr>
    </w:p>
    <w:p>
      <w:pPr>
        <w:ind w:left="440" w:hanging="432"/>
        <w:spacing w:after="0" w:line="213" w:lineRule="auto"/>
        <w:tabs>
          <w:tab w:leader="none" w:pos="4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August 5, 2019</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12065</wp:posOffset>
            </wp:positionV>
            <wp:extent cx="25609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René F. Jones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Chairman of the Board and</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Chief Executive Officer</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1"/>
          <w:szCs w:val="21"/>
          <w:color w:val="auto"/>
        </w:rPr>
        <w:t>EXHIBIT 31.2</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Darren J. King, certify that:</w:t>
      </w:r>
    </w:p>
    <w:p>
      <w:pPr>
        <w:spacing w:after="0" w:line="82" w:lineRule="exact"/>
        <w:rPr>
          <w:sz w:val="20"/>
          <w:szCs w:val="20"/>
          <w:color w:val="auto"/>
        </w:rPr>
      </w:pPr>
    </w:p>
    <w:p>
      <w:pPr>
        <w:ind w:left="440" w:hanging="432"/>
        <w:spacing w:after="0"/>
        <w:tabs>
          <w:tab w:leader="none" w:pos="4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82"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jc w:val="both"/>
        <w:ind w:left="440" w:hanging="432"/>
        <w:spacing w:after="0" w:line="196" w:lineRule="auto"/>
        <w:tabs>
          <w:tab w:leader="none" w:pos="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1"/>
          <w:szCs w:val="21"/>
          <w:color w:val="auto"/>
        </w:rPr>
      </w:pPr>
    </w:p>
    <w:p>
      <w:pPr>
        <w:jc w:val="both"/>
        <w:ind w:left="440" w:hanging="432"/>
        <w:spacing w:after="0" w:line="196" w:lineRule="auto"/>
        <w:tabs>
          <w:tab w:leader="none" w:pos="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sz w:val="20"/>
          <w:szCs w:val="20"/>
          <w:color w:val="auto"/>
        </w:rPr>
      </w:pPr>
    </w:p>
    <w:p>
      <w:pPr>
        <w:jc w:val="both"/>
        <w:ind w:left="440" w:hanging="432"/>
        <w:spacing w:after="0" w:line="196" w:lineRule="auto"/>
        <w:tabs>
          <w:tab w:leader="none" w:pos="4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sz w:val="20"/>
          <w:szCs w:val="20"/>
          <w:color w:val="auto"/>
        </w:rPr>
      </w:pPr>
    </w:p>
    <w:p>
      <w:pPr>
        <w:ind w:left="440" w:hanging="432"/>
        <w:spacing w:after="0" w:line="213" w:lineRule="auto"/>
        <w:tabs>
          <w:tab w:leader="none" w:pos="4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 w:lineRule="exact"/>
        <w:rPr>
          <w:rFonts w:ascii="Times New Roman" w:cs="Times New Roman" w:eastAsia="Times New Roman" w:hAnsi="Times New Roman"/>
          <w:sz w:val="21"/>
          <w:szCs w:val="21"/>
          <w:color w:val="auto"/>
        </w:rPr>
      </w:pPr>
    </w:p>
    <w:p>
      <w:pPr>
        <w:ind w:left="440" w:hanging="432"/>
        <w:spacing w:after="0" w:line="213" w:lineRule="auto"/>
        <w:tabs>
          <w:tab w:leader="none" w:pos="4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August 5, 2019</w:t>
      </w:r>
    </w:p>
    <w:p>
      <w:pPr>
        <w:spacing w:after="0" w:line="200" w:lineRule="exact"/>
        <w:rPr>
          <w:sz w:val="20"/>
          <w:szCs w:val="20"/>
          <w:color w:val="auto"/>
        </w:rPr>
      </w:pPr>
    </w:p>
    <w:p>
      <w:pPr>
        <w:spacing w:after="0" w:line="27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12065</wp:posOffset>
            </wp:positionV>
            <wp:extent cx="25952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Darren J. King</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and Chief Financial Officer</w:t>
      </w:r>
    </w:p>
    <w:p>
      <w:pPr>
        <w:sectPr>
          <w:pgSz w:w="11900" w:h="16838" w:orient="portrait"/>
          <w:cols w:equalWidth="0" w:num="1">
            <w:col w:w="11420"/>
          </w:cols>
          <w:pgMar w:left="240" w:top="82" w:right="239" w:bottom="1440" w:gutter="0" w:footer="0" w:header="0"/>
        </w:sectPr>
      </w:pPr>
    </w:p>
    <w:bookmarkStart w:id="95" w:name="page96"/>
    <w:bookmarkEnd w:id="95"/>
    <w:p>
      <w:pPr>
        <w:ind w:left="10180"/>
        <w:spacing w:after="0"/>
        <w:rPr>
          <w:sz w:val="20"/>
          <w:szCs w:val="20"/>
          <w:color w:val="auto"/>
        </w:rPr>
      </w:pPr>
      <w:r>
        <w:rPr>
          <w:rFonts w:ascii="Times New Roman" w:cs="Times New Roman" w:eastAsia="Times New Roman" w:hAnsi="Times New Roman"/>
          <w:sz w:val="20"/>
          <w:szCs w:val="20"/>
          <w:color w:val="auto"/>
        </w:rPr>
        <w:t>EXHIBIT 32.1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René F. Jones, Chairman of the Board and Chief Executive Officer of M&amp;T Bank Corporation, certify, pursuant to Section 906 of the</w:t>
      </w:r>
    </w:p>
    <w:p>
      <w:pPr>
        <w:spacing w:after="0"/>
        <w:rPr>
          <w:sz w:val="20"/>
          <w:szCs w:val="20"/>
          <w:color w:val="auto"/>
        </w:rPr>
      </w:pPr>
      <w:r>
        <w:rPr>
          <w:rFonts w:ascii="Times New Roman" w:cs="Times New Roman" w:eastAsia="Times New Roman" w:hAnsi="Times New Roman"/>
          <w:sz w:val="21"/>
          <w:szCs w:val="21"/>
          <w:color w:val="auto"/>
        </w:rPr>
        <w:t>Sarbanes-Oxley Act of 2002, 18 U.S.C. Section 1350, that:</w:t>
      </w:r>
    </w:p>
    <w:p>
      <w:pPr>
        <w:spacing w:after="0" w:line="168" w:lineRule="exact"/>
        <w:rPr>
          <w:sz w:val="20"/>
          <w:szCs w:val="20"/>
          <w:color w:val="auto"/>
        </w:rPr>
      </w:pPr>
    </w:p>
    <w:p>
      <w:pPr>
        <w:jc w:val="both"/>
        <w:ind w:left="1900" w:right="1900" w:hanging="948"/>
        <w:spacing w:after="0" w:line="231" w:lineRule="auto"/>
        <w:tabs>
          <w:tab w:leader="none" w:pos="190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June 30, 2019 (the "Report") fully complies with the requirements of Section 13(a) or 15(d) of the Securities Exchange Act of 1934 (15 U.S.C. 78m or 78o(d)); and</w:t>
      </w:r>
    </w:p>
    <w:p>
      <w:pPr>
        <w:spacing w:after="0" w:line="166" w:lineRule="exact"/>
        <w:rPr>
          <w:rFonts w:ascii="Times New Roman" w:cs="Times New Roman" w:eastAsia="Times New Roman" w:hAnsi="Times New Roman"/>
          <w:sz w:val="21"/>
          <w:szCs w:val="21"/>
          <w:color w:val="auto"/>
        </w:rPr>
      </w:pPr>
    </w:p>
    <w:p>
      <w:pPr>
        <w:ind w:left="1900" w:right="1920" w:hanging="948"/>
        <w:spacing w:after="0" w:line="241" w:lineRule="auto"/>
        <w:tabs>
          <w:tab w:leader="none" w:pos="190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7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8503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René F. Jones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August 5, 2019</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08" w:right="239" w:bottom="1440" w:gutter="0" w:footer="0" w:header="0"/>
        </w:sectPr>
      </w:pPr>
    </w:p>
    <w:bookmarkStart w:id="96" w:name="page97"/>
    <w:bookmarkEnd w:id="96"/>
    <w:p>
      <w:pPr>
        <w:ind w:left="10180"/>
        <w:spacing w:after="0"/>
        <w:rPr>
          <w:sz w:val="20"/>
          <w:szCs w:val="20"/>
          <w:color w:val="auto"/>
        </w:rPr>
      </w:pPr>
      <w:r>
        <w:rPr>
          <w:rFonts w:ascii="Times New Roman" w:cs="Times New Roman" w:eastAsia="Times New Roman" w:hAnsi="Times New Roman"/>
          <w:sz w:val="20"/>
          <w:szCs w:val="20"/>
          <w:color w:val="auto"/>
        </w:rPr>
        <w:t>EXHIBIT 32.2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FINANCIAL OFFICER UNDER 18 U.S.C. §1350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Darren J. King, Executive Vice President and Chief Financial Officer of M&amp;T Bank Corporation, certify, pursuant to Section 906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Sarbanes-Oxley Act of 2002, 18 U.S.C. Section 1350, that:</w:t>
      </w:r>
    </w:p>
    <w:p>
      <w:pPr>
        <w:spacing w:after="0" w:line="168" w:lineRule="exact"/>
        <w:rPr>
          <w:sz w:val="20"/>
          <w:szCs w:val="20"/>
          <w:color w:val="auto"/>
        </w:rPr>
      </w:pPr>
    </w:p>
    <w:p>
      <w:pPr>
        <w:jc w:val="both"/>
        <w:ind w:left="1900" w:right="1900" w:hanging="948"/>
        <w:spacing w:after="0" w:line="231" w:lineRule="auto"/>
        <w:tabs>
          <w:tab w:leader="none" w:pos="190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June 30, 2019 (the "Report") fully complies with the requirements of Section 13(a) or 15(d) of the Securities Exchange Act of 1934 (15 U.S.C. 78m or 78o(d)); and</w:t>
      </w:r>
    </w:p>
    <w:p>
      <w:pPr>
        <w:spacing w:after="0" w:line="166" w:lineRule="exact"/>
        <w:rPr>
          <w:rFonts w:ascii="Times New Roman" w:cs="Times New Roman" w:eastAsia="Times New Roman" w:hAnsi="Times New Roman"/>
          <w:sz w:val="21"/>
          <w:szCs w:val="21"/>
          <w:color w:val="auto"/>
        </w:rPr>
      </w:pPr>
    </w:p>
    <w:p>
      <w:pPr>
        <w:ind w:left="1900" w:right="1920" w:hanging="948"/>
        <w:spacing w:after="0" w:line="241" w:lineRule="auto"/>
        <w:tabs>
          <w:tab w:leader="none" w:pos="190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7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8503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Darren J. King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August 5, 2019</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lowerLetter"/>
      <w:start w:val="1"/>
    </w:lvl>
    <w:lvl w:ilvl="1">
      <w:lvlJc w:val="left"/>
      <w:lvlText w:val="-"/>
      <w:numFmt w:val="bullet"/>
      <w:start w:val="1"/>
    </w:lvl>
  </w:abstractNum>
  <w:abstractNum w:abstractNumId="4">
    <w:nsid w:val="721DA317"/>
    <w:multiLevelType w:val="hybridMultilevel"/>
    <w:lvl w:ilvl="0">
      <w:lvlJc w:val="left"/>
      <w:lvlText w:val="(%1)"/>
      <w:numFmt w:val="lowerLetter"/>
      <w:start w:val="1"/>
    </w:lvl>
    <w:lvl w:ilvl="1">
      <w:lvlJc w:val="left"/>
      <w:lvlText w:val="-"/>
      <w:numFmt w:val="bullet"/>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lowerLetter"/>
      <w:start w:val="1"/>
    </w:lvl>
    <w:lvl w:ilvl="1">
      <w:lvlJc w:val="left"/>
      <w:lvlText w:val="-"/>
      <w:numFmt w:val="bullet"/>
      <w:start w:val="1"/>
    </w:lvl>
  </w:abstractNum>
  <w:abstractNum w:abstractNumId="13">
    <w:nsid w:val="189A769B"/>
    <w:multiLevelType w:val="hybridMultilevel"/>
    <w:lvl w:ilvl="0">
      <w:lvlJc w:val="left"/>
      <w:lvlText w:val="(%1)"/>
      <w:numFmt w:val="lowerLetter"/>
      <w:start w:val="1"/>
    </w:lvl>
    <w:lvl w:ilvl="1">
      <w:lvlJc w:val="left"/>
      <w:lvlText w:val="-"/>
      <w:numFmt w:val="bullet"/>
      <w:start w:val="1"/>
    </w:lvl>
  </w:abstractNum>
  <w:abstractNum w:abstractNumId="14">
    <w:nsid w:val="54E49EB4"/>
    <w:multiLevelType w:val="hybridMultilevel"/>
    <w:lvl w:ilvl="0">
      <w:lvlJc w:val="left"/>
      <w:lvlText w:val="%1."/>
      <w:numFmt w:val="decimal"/>
      <w:start w:val="12"/>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decimal"/>
      <w:start w:val="12"/>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lvl w:ilvl="1">
      <w:lvlJc w:val="left"/>
      <w:lvlText w:val="-"/>
      <w:numFmt w:val="bullet"/>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lowerLetter"/>
      <w:start w:val="1"/>
    </w:lvl>
    <w:lvl w:ilvl="1">
      <w:lvlJc w:val="left"/>
      <w:lvlText w:val="-"/>
      <w:numFmt w:val="bullet"/>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3"/>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2019-12-28T08:45:33Z</dcterms:created>
  <dcterms:modified xsi:type="dcterms:W3CDTF">2019-12-28T08:45:33Z</dcterms:modified>
</cp:coreProperties>
</file>