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5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-109220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106045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M&amp;T BANK 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2"/>
              </w:rPr>
              <w:t>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323"/>
              <w:spacing w:after="0"/>
              <w:rPr>
                <w:sz w:val="20"/>
                <w:szCs w:val="20"/>
                <w:color w:val="auto"/>
              </w:rPr>
            </w:pPr>
            <w:r>
              <w:rPr>
                <w:rFonts w:ascii="Arial" w:cs="Arial" w:eastAsia="Arial" w:hAnsi="Arial"/>
                <w:sz w:val="18"/>
                <w:szCs w:val="18"/>
                <w:b w:val="1"/>
                <w:bCs w:val="1"/>
                <w:color w:val="auto"/>
              </w:rPr>
              <w:t>16-0968385</w:t>
            </w: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2360" w:type="dxa"/>
            <w:vAlign w:val="bottom"/>
            <w:gridSpan w:val="2"/>
          </w:tcPr>
          <w:p>
            <w:pPr>
              <w:jc w:val="center"/>
              <w:ind w:right="36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820" w:type="dxa"/>
            <w:vAlign w:val="bottom"/>
          </w:tcPr>
          <w:p>
            <w:pPr>
              <w:jc w:val="center"/>
              <w:ind w:right="78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04"/>
        </w:trPr>
        <w:tc>
          <w:tcPr>
            <w:tcW w:w="320" w:type="dxa"/>
            <w:vAlign w:val="bottom"/>
          </w:tcPr>
          <w:p>
            <w:pPr>
              <w:spacing w:after="0"/>
              <w:rPr>
                <w:sz w:val="24"/>
                <w:szCs w:val="24"/>
                <w:color w:val="auto"/>
              </w:rPr>
            </w:pPr>
          </w:p>
        </w:tc>
        <w:tc>
          <w:tcPr>
            <w:tcW w:w="2360" w:type="dxa"/>
            <w:vAlign w:val="bottom"/>
            <w:gridSpan w:val="2"/>
          </w:tcPr>
          <w:p>
            <w:pPr>
              <w:jc w:val="center"/>
              <w:ind w:right="368"/>
              <w:spacing w:after="0"/>
              <w:rPr>
                <w:sz w:val="20"/>
                <w:szCs w:val="20"/>
                <w:color w:val="auto"/>
              </w:rPr>
            </w:pPr>
            <w:r>
              <w:rPr>
                <w:rFonts w:ascii="Arial" w:cs="Arial" w:eastAsia="Arial" w:hAnsi="Arial"/>
                <w:sz w:val="18"/>
                <w:szCs w:val="18"/>
                <w:b w:val="1"/>
                <w:bCs w:val="1"/>
                <w:color w:val="auto"/>
                <w:w w:val="97"/>
              </w:rPr>
              <w:t>One M &amp; T Plaza</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360" w:type="dxa"/>
            <w:vAlign w:val="bottom"/>
            <w:gridSpan w:val="2"/>
          </w:tcPr>
          <w:p>
            <w:pPr>
              <w:jc w:val="center"/>
              <w:ind w:right="388"/>
              <w:spacing w:after="0"/>
              <w:rPr>
                <w:sz w:val="20"/>
                <w:szCs w:val="20"/>
                <w:color w:val="auto"/>
              </w:rPr>
            </w:pPr>
            <w:r>
              <w:rPr>
                <w:rFonts w:ascii="Arial" w:cs="Arial" w:eastAsia="Arial" w:hAnsi="Arial"/>
                <w:sz w:val="18"/>
                <w:szCs w:val="18"/>
                <w:b w:val="1"/>
                <w:bCs w:val="1"/>
                <w:color w:val="auto"/>
                <w:w w:val="92"/>
              </w:rPr>
              <w:t>Buffalo, New York</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20" w:type="dxa"/>
            <w:vAlign w:val="bottom"/>
          </w:tcPr>
          <w:p>
            <w:pPr>
              <w:jc w:val="right"/>
              <w:ind w:right="1543"/>
              <w:spacing w:after="0"/>
              <w:rPr>
                <w:sz w:val="20"/>
                <w:szCs w:val="20"/>
                <w:color w:val="auto"/>
              </w:rPr>
            </w:pPr>
            <w:r>
              <w:rPr>
                <w:rFonts w:ascii="Arial" w:cs="Arial" w:eastAsia="Arial" w:hAnsi="Arial"/>
                <w:sz w:val="18"/>
                <w:szCs w:val="18"/>
                <w:b w:val="1"/>
                <w:bCs w:val="1"/>
                <w:color w:val="auto"/>
              </w:rPr>
              <w:t>14203</w:t>
            </w:r>
          </w:p>
        </w:tc>
        <w:tc>
          <w:tcPr>
            <w:tcW w:w="0" w:type="dxa"/>
            <w:vAlign w:val="bottom"/>
          </w:tcPr>
          <w:p>
            <w:pPr>
              <w:spacing w:after="0"/>
              <w:rPr>
                <w:sz w:val="1"/>
                <w:szCs w:val="1"/>
                <w:color w:val="auto"/>
              </w:rPr>
            </w:pPr>
          </w:p>
        </w:tc>
      </w:tr>
      <w:tr>
        <w:trPr>
          <w:trHeight w:val="186"/>
        </w:trPr>
        <w:tc>
          <w:tcPr>
            <w:tcW w:w="26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820" w:type="dxa"/>
            <w:vAlign w:val="bottom"/>
          </w:tcPr>
          <w:p>
            <w:pPr>
              <w:jc w:val="center"/>
              <w:ind w:right="783"/>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(716) 635-4000</w:t>
            </w: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440" w:type="dxa"/>
            <w:vAlign w:val="bottom"/>
          </w:tcPr>
          <w:p>
            <w:pPr>
              <w:spacing w:after="0"/>
              <w:rPr>
                <w:sz w:val="19"/>
                <w:szCs w:val="19"/>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3"/>
              </w:rPr>
              <w:t>Trading Symbols</w:t>
            </w:r>
          </w:p>
        </w:tc>
        <w:tc>
          <w:tcPr>
            <w:tcW w:w="2820" w:type="dxa"/>
            <w:vAlign w:val="bottom"/>
          </w:tcPr>
          <w:p>
            <w:pPr>
              <w:spacing w:after="0"/>
              <w:rPr>
                <w:sz w:val="20"/>
                <w:szCs w:val="20"/>
                <w:color w:val="auto"/>
              </w:rPr>
            </w:pPr>
            <w:r>
              <w:rPr>
                <w:rFonts w:ascii="Arial" w:cs="Arial" w:eastAsia="Arial" w:hAnsi="Arial"/>
                <w:sz w:val="14"/>
                <w:szCs w:val="14"/>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value</w:t>
            </w:r>
          </w:p>
        </w:tc>
        <w:tc>
          <w:tcPr>
            <w:tcW w:w="14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480" w:type="dxa"/>
            <w:vAlign w:val="bottom"/>
            <w:gridSpan w:val="2"/>
          </w:tcPr>
          <w:p>
            <w:pPr>
              <w:spacing w:after="0"/>
              <w:rPr>
                <w:sz w:val="20"/>
                <w:szCs w:val="20"/>
                <w:color w:val="auto"/>
              </w:rPr>
            </w:pPr>
            <w:r>
              <w:rPr>
                <w:rFonts w:ascii="Arial" w:cs="Arial" w:eastAsia="Arial" w:hAnsi="Arial"/>
                <w:sz w:val="14"/>
                <w:szCs w:val="14"/>
                <w:color w:val="auto"/>
                <w:w w:val="94"/>
              </w:rPr>
              <w:t>Common Stock, $.50 par</w:t>
            </w:r>
          </w:p>
        </w:tc>
        <w:tc>
          <w:tcPr>
            <w:tcW w:w="1200" w:type="dxa"/>
            <w:vAlign w:val="bottom"/>
            <w:vMerge w:val="continue"/>
          </w:tcPr>
          <w:p>
            <w:pPr>
              <w:spacing w:after="0"/>
              <w:rPr>
                <w:sz w:val="15"/>
                <w:szCs w:val="15"/>
                <w:color w:val="auto"/>
              </w:rPr>
            </w:pPr>
          </w:p>
        </w:tc>
        <w:tc>
          <w:tcPr>
            <w:tcW w:w="1440" w:type="dxa"/>
            <w:vAlign w:val="bottom"/>
          </w:tcPr>
          <w:p>
            <w:pPr>
              <w:spacing w:after="0"/>
              <w:rPr>
                <w:sz w:val="15"/>
                <w:szCs w:val="15"/>
                <w:color w:val="auto"/>
              </w:rPr>
            </w:pPr>
          </w:p>
        </w:tc>
        <w:tc>
          <w:tcPr>
            <w:tcW w:w="2920" w:type="dxa"/>
            <w:vAlign w:val="bottom"/>
            <w:gridSpan w:val="2"/>
          </w:tcPr>
          <w:p>
            <w:pPr>
              <w:jc w:val="center"/>
              <w:ind w:right="1860"/>
              <w:spacing w:after="0"/>
              <w:rPr>
                <w:sz w:val="20"/>
                <w:szCs w:val="20"/>
                <w:color w:val="auto"/>
              </w:rPr>
            </w:pPr>
            <w:r>
              <w:rPr>
                <w:rFonts w:ascii="Arial" w:cs="Arial" w:eastAsia="Arial" w:hAnsi="Arial"/>
                <w:sz w:val="14"/>
                <w:szCs w:val="14"/>
                <w:color w:val="auto"/>
              </w:rPr>
              <w:t>MTB</w:t>
            </w:r>
          </w:p>
        </w:tc>
        <w:tc>
          <w:tcPr>
            <w:tcW w:w="2820" w:type="dxa"/>
            <w:vAlign w:val="bottom"/>
          </w:tcPr>
          <w:p>
            <w:pPr>
              <w:ind w:left="580"/>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4"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74"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Accelerated filer</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40" w:type="dxa"/>
            <w:vAlign w:val="bottom"/>
          </w:tcPr>
          <w:p>
            <w:pPr>
              <w:spacing w:after="0"/>
              <w:rPr>
                <w:sz w:val="20"/>
                <w:szCs w:val="20"/>
                <w:color w:val="auto"/>
              </w:rPr>
            </w:pPr>
            <w:r>
              <w:rPr>
                <w:rFonts w:ascii="Arial" w:cs="Arial" w:eastAsia="Arial" w:hAnsi="Arial"/>
                <w:sz w:val="15"/>
                <w:szCs w:val="15"/>
                <w:color w:val="auto"/>
              </w:rPr>
              <w:t>Non-accelerated filer</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2560"/>
              <w:spacing w:after="0"/>
              <w:rPr>
                <w:sz w:val="20"/>
                <w:szCs w:val="20"/>
                <w:color w:val="auto"/>
              </w:rPr>
            </w:pPr>
            <w:r>
              <w:rPr>
                <w:rFonts w:ascii="Arial" w:cs="Arial" w:eastAsia="Arial" w:hAnsi="Arial"/>
                <w:sz w:val="15"/>
                <w:szCs w:val="15"/>
                <w:color w:val="auto"/>
              </w:rPr>
              <w:t>Smaller reporting company</w:t>
            </w:r>
          </w:p>
        </w:tc>
        <w:tc>
          <w:tcPr>
            <w:tcW w:w="7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320" w:type="dxa"/>
            <w:vAlign w:val="bottom"/>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73"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41"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July 31, 2020: 128,280,043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M&amp;T BANK CORPORATION</w:t>
            </w:r>
          </w:p>
        </w:tc>
        <w:tc>
          <w:tcPr>
            <w:tcW w:w="410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700" w:type="dxa"/>
            <w:vAlign w:val="bottom"/>
            <w:gridSpan w:val="5"/>
          </w:tcPr>
          <w:p>
            <w:pPr>
              <w:jc w:val="center"/>
              <w:ind w:right="4780"/>
              <w:spacing w:after="0"/>
              <w:rPr>
                <w:sz w:val="20"/>
                <w:szCs w:val="20"/>
                <w:color w:val="auto"/>
              </w:rPr>
            </w:pPr>
            <w:r>
              <w:rPr>
                <w:rFonts w:ascii="Arial" w:cs="Arial" w:eastAsia="Arial" w:hAnsi="Arial"/>
                <w:sz w:val="18"/>
                <w:szCs w:val="18"/>
                <w:color w:val="auto"/>
                <w:w w:val="93"/>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00" w:type="dxa"/>
            <w:vAlign w:val="bottom"/>
            <w:gridSpan w:val="7"/>
          </w:tcPr>
          <w:p>
            <w:pPr>
              <w:jc w:val="center"/>
              <w:ind w:right="3580"/>
              <w:spacing w:after="0"/>
              <w:rPr>
                <w:sz w:val="20"/>
                <w:szCs w:val="20"/>
                <w:color w:val="auto"/>
              </w:rPr>
            </w:pPr>
            <w:r>
              <w:rPr>
                <w:rFonts w:ascii="Arial" w:cs="Arial" w:eastAsia="Arial" w:hAnsi="Arial"/>
                <w:sz w:val="18"/>
                <w:szCs w:val="18"/>
                <w:color w:val="auto"/>
                <w:w w:val="89"/>
              </w:rPr>
              <w:t>For the Quarterly Period Ended June 30, 2020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60" w:type="dxa"/>
            <w:vAlign w:val="bottom"/>
            <w:gridSpan w:val="5"/>
          </w:tcPr>
          <w:p>
            <w:pPr>
              <w:spacing w:after="0"/>
              <w:rPr>
                <w:sz w:val="20"/>
                <w:szCs w:val="20"/>
                <w:color w:val="auto"/>
              </w:rPr>
            </w:pPr>
            <w:r>
              <w:rPr>
                <w:rFonts w:ascii="Arial" w:cs="Arial" w:eastAsia="Arial" w:hAnsi="Arial"/>
                <w:sz w:val="18"/>
                <w:szCs w:val="18"/>
                <w:color w:val="auto"/>
                <w:w w:val="95"/>
              </w:rPr>
              <w:t>Table of Contents of Information Required in Report</w:t>
            </w:r>
          </w:p>
        </w:tc>
        <w:tc>
          <w:tcPr>
            <w:tcW w:w="3320" w:type="dxa"/>
            <w:vAlign w:val="bottom"/>
            <w:tcBorders>
              <w:top w:val="single" w:sz="8" w:color="auto"/>
            </w:tcBorders>
            <w:gridSpan w:val="5"/>
          </w:tcPr>
          <w:p>
            <w:pPr>
              <w:spacing w:after="0"/>
              <w:rPr>
                <w:sz w:val="24"/>
                <w:szCs w:val="24"/>
                <w:color w:val="auto"/>
              </w:rPr>
            </w:pPr>
          </w:p>
        </w:tc>
        <w:tc>
          <w:tcPr>
            <w:tcW w:w="3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3800" w:type="dxa"/>
            <w:vAlign w:val="bottom"/>
            <w:tcBorders>
              <w:top w:val="single" w:sz="8" w:color="auto"/>
              <w:bottom w:val="single" w:sz="8" w:color="auto"/>
            </w:tcBorders>
            <w:gridSpan w:val="4"/>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7060" w:type="dxa"/>
            <w:vAlign w:val="bottom"/>
            <w:gridSpan w:val="8"/>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3800" w:type="dxa"/>
            <w:vAlign w:val="bottom"/>
            <w:gridSpan w:val="4"/>
            <w:vMerge w:val="continue"/>
          </w:tcPr>
          <w:p>
            <w:pPr>
              <w:spacing w:after="0"/>
              <w:rPr>
                <w:sz w:val="24"/>
                <w:szCs w:val="24"/>
                <w:color w:val="auto"/>
              </w:rPr>
            </w:pPr>
          </w:p>
        </w:tc>
        <w:tc>
          <w:tcPr>
            <w:tcW w:w="7060" w:type="dxa"/>
            <w:vAlign w:val="bottom"/>
            <w:gridSpan w:val="8"/>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 – June 30, 2020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 OF INCOME – Three and six months ended June 30,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CONSOLIDATED STATEMENT OF COMPREHENSIVE INCOME – Three and six months ended June 30,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 OF CASH FLOWS – Six months ended June 30, 2020 and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CHANGES IN SHAREHOLDERS' EQUITY – Three and six months ended June 30, 2020</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1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2019</w:t>
              </w:r>
            </w:hyperlink>
          </w:p>
        </w:tc>
        <w:tc>
          <w:tcPr>
            <w:tcW w:w="2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7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Pr>
          <w:p>
            <w:pPr>
              <w:spacing w:after="0"/>
              <w:rPr>
                <w:sz w:val="24"/>
                <w:szCs w:val="24"/>
                <w:color w:val="auto"/>
              </w:rPr>
            </w:pPr>
          </w:p>
        </w:tc>
        <w:tc>
          <w:tcPr>
            <w:tcW w:w="9580" w:type="dxa"/>
            <w:vAlign w:val="bottom"/>
            <w:gridSpan w:val="11"/>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11"/>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3.</w:t>
            </w:r>
          </w:p>
        </w:tc>
        <w:tc>
          <w:tcPr>
            <w:tcW w:w="9580" w:type="dxa"/>
            <w:vAlign w:val="bottom"/>
            <w:gridSpan w:val="11"/>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4.</w:t>
            </w:r>
          </w:p>
        </w:tc>
        <w:tc>
          <w:tcPr>
            <w:tcW w:w="9580" w:type="dxa"/>
            <w:vAlign w:val="bottom"/>
            <w:gridSpan w:val="11"/>
          </w:tcPr>
          <w:p>
            <w:pPr>
              <w:spacing w:after="0"/>
              <w:rPr>
                <w:rFonts w:ascii="Arial" w:cs="Arial" w:eastAsia="Arial" w:hAnsi="Arial"/>
                <w:sz w:val="18"/>
                <w:szCs w:val="18"/>
                <w:color w:val="0000EE"/>
              </w:rPr>
            </w:pPr>
            <w:hyperlink w:anchor="page91">
              <w:r>
                <w:rPr>
                  <w:rFonts w:ascii="Arial" w:cs="Arial" w:eastAsia="Arial" w:hAnsi="Arial"/>
                  <w:sz w:val="18"/>
                  <w:szCs w:val="18"/>
                  <w:u w:val="single" w:color="auto"/>
                  <w:color w:val="0000EE"/>
                </w:rPr>
                <w:t>Controls and Procedures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38"/>
        </w:trPr>
        <w:tc>
          <w:tcPr>
            <w:tcW w:w="10860" w:type="dxa"/>
            <w:vAlign w:val="bottom"/>
            <w:gridSpan w:val="12"/>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Part II. 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1.</w:t>
            </w:r>
          </w:p>
        </w:tc>
        <w:tc>
          <w:tcPr>
            <w:tcW w:w="9580" w:type="dxa"/>
            <w:vAlign w:val="bottom"/>
            <w:gridSpan w:val="11"/>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1A.</w:t>
            </w:r>
          </w:p>
        </w:tc>
        <w:tc>
          <w:tcPr>
            <w:tcW w:w="9580" w:type="dxa"/>
            <w:vAlign w:val="bottom"/>
            <w:gridSpan w:val="11"/>
          </w:tcPr>
          <w:p>
            <w:pPr>
              <w:spacing w:after="0"/>
              <w:rPr>
                <w:rFonts w:ascii="Arial" w:cs="Arial" w:eastAsia="Arial" w:hAnsi="Arial"/>
                <w:sz w:val="18"/>
                <w:szCs w:val="18"/>
                <w:color w:val="0000EE"/>
              </w:rPr>
            </w:pPr>
            <w:hyperlink w:anchor="page92">
              <w:r>
                <w:rPr>
                  <w:rFonts w:ascii="Arial" w:cs="Arial" w:eastAsia="Arial" w:hAnsi="Arial"/>
                  <w:sz w:val="18"/>
                  <w:szCs w:val="18"/>
                  <w:u w:val="single" w:color="auto"/>
                  <w:color w:val="0000EE"/>
                </w:rPr>
                <w:t>Risk Factors</w:t>
              </w:r>
            </w:hyperlink>
            <w:r>
              <w:rPr>
                <w:rFonts w:ascii="Arial" w:cs="Arial" w:eastAsia="Arial" w:hAnsi="Arial"/>
                <w:sz w:val="18"/>
                <w:szCs w:val="18"/>
                <w:color w:val="000000"/>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2.</w:t>
            </w:r>
          </w:p>
        </w:tc>
        <w:tc>
          <w:tcPr>
            <w:tcW w:w="9580" w:type="dxa"/>
            <w:vAlign w:val="bottom"/>
            <w:gridSpan w:val="11"/>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3.</w:t>
            </w:r>
          </w:p>
        </w:tc>
        <w:tc>
          <w:tcPr>
            <w:tcW w:w="9580" w:type="dxa"/>
            <w:vAlign w:val="bottom"/>
            <w:gridSpan w:val="11"/>
          </w:tcPr>
          <w:p>
            <w:pPr>
              <w:spacing w:after="0"/>
              <w:rPr>
                <w:rFonts w:ascii="Arial" w:cs="Arial" w:eastAsia="Arial" w:hAnsi="Arial"/>
                <w:sz w:val="18"/>
                <w:szCs w:val="18"/>
                <w:color w:val="0000EE"/>
              </w:rPr>
            </w:pPr>
            <w:hyperlink w:anchor="page94">
              <w:r>
                <w:rPr>
                  <w:rFonts w:ascii="Arial" w:cs="Arial" w:eastAsia="Arial" w:hAnsi="Arial"/>
                  <w:sz w:val="18"/>
                  <w:szCs w:val="18"/>
                  <w:u w:val="single" w:color="auto"/>
                  <w:color w:val="0000EE"/>
                </w:rPr>
                <w:t>Defaults Upon Senior Securities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4.</w:t>
            </w:r>
          </w:p>
        </w:tc>
        <w:tc>
          <w:tcPr>
            <w:tcW w:w="9580" w:type="dxa"/>
            <w:vAlign w:val="bottom"/>
            <w:gridSpan w:val="11"/>
          </w:tcPr>
          <w:p>
            <w:pPr>
              <w:spacing w:after="0"/>
              <w:rPr>
                <w:rFonts w:ascii="Arial" w:cs="Arial" w:eastAsia="Arial" w:hAnsi="Arial"/>
                <w:sz w:val="18"/>
                <w:szCs w:val="18"/>
                <w:color w:val="0000EE"/>
              </w:rPr>
            </w:pPr>
            <w:hyperlink w:anchor="page94">
              <w:r>
                <w:rPr>
                  <w:rFonts w:ascii="Arial" w:cs="Arial" w:eastAsia="Arial" w:hAnsi="Arial"/>
                  <w:sz w:val="18"/>
                  <w:szCs w:val="18"/>
                  <w:u w:val="single" w:color="auto"/>
                  <w:color w:val="0000EE"/>
                </w:rPr>
                <w:t>Mine Safety Disclosures</w:t>
              </w:r>
              <w:r>
                <w:rPr>
                  <w:rFonts w:ascii="Arial" w:cs="Arial" w:eastAsia="Arial" w:hAnsi="Arial"/>
                  <w:sz w:val="18"/>
                  <w:szCs w:val="18"/>
                  <w:color w:val="0000EE"/>
                </w:rPr>
                <w:t>.</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5.</w:t>
            </w:r>
          </w:p>
        </w:tc>
        <w:tc>
          <w:tcPr>
            <w:tcW w:w="9580" w:type="dxa"/>
            <w:vAlign w:val="bottom"/>
            <w:gridSpan w:val="11"/>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8"/>
        </w:trPr>
        <w:tc>
          <w:tcPr>
            <w:tcW w:w="1280" w:type="dxa"/>
            <w:vAlign w:val="bottom"/>
          </w:tcPr>
          <w:p>
            <w:pPr>
              <w:ind w:left="220"/>
              <w:spacing w:after="0"/>
              <w:rPr>
                <w:sz w:val="20"/>
                <w:szCs w:val="20"/>
                <w:color w:val="auto"/>
              </w:rPr>
            </w:pPr>
            <w:r>
              <w:rPr>
                <w:rFonts w:ascii="Arial" w:cs="Arial" w:eastAsia="Arial" w:hAnsi="Arial"/>
                <w:sz w:val="18"/>
                <w:szCs w:val="18"/>
                <w:color w:val="auto"/>
              </w:rPr>
              <w:t>Item 6.</w:t>
            </w:r>
          </w:p>
        </w:tc>
        <w:tc>
          <w:tcPr>
            <w:tcW w:w="9580" w:type="dxa"/>
            <w:vAlign w:val="bottom"/>
            <w:gridSpan w:val="11"/>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38"/>
        </w:trPr>
        <w:tc>
          <w:tcPr>
            <w:tcW w:w="1280" w:type="dxa"/>
            <w:vAlign w:val="bottom"/>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SIGNATURES</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769"/>
        </w:trPr>
        <w:tc>
          <w:tcPr>
            <w:tcW w:w="1280" w:type="dxa"/>
            <w:vAlign w:val="bottom"/>
          </w:tcPr>
          <w:p>
            <w:pPr>
              <w:spacing w:after="0"/>
              <w:rPr>
                <w:sz w:val="24"/>
                <w:szCs w:val="24"/>
                <w:color w:val="auto"/>
              </w:rPr>
            </w:pPr>
          </w:p>
        </w:tc>
        <w:tc>
          <w:tcPr>
            <w:tcW w:w="4800" w:type="dxa"/>
            <w:vAlign w:val="bottom"/>
            <w:gridSpan w:val="7"/>
          </w:tcPr>
          <w:p>
            <w:pPr>
              <w:jc w:val="center"/>
              <w:ind w:left="3810"/>
              <w:spacing w:after="0"/>
              <w:rPr>
                <w:sz w:val="20"/>
                <w:szCs w:val="20"/>
                <w:color w:val="auto"/>
              </w:rPr>
            </w:pPr>
            <w:r>
              <w:rPr>
                <w:rFonts w:ascii="Arial" w:cs="Arial" w:eastAsia="Arial" w:hAnsi="Arial"/>
                <w:sz w:val="18"/>
                <w:szCs w:val="18"/>
                <w:color w:val="auto"/>
                <w:w w:val="93"/>
              </w:rPr>
              <w:t>- 2 -</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7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1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Cash and due from banks</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1,354,815</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1,432,805</w:t>
            </w:r>
          </w:p>
        </w:tc>
        <w:tc>
          <w:tcPr>
            <w:tcW w:w="120" w:type="dxa"/>
            <w:vAlign w:val="bottom"/>
          </w:tcPr>
          <w:p>
            <w:pPr>
              <w:spacing w:after="0"/>
              <w:rPr>
                <w:sz w:val="15"/>
                <w:szCs w:val="15"/>
                <w:color w:val="auto"/>
              </w:rPr>
            </w:pPr>
          </w:p>
        </w:tc>
      </w:tr>
      <w:tr>
        <w:trPr>
          <w:trHeight w:val="176"/>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Interest-bearing deposits at banks</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20,888,341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7,190,154</w:t>
            </w:r>
          </w:p>
        </w:tc>
        <w:tc>
          <w:tcPr>
            <w:tcW w:w="120" w:type="dxa"/>
            <w:vAlign w:val="bottom"/>
            <w:shd w:val="clear" w:color="auto" w:fill="CFF0FC"/>
          </w:tcPr>
          <w:p>
            <w:pPr>
              <w:spacing w:after="0"/>
              <w:rPr>
                <w:sz w:val="15"/>
                <w:szCs w:val="15"/>
                <w:color w:val="auto"/>
              </w:rPr>
            </w:pPr>
          </w:p>
        </w:tc>
      </w:tr>
      <w:tr>
        <w:trPr>
          <w:trHeight w:val="176"/>
        </w:trPr>
        <w:tc>
          <w:tcPr>
            <w:tcW w:w="6760" w:type="dxa"/>
            <w:vAlign w:val="bottom"/>
          </w:tcPr>
          <w:p>
            <w:pPr>
              <w:spacing w:after="0"/>
              <w:rPr>
                <w:sz w:val="20"/>
                <w:szCs w:val="20"/>
                <w:color w:val="auto"/>
              </w:rPr>
            </w:pPr>
            <w:r>
              <w:rPr>
                <w:rFonts w:ascii="Arial" w:cs="Arial" w:eastAsia="Arial" w:hAnsi="Arial"/>
                <w:sz w:val="15"/>
                <w:szCs w:val="15"/>
                <w:color w:val="auto"/>
              </w:rPr>
              <w:t>Federal funds sold</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3,500</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Trading account</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1,293,534</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470,129</w:t>
            </w:r>
          </w:p>
        </w:tc>
        <w:tc>
          <w:tcPr>
            <w:tcW w:w="120" w:type="dxa"/>
            <w:vAlign w:val="bottom"/>
            <w:shd w:val="clear" w:color="auto" w:fill="CFF0FC"/>
          </w:tcPr>
          <w:p>
            <w:pPr>
              <w:spacing w:after="0"/>
              <w:rPr>
                <w:sz w:val="15"/>
                <w:szCs w:val="15"/>
                <w:color w:val="auto"/>
              </w:rPr>
            </w:pPr>
          </w:p>
        </w:tc>
      </w:tr>
      <w:tr>
        <w:trPr>
          <w:trHeight w:val="162"/>
        </w:trPr>
        <w:tc>
          <w:tcPr>
            <w:tcW w:w="6760" w:type="dxa"/>
            <w:vAlign w:val="bottom"/>
          </w:tcPr>
          <w:p>
            <w:pPr>
              <w:spacing w:after="0" w:line="162" w:lineRule="exact"/>
              <w:rPr>
                <w:sz w:val="20"/>
                <w:szCs w:val="20"/>
                <w:color w:val="auto"/>
              </w:rPr>
            </w:pPr>
            <w:r>
              <w:rPr>
                <w:rFonts w:ascii="Arial" w:cs="Arial" w:eastAsia="Arial" w:hAnsi="Arial"/>
                <w:sz w:val="15"/>
                <w:szCs w:val="15"/>
                <w:color w:val="auto"/>
              </w:rPr>
              <w:t>Investment securities (includes pledged securities that can be sold or repledged of</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760" w:type="dxa"/>
            <w:vAlign w:val="bottom"/>
          </w:tcPr>
          <w:p>
            <w:pPr>
              <w:ind w:left="120"/>
              <w:spacing w:after="0"/>
              <w:rPr>
                <w:sz w:val="20"/>
                <w:szCs w:val="20"/>
                <w:color w:val="auto"/>
              </w:rPr>
            </w:pPr>
            <w:r>
              <w:rPr>
                <w:rFonts w:ascii="Arial" w:cs="Arial" w:eastAsia="Arial" w:hAnsi="Arial"/>
                <w:sz w:val="15"/>
                <w:szCs w:val="15"/>
                <w:color w:val="auto"/>
              </w:rPr>
              <w:t>$198,375 at June 30, 2020; $200,339 at December 31, 2019)</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6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Available for sale (cost: $5,583,688 at June 30, 2020;</w:t>
            </w: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$6,258,276 at December 31, 2019)</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5,821,274</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6,318,776</w:t>
            </w:r>
          </w:p>
        </w:tc>
        <w:tc>
          <w:tcPr>
            <w:tcW w:w="120" w:type="dxa"/>
            <w:vAlign w:val="bottom"/>
            <w:shd w:val="clear" w:color="auto" w:fill="CFF0FC"/>
          </w:tcPr>
          <w:p>
            <w:pPr>
              <w:spacing w:after="0"/>
              <w:rPr>
                <w:sz w:val="15"/>
                <w:szCs w:val="15"/>
                <w:color w:val="auto"/>
              </w:rPr>
            </w:pPr>
          </w:p>
        </w:tc>
      </w:tr>
      <w:tr>
        <w:trPr>
          <w:trHeight w:val="162"/>
        </w:trPr>
        <w:tc>
          <w:tcPr>
            <w:tcW w:w="6760" w:type="dxa"/>
            <w:vAlign w:val="bottom"/>
          </w:tcPr>
          <w:p>
            <w:pPr>
              <w:ind w:left="260"/>
              <w:spacing w:after="0" w:line="162" w:lineRule="exact"/>
              <w:rPr>
                <w:sz w:val="20"/>
                <w:szCs w:val="20"/>
                <w:color w:val="auto"/>
              </w:rPr>
            </w:pPr>
            <w:r>
              <w:rPr>
                <w:rFonts w:ascii="Arial" w:cs="Arial" w:eastAsia="Arial" w:hAnsi="Arial"/>
                <w:sz w:val="15"/>
                <w:szCs w:val="15"/>
                <w:color w:val="auto"/>
              </w:rPr>
              <w:t>Held to maturity (fair value: $2,266,087 at June 30, 2020;</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760" w:type="dxa"/>
            <w:vAlign w:val="bottom"/>
          </w:tcPr>
          <w:p>
            <w:pPr>
              <w:ind w:left="360"/>
              <w:spacing w:after="0"/>
              <w:rPr>
                <w:sz w:val="20"/>
                <w:szCs w:val="20"/>
                <w:color w:val="auto"/>
              </w:rPr>
            </w:pPr>
            <w:r>
              <w:rPr>
                <w:rFonts w:ascii="Arial" w:cs="Arial" w:eastAsia="Arial" w:hAnsi="Arial"/>
                <w:sz w:val="15"/>
                <w:szCs w:val="15"/>
                <w:color w:val="auto"/>
              </w:rPr>
              <w:t>$2,699,206 at December 31, 2019)</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2,158,982</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2,656,917</w:t>
            </w:r>
          </w:p>
        </w:tc>
        <w:tc>
          <w:tcPr>
            <w:tcW w:w="120" w:type="dxa"/>
            <w:vAlign w:val="bottom"/>
          </w:tcPr>
          <w:p>
            <w:pPr>
              <w:spacing w:after="0"/>
              <w:rPr>
                <w:sz w:val="15"/>
                <w:szCs w:val="15"/>
                <w:color w:val="auto"/>
              </w:rPr>
            </w:pPr>
          </w:p>
        </w:tc>
      </w:tr>
      <w:tr>
        <w:trPr>
          <w:trHeight w:val="162"/>
        </w:trPr>
        <w:tc>
          <w:tcPr>
            <w:tcW w:w="6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Equity and other securities (cost: $453,384 at June 30, 2020;</w:t>
            </w: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$487,041 at December 31, 2019)</w:t>
            </w:r>
          </w:p>
        </w:tc>
        <w:tc>
          <w:tcPr>
            <w:tcW w:w="11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474,088</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521,558</w:t>
            </w:r>
          </w:p>
        </w:tc>
        <w:tc>
          <w:tcPr>
            <w:tcW w:w="120" w:type="dxa"/>
            <w:vAlign w:val="bottom"/>
            <w:shd w:val="clear" w:color="auto" w:fill="CFF0FC"/>
          </w:tcPr>
          <w:p>
            <w:pPr>
              <w:spacing w:after="0"/>
              <w:rPr>
                <w:sz w:val="15"/>
                <w:szCs w:val="15"/>
                <w:color w:val="auto"/>
              </w:rPr>
            </w:pPr>
          </w:p>
        </w:tc>
      </w:tr>
      <w:tr>
        <w:trPr>
          <w:trHeight w:val="169"/>
        </w:trPr>
        <w:tc>
          <w:tcPr>
            <w:tcW w:w="67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securities</w:t>
            </w:r>
          </w:p>
        </w:tc>
        <w:tc>
          <w:tcPr>
            <w:tcW w:w="1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8,454,344</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9,497,251</w:t>
            </w:r>
          </w:p>
        </w:tc>
        <w:tc>
          <w:tcPr>
            <w:tcW w:w="120" w:type="dxa"/>
            <w:vAlign w:val="bottom"/>
            <w:tcBorders>
              <w:bottom w:val="single" w:sz="8" w:color="CFF0FC"/>
            </w:tcBorders>
          </w:tcPr>
          <w:p>
            <w:pPr>
              <w:spacing w:after="0"/>
              <w:rPr>
                <w:sz w:val="14"/>
                <w:szCs w:val="14"/>
                <w:color w:val="auto"/>
              </w:rPr>
            </w:pPr>
          </w:p>
        </w:tc>
      </w:tr>
      <w:tr>
        <w:trPr>
          <w:trHeight w:val="169"/>
        </w:trPr>
        <w:tc>
          <w:tcPr>
            <w:tcW w:w="6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Loans and leases</w:t>
            </w: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98,197,650</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91,188,525</w:t>
            </w:r>
          </w:p>
        </w:tc>
        <w:tc>
          <w:tcPr>
            <w:tcW w:w="120" w:type="dxa"/>
            <w:vAlign w:val="bottom"/>
            <w:shd w:val="clear" w:color="auto" w:fill="CFF0FC"/>
          </w:tcPr>
          <w:p>
            <w:pPr>
              <w:spacing w:after="0"/>
              <w:rPr>
                <w:sz w:val="14"/>
                <w:szCs w:val="14"/>
                <w:color w:val="auto"/>
              </w:rPr>
            </w:pPr>
          </w:p>
        </w:tc>
      </w:tr>
      <w:tr>
        <w:trPr>
          <w:trHeight w:val="175"/>
        </w:trPr>
        <w:tc>
          <w:tcPr>
            <w:tcW w:w="6760" w:type="dxa"/>
            <w:vAlign w:val="bottom"/>
          </w:tcPr>
          <w:p>
            <w:pPr>
              <w:ind w:left="260"/>
              <w:spacing w:after="0"/>
              <w:rPr>
                <w:sz w:val="20"/>
                <w:szCs w:val="20"/>
                <w:color w:val="auto"/>
              </w:rPr>
            </w:pPr>
            <w:r>
              <w:rPr>
                <w:rFonts w:ascii="Arial" w:cs="Arial" w:eastAsia="Arial" w:hAnsi="Arial"/>
                <w:sz w:val="15"/>
                <w:szCs w:val="15"/>
                <w:color w:val="auto"/>
              </w:rPr>
              <w:t>Unearned discount</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5"/>
                <w:szCs w:val="15"/>
                <w:color w:val="auto"/>
              </w:rPr>
              <w:t>(440,102)</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(265,656)</w:t>
            </w:r>
          </w:p>
        </w:tc>
      </w:tr>
      <w:tr>
        <w:trPr>
          <w:trHeight w:val="169"/>
        </w:trPr>
        <w:tc>
          <w:tcPr>
            <w:tcW w:w="676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 of unearned discount</w:t>
            </w:r>
          </w:p>
        </w:tc>
        <w:tc>
          <w:tcPr>
            <w:tcW w:w="11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97,757,548</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90,922,869</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6760" w:type="dxa"/>
            <w:vAlign w:val="bottom"/>
          </w:tcPr>
          <w:p>
            <w:pPr>
              <w:ind w:left="260"/>
              <w:spacing w:after="0"/>
              <w:rPr>
                <w:sz w:val="20"/>
                <w:szCs w:val="20"/>
                <w:color w:val="auto"/>
              </w:rPr>
            </w:pPr>
            <w:r>
              <w:rPr>
                <w:rFonts w:ascii="Arial" w:cs="Arial" w:eastAsia="Arial" w:hAnsi="Arial"/>
                <w:sz w:val="15"/>
                <w:szCs w:val="15"/>
                <w:color w:val="auto"/>
              </w:rPr>
              <w:t>Allowance for credit losses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5"/>
                <w:szCs w:val="15"/>
                <w:color w:val="auto"/>
              </w:rPr>
              <w:t>(1,638,236)</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(1,051,071)</w:t>
            </w:r>
          </w:p>
        </w:tc>
      </w:tr>
      <w:tr>
        <w:trPr>
          <w:trHeight w:val="169"/>
        </w:trPr>
        <w:tc>
          <w:tcPr>
            <w:tcW w:w="6760" w:type="dxa"/>
            <w:vAlign w:val="bottom"/>
            <w:tcBorders>
              <w:top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Loans and leases, net</w:t>
            </w:r>
          </w:p>
        </w:tc>
        <w:tc>
          <w:tcPr>
            <w:tcW w:w="11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96,119,312</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89,871,798</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760" w:type="dxa"/>
            <w:vAlign w:val="bottom"/>
          </w:tcPr>
          <w:p>
            <w:pPr>
              <w:spacing w:after="0" w:line="169" w:lineRule="exact"/>
              <w:rPr>
                <w:sz w:val="20"/>
                <w:szCs w:val="20"/>
                <w:color w:val="auto"/>
              </w:rPr>
            </w:pPr>
            <w:r>
              <w:rPr>
                <w:rFonts w:ascii="Arial" w:cs="Arial" w:eastAsia="Arial" w:hAnsi="Arial"/>
                <w:sz w:val="15"/>
                <w:szCs w:val="15"/>
                <w:color w:val="auto"/>
              </w:rPr>
              <w:t>Premises and equipment</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1,155,281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1,140,924</w:t>
            </w:r>
          </w:p>
        </w:tc>
        <w:tc>
          <w:tcPr>
            <w:tcW w:w="120" w:type="dxa"/>
            <w:vAlign w:val="bottom"/>
          </w:tcPr>
          <w:p>
            <w:pPr>
              <w:spacing w:after="0"/>
              <w:rPr>
                <w:sz w:val="14"/>
                <w:szCs w:val="14"/>
                <w:color w:val="auto"/>
              </w:rPr>
            </w:pPr>
          </w:p>
        </w:tc>
      </w:tr>
      <w:tr>
        <w:trPr>
          <w:trHeight w:val="176"/>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4,593,112</w:t>
            </w:r>
          </w:p>
        </w:tc>
        <w:tc>
          <w:tcPr>
            <w:tcW w:w="120" w:type="dxa"/>
            <w:vAlign w:val="bottom"/>
            <w:shd w:val="clear" w:color="auto" w:fill="CFF0FC"/>
          </w:tcPr>
          <w:p>
            <w:pPr>
              <w:spacing w:after="0"/>
              <w:rPr>
                <w:sz w:val="15"/>
                <w:szCs w:val="15"/>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Core deposit and other intangible assets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21,208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29,034</w:t>
            </w:r>
          </w:p>
        </w:tc>
        <w:tc>
          <w:tcPr>
            <w:tcW w:w="120" w:type="dxa"/>
            <w:vAlign w:val="bottom"/>
          </w:tcPr>
          <w:p>
            <w:pPr>
              <w:spacing w:after="0"/>
              <w:rPr>
                <w:sz w:val="15"/>
                <w:szCs w:val="15"/>
                <w:color w:val="auto"/>
              </w:rPr>
            </w:pPr>
          </w:p>
        </w:tc>
      </w:tr>
      <w:tr>
        <w:trPr>
          <w:trHeight w:val="176"/>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Accrued interest and other assets</w:t>
            </w:r>
          </w:p>
        </w:tc>
        <w:tc>
          <w:tcPr>
            <w:tcW w:w="11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5,657,022</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5,644,050</w:t>
            </w:r>
          </w:p>
        </w:tc>
        <w:tc>
          <w:tcPr>
            <w:tcW w:w="120" w:type="dxa"/>
            <w:vAlign w:val="bottom"/>
            <w:shd w:val="clear" w:color="auto" w:fill="CFF0FC"/>
          </w:tcPr>
          <w:p>
            <w:pPr>
              <w:spacing w:after="0"/>
              <w:rPr>
                <w:sz w:val="15"/>
                <w:szCs w:val="15"/>
                <w:color w:val="auto"/>
              </w:rPr>
            </w:pPr>
          </w:p>
        </w:tc>
      </w:tr>
      <w:tr>
        <w:trPr>
          <w:trHeight w:val="209"/>
        </w:trPr>
        <w:tc>
          <w:tcPr>
            <w:tcW w:w="6760" w:type="dxa"/>
            <w:vAlign w:val="bottom"/>
          </w:tcPr>
          <w:p>
            <w:pPr>
              <w:ind w:left="500"/>
              <w:spacing w:after="0" w:line="169" w:lineRule="exact"/>
              <w:rPr>
                <w:sz w:val="20"/>
                <w:szCs w:val="20"/>
                <w:color w:val="auto"/>
              </w:rPr>
            </w:pPr>
            <w:r>
              <w:rPr>
                <w:rFonts w:ascii="Arial" w:cs="Arial" w:eastAsia="Arial" w:hAnsi="Arial"/>
                <w:sz w:val="15"/>
                <w:szCs w:val="15"/>
                <w:color w:val="auto"/>
              </w:rPr>
              <w:t>Total assets</w:t>
            </w:r>
          </w:p>
        </w:tc>
        <w:tc>
          <w:tcPr>
            <w:tcW w:w="14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139,536,969</w:t>
            </w:r>
          </w:p>
        </w:tc>
        <w:tc>
          <w:tcPr>
            <w:tcW w:w="440" w:type="dxa"/>
            <w:vAlign w:val="bottom"/>
          </w:tcPr>
          <w:p>
            <w:pPr>
              <w:spacing w:after="0"/>
              <w:rPr>
                <w:sz w:val="18"/>
                <w:szCs w:val="18"/>
                <w:color w:val="auto"/>
              </w:rPr>
            </w:pP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119,872,757</w:t>
            </w:r>
          </w:p>
        </w:tc>
        <w:tc>
          <w:tcPr>
            <w:tcW w:w="120" w:type="dxa"/>
            <w:vAlign w:val="bottom"/>
          </w:tcPr>
          <w:p>
            <w:pPr>
              <w:spacing w:after="0"/>
              <w:rPr>
                <w:sz w:val="18"/>
                <w:szCs w:val="18"/>
                <w:color w:val="auto"/>
              </w:rPr>
            </w:pPr>
          </w:p>
        </w:tc>
      </w:tr>
      <w:tr>
        <w:trPr>
          <w:trHeight w:val="196"/>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Noninterest-bearing deposits</w:t>
            </w:r>
          </w:p>
        </w:tc>
        <w:tc>
          <w:tcPr>
            <w:tcW w:w="1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45,397,843</w:t>
            </w:r>
          </w:p>
        </w:tc>
        <w:tc>
          <w:tcPr>
            <w:tcW w:w="44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32,396,407</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Savings and interest-checking deposits</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63,623,406</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54,932,162</w:t>
            </w:r>
          </w:p>
        </w:tc>
        <w:tc>
          <w:tcPr>
            <w:tcW w:w="120" w:type="dxa"/>
            <w:vAlign w:val="bottom"/>
            <w:shd w:val="clear" w:color="auto" w:fill="CFF0FC"/>
          </w:tcPr>
          <w:p>
            <w:pPr>
              <w:spacing w:after="0"/>
              <w:rPr>
                <w:sz w:val="15"/>
                <w:szCs w:val="15"/>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Time deposits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5,078,426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5,757,456</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Deposits at Cayman Islands office</w:t>
            </w:r>
          </w:p>
        </w:tc>
        <w:tc>
          <w:tcPr>
            <w:tcW w:w="11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868,284</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1,684,044</w:t>
            </w:r>
          </w:p>
        </w:tc>
        <w:tc>
          <w:tcPr>
            <w:tcW w:w="120" w:type="dxa"/>
            <w:vAlign w:val="bottom"/>
            <w:shd w:val="clear" w:color="auto" w:fill="CFF0FC"/>
          </w:tcPr>
          <w:p>
            <w:pPr>
              <w:spacing w:after="0"/>
              <w:rPr>
                <w:sz w:val="15"/>
                <w:szCs w:val="15"/>
                <w:color w:val="auto"/>
              </w:rPr>
            </w:pPr>
          </w:p>
        </w:tc>
      </w:tr>
      <w:tr>
        <w:trPr>
          <w:trHeight w:val="169"/>
        </w:trPr>
        <w:tc>
          <w:tcPr>
            <w:tcW w:w="67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deposits</w:t>
            </w:r>
          </w:p>
        </w:tc>
        <w:tc>
          <w:tcPr>
            <w:tcW w:w="1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114,967,959</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94,770,069</w:t>
            </w:r>
          </w:p>
        </w:tc>
        <w:tc>
          <w:tcPr>
            <w:tcW w:w="120" w:type="dxa"/>
            <w:vAlign w:val="bottom"/>
            <w:tcBorders>
              <w:bottom w:val="single" w:sz="8" w:color="CFF0FC"/>
            </w:tcBorders>
          </w:tcPr>
          <w:p>
            <w:pPr>
              <w:spacing w:after="0"/>
              <w:rPr>
                <w:sz w:val="14"/>
                <w:szCs w:val="14"/>
                <w:color w:val="auto"/>
              </w:rPr>
            </w:pPr>
          </w:p>
        </w:tc>
      </w:tr>
      <w:tr>
        <w:trPr>
          <w:trHeight w:val="169"/>
        </w:trPr>
        <w:tc>
          <w:tcPr>
            <w:tcW w:w="6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Short-term borrowings</w:t>
            </w: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52,298</w:t>
            </w: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62,363</w:t>
            </w:r>
          </w:p>
        </w:tc>
        <w:tc>
          <w:tcPr>
            <w:tcW w:w="120" w:type="dxa"/>
            <w:vAlign w:val="bottom"/>
            <w:shd w:val="clear" w:color="auto" w:fill="CFF0FC"/>
          </w:tcPr>
          <w:p>
            <w:pPr>
              <w:spacing w:after="0"/>
              <w:rPr>
                <w:sz w:val="14"/>
                <w:szCs w:val="14"/>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Accrued interest and other liabilities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2,250,316</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2,337,490</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Long-term borrowings</w:t>
            </w:r>
          </w:p>
        </w:tc>
        <w:tc>
          <w:tcPr>
            <w:tcW w:w="11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6,321,291</w:t>
            </w:r>
          </w:p>
        </w:tc>
        <w:tc>
          <w:tcPr>
            <w:tcW w:w="44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6,986,186</w:t>
            </w:r>
          </w:p>
        </w:tc>
        <w:tc>
          <w:tcPr>
            <w:tcW w:w="120" w:type="dxa"/>
            <w:vAlign w:val="bottom"/>
            <w:shd w:val="clear" w:color="auto" w:fill="CFF0FC"/>
          </w:tcPr>
          <w:p>
            <w:pPr>
              <w:spacing w:after="0"/>
              <w:rPr>
                <w:sz w:val="15"/>
                <w:szCs w:val="15"/>
                <w:color w:val="auto"/>
              </w:rPr>
            </w:pPr>
          </w:p>
        </w:tc>
      </w:tr>
      <w:tr>
        <w:trPr>
          <w:trHeight w:val="169"/>
        </w:trPr>
        <w:tc>
          <w:tcPr>
            <w:tcW w:w="67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1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123,591,864</w:t>
            </w:r>
          </w:p>
        </w:tc>
        <w:tc>
          <w:tcPr>
            <w:tcW w:w="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104,156,108</w:t>
            </w:r>
          </w:p>
        </w:tc>
        <w:tc>
          <w:tcPr>
            <w:tcW w:w="120" w:type="dxa"/>
            <w:vAlign w:val="bottom"/>
            <w:tcBorders>
              <w:bottom w:val="single" w:sz="8" w:color="CFF0FC"/>
            </w:tcBorders>
          </w:tcPr>
          <w:p>
            <w:pPr>
              <w:spacing w:after="0"/>
              <w:rPr>
                <w:sz w:val="14"/>
                <w:szCs w:val="14"/>
                <w:color w:val="auto"/>
              </w:rPr>
            </w:pPr>
          </w:p>
        </w:tc>
      </w:tr>
      <w:tr>
        <w:trPr>
          <w:trHeight w:val="209"/>
        </w:trPr>
        <w:tc>
          <w:tcPr>
            <w:tcW w:w="6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Shareholders' equity</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62"/>
        </w:trPr>
        <w:tc>
          <w:tcPr>
            <w:tcW w:w="6760" w:type="dxa"/>
            <w:vAlign w:val="bottom"/>
          </w:tcPr>
          <w:p>
            <w:pPr>
              <w:spacing w:after="0" w:line="162" w:lineRule="exact"/>
              <w:rPr>
                <w:sz w:val="20"/>
                <w:szCs w:val="20"/>
                <w:color w:val="auto"/>
              </w:rPr>
            </w:pPr>
            <w:r>
              <w:rPr>
                <w:rFonts w:ascii="Arial" w:cs="Arial" w:eastAsia="Arial" w:hAnsi="Arial"/>
                <w:sz w:val="15"/>
                <w:szCs w:val="15"/>
                <w:color w:val="auto"/>
              </w:rPr>
              <w:t>Preferred stock, $1.00 par, 1,000,000 shares authorized;</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60" w:type="dxa"/>
            <w:vAlign w:val="bottom"/>
          </w:tcPr>
          <w:p>
            <w:pPr>
              <w:ind w:left="12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60" w:type="dxa"/>
            <w:vAlign w:val="bottom"/>
          </w:tcPr>
          <w:p>
            <w:pPr>
              <w:ind w:left="120"/>
              <w:spacing w:after="0" w:line="162" w:lineRule="exact"/>
              <w:rPr>
                <w:sz w:val="20"/>
                <w:szCs w:val="20"/>
                <w:color w:val="auto"/>
              </w:rPr>
            </w:pPr>
            <w:r>
              <w:rPr>
                <w:rFonts w:ascii="Arial" w:cs="Arial" w:eastAsia="Arial" w:hAnsi="Arial"/>
                <w:sz w:val="15"/>
                <w:szCs w:val="15"/>
                <w:color w:val="auto"/>
              </w:rPr>
              <w:t>share: 350,000 shares at June 30, 2020 and December 31, 2019; Liquidation preference of</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760" w:type="dxa"/>
            <w:vAlign w:val="bottom"/>
          </w:tcPr>
          <w:p>
            <w:pPr>
              <w:ind w:left="120"/>
              <w:spacing w:after="0"/>
              <w:rPr>
                <w:sz w:val="20"/>
                <w:szCs w:val="20"/>
                <w:color w:val="auto"/>
              </w:rPr>
            </w:pPr>
            <w:r>
              <w:rPr>
                <w:rFonts w:ascii="Arial" w:cs="Arial" w:eastAsia="Arial" w:hAnsi="Arial"/>
                <w:sz w:val="15"/>
                <w:szCs w:val="15"/>
                <w:color w:val="auto"/>
              </w:rPr>
              <w:t>$10,000 per share: 90,000 shares at June 30, 2020 and December 31, 2019</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1,250,000</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1,250,000</w:t>
            </w:r>
          </w:p>
        </w:tc>
        <w:tc>
          <w:tcPr>
            <w:tcW w:w="120" w:type="dxa"/>
            <w:vAlign w:val="bottom"/>
          </w:tcPr>
          <w:p>
            <w:pPr>
              <w:spacing w:after="0"/>
              <w:rPr>
                <w:sz w:val="15"/>
                <w:szCs w:val="15"/>
                <w:color w:val="auto"/>
              </w:rPr>
            </w:pPr>
          </w:p>
        </w:tc>
      </w:tr>
      <w:tr>
        <w:trPr>
          <w:trHeight w:val="162"/>
        </w:trPr>
        <w:tc>
          <w:tcPr>
            <w:tcW w:w="676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1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676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159,741,898 shares issued at June 30, 2020 and December 31, 2019</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79,871</w:t>
            </w:r>
          </w:p>
        </w:tc>
        <w:tc>
          <w:tcPr>
            <w:tcW w:w="120" w:type="dxa"/>
            <w:vAlign w:val="bottom"/>
            <w:shd w:val="clear" w:color="auto" w:fill="CFF0FC"/>
          </w:tcPr>
          <w:p>
            <w:pPr>
              <w:spacing w:after="0"/>
              <w:rPr>
                <w:sz w:val="15"/>
                <w:szCs w:val="15"/>
                <w:color w:val="auto"/>
              </w:rPr>
            </w:pPr>
          </w:p>
        </w:tc>
      </w:tr>
      <w:tr>
        <w:trPr>
          <w:trHeight w:val="162"/>
        </w:trPr>
        <w:tc>
          <w:tcPr>
            <w:tcW w:w="6760" w:type="dxa"/>
            <w:vAlign w:val="bottom"/>
          </w:tcPr>
          <w:p>
            <w:pPr>
              <w:spacing w:after="0" w:line="162" w:lineRule="exact"/>
              <w:rPr>
                <w:sz w:val="20"/>
                <w:szCs w:val="20"/>
                <w:color w:val="auto"/>
              </w:rPr>
            </w:pPr>
            <w:r>
              <w:rPr>
                <w:rFonts w:ascii="Arial" w:cs="Arial" w:eastAsia="Arial" w:hAnsi="Arial"/>
                <w:sz w:val="15"/>
                <w:szCs w:val="15"/>
                <w:color w:val="auto"/>
              </w:rPr>
              <w:t>Common stock issuable, 17,786 shares at June 30, 2020;</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760" w:type="dxa"/>
            <w:vAlign w:val="bottom"/>
          </w:tcPr>
          <w:p>
            <w:pPr>
              <w:ind w:left="120"/>
              <w:spacing w:after="0"/>
              <w:rPr>
                <w:sz w:val="20"/>
                <w:szCs w:val="20"/>
                <w:color w:val="auto"/>
              </w:rPr>
            </w:pPr>
            <w:r>
              <w:rPr>
                <w:rFonts w:ascii="Arial" w:cs="Arial" w:eastAsia="Arial" w:hAnsi="Arial"/>
                <w:sz w:val="15"/>
                <w:szCs w:val="15"/>
                <w:color w:val="auto"/>
              </w:rPr>
              <w:t>21,534 shares at December 31, 2019</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1,308</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1,566</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Additional paid-in capital</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6,599,069</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6,593,539</w:t>
            </w:r>
          </w:p>
        </w:tc>
        <w:tc>
          <w:tcPr>
            <w:tcW w:w="120" w:type="dxa"/>
            <w:vAlign w:val="bottom"/>
            <w:shd w:val="clear" w:color="auto" w:fill="CFF0FC"/>
          </w:tcPr>
          <w:p>
            <w:pPr>
              <w:spacing w:after="0"/>
              <w:rPr>
                <w:sz w:val="15"/>
                <w:szCs w:val="15"/>
                <w:color w:val="auto"/>
              </w:rPr>
            </w:pPr>
          </w:p>
        </w:tc>
      </w:tr>
      <w:tr>
        <w:trPr>
          <w:trHeight w:val="175"/>
        </w:trPr>
        <w:tc>
          <w:tcPr>
            <w:tcW w:w="6760" w:type="dxa"/>
            <w:vAlign w:val="bottom"/>
          </w:tcPr>
          <w:p>
            <w:pPr>
              <w:spacing w:after="0"/>
              <w:rPr>
                <w:sz w:val="20"/>
                <w:szCs w:val="20"/>
                <w:color w:val="auto"/>
              </w:rPr>
            </w:pPr>
            <w:r>
              <w:rPr>
                <w:rFonts w:ascii="Arial" w:cs="Arial" w:eastAsia="Arial" w:hAnsi="Arial"/>
                <w:sz w:val="15"/>
                <w:szCs w:val="15"/>
                <w:color w:val="auto"/>
              </w:rPr>
              <w:t>Retained earnings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12,919,345</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12,820,916</w:t>
            </w:r>
          </w:p>
        </w:tc>
        <w:tc>
          <w:tcPr>
            <w:tcW w:w="120" w:type="dxa"/>
            <w:vAlign w:val="bottom"/>
          </w:tcPr>
          <w:p>
            <w:pPr>
              <w:spacing w:after="0"/>
              <w:rPr>
                <w:sz w:val="15"/>
                <w:szCs w:val="15"/>
                <w:color w:val="auto"/>
              </w:rPr>
            </w:pPr>
          </w:p>
        </w:tc>
      </w:tr>
      <w:tr>
        <w:trPr>
          <w:trHeight w:val="175"/>
        </w:trPr>
        <w:tc>
          <w:tcPr>
            <w:tcW w:w="6760" w:type="dxa"/>
            <w:vAlign w:val="bottom"/>
            <w:shd w:val="clear" w:color="auto" w:fill="CFF0FC"/>
          </w:tcPr>
          <w:p>
            <w:pPr>
              <w:spacing w:after="0"/>
              <w:rPr>
                <w:sz w:val="20"/>
                <w:szCs w:val="20"/>
                <w:color w:val="auto"/>
              </w:rPr>
            </w:pPr>
            <w:r>
              <w:rPr>
                <w:rFonts w:ascii="Arial" w:cs="Arial" w:eastAsia="Arial" w:hAnsi="Arial"/>
                <w:sz w:val="15"/>
                <w:szCs w:val="15"/>
                <w:color w:val="auto"/>
              </w:rPr>
              <w:t>Accumulated other comprehensive income (loss), net</w:t>
            </w: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244,630</w:t>
            </w:r>
          </w:p>
        </w:tc>
        <w:tc>
          <w:tcPr>
            <w:tcW w:w="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(206,680)</w:t>
            </w:r>
          </w:p>
        </w:tc>
      </w:tr>
      <w:tr>
        <w:trPr>
          <w:trHeight w:val="162"/>
        </w:trPr>
        <w:tc>
          <w:tcPr>
            <w:tcW w:w="6760" w:type="dxa"/>
            <w:vAlign w:val="bottom"/>
          </w:tcPr>
          <w:p>
            <w:pPr>
              <w:spacing w:after="0" w:line="162" w:lineRule="exact"/>
              <w:rPr>
                <w:sz w:val="20"/>
                <w:szCs w:val="20"/>
                <w:color w:val="auto"/>
              </w:rPr>
            </w:pPr>
            <w:r>
              <w:rPr>
                <w:rFonts w:ascii="Arial" w:cs="Arial" w:eastAsia="Arial" w:hAnsi="Arial"/>
                <w:sz w:val="15"/>
                <w:szCs w:val="15"/>
                <w:color w:val="auto"/>
              </w:rPr>
              <w:t>Treasury stock — common, at cost — 31,465,769 shares at June 30, 2020;</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6760" w:type="dxa"/>
            <w:vAlign w:val="bottom"/>
          </w:tcPr>
          <w:p>
            <w:pPr>
              <w:ind w:left="120"/>
              <w:spacing w:after="0"/>
              <w:rPr>
                <w:sz w:val="20"/>
                <w:szCs w:val="20"/>
                <w:color w:val="auto"/>
              </w:rPr>
            </w:pPr>
            <w:r>
              <w:rPr>
                <w:rFonts w:ascii="Arial" w:cs="Arial" w:eastAsia="Arial" w:hAnsi="Arial"/>
                <w:sz w:val="15"/>
                <w:szCs w:val="15"/>
                <w:color w:val="auto"/>
              </w:rPr>
              <w:t>29,174,402 shares at December 31, 2019</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5"/>
                <w:szCs w:val="15"/>
                <w:color w:val="auto"/>
              </w:rPr>
              <w:t>(5,149,118)</w:t>
            </w:r>
          </w:p>
        </w:tc>
        <w:tc>
          <w:tcPr>
            <w:tcW w:w="180" w:type="dxa"/>
            <w:vAlign w:val="bottom"/>
          </w:tcPr>
          <w:p>
            <w:pPr>
              <w:spacing w:after="0"/>
              <w:rPr>
                <w:sz w:val="15"/>
                <w:szCs w:val="15"/>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5"/>
                <w:szCs w:val="15"/>
                <w:color w:val="auto"/>
              </w:rPr>
              <w:t>(4,822,563)</w:t>
            </w:r>
          </w:p>
        </w:tc>
      </w:tr>
      <w:tr>
        <w:trPr>
          <w:trHeight w:val="169"/>
        </w:trPr>
        <w:tc>
          <w:tcPr>
            <w:tcW w:w="67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1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15,945,105</w:t>
            </w:r>
          </w:p>
        </w:tc>
        <w:tc>
          <w:tcPr>
            <w:tcW w:w="4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15,716,649</w:t>
            </w:r>
          </w:p>
        </w:tc>
        <w:tc>
          <w:tcPr>
            <w:tcW w:w="120" w:type="dxa"/>
            <w:vAlign w:val="bottom"/>
            <w:tcBorders>
              <w:top w:val="single" w:sz="8" w:color="CFF0FC"/>
            </w:tcBorders>
            <w:shd w:val="clear" w:color="auto" w:fill="CFF0FC"/>
          </w:tcPr>
          <w:p>
            <w:pPr>
              <w:spacing w:after="0"/>
              <w:rPr>
                <w:sz w:val="14"/>
                <w:szCs w:val="14"/>
                <w:color w:val="auto"/>
              </w:rPr>
            </w:pPr>
          </w:p>
        </w:tc>
      </w:tr>
      <w:tr>
        <w:trPr>
          <w:trHeight w:val="169"/>
        </w:trPr>
        <w:tc>
          <w:tcPr>
            <w:tcW w:w="6760" w:type="dxa"/>
            <w:vAlign w:val="bottom"/>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40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139,536,969</w:t>
            </w:r>
          </w:p>
        </w:tc>
        <w:tc>
          <w:tcPr>
            <w:tcW w:w="440" w:type="dxa"/>
            <w:vAlign w:val="bottom"/>
          </w:tcPr>
          <w:p>
            <w:pPr>
              <w:spacing w:after="0"/>
              <w:rPr>
                <w:sz w:val="14"/>
                <w:szCs w:val="14"/>
                <w:color w:val="auto"/>
              </w:rPr>
            </w:pP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119,872,757</w:t>
            </w:r>
          </w:p>
        </w:tc>
        <w:tc>
          <w:tcPr>
            <w:tcW w:w="120" w:type="dxa"/>
            <w:vAlign w:val="bottom"/>
          </w:tcPr>
          <w:p>
            <w:pPr>
              <w:spacing w:after="0"/>
              <w:rPr>
                <w:sz w:val="14"/>
                <w:szCs w:val="14"/>
                <w:color w:val="auto"/>
              </w:rPr>
            </w:pPr>
          </w:p>
        </w:tc>
      </w:tr>
      <w:tr>
        <w:trPr>
          <w:trHeight w:val="20"/>
        </w:trPr>
        <w:tc>
          <w:tcPr>
            <w:tcW w:w="6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r>
        <w:rPr>
          <w:rFonts w:ascii="Arial" w:cs="Arial" w:eastAsia="Arial" w:hAnsi="Arial"/>
          <w:sz w:val="10"/>
          <w:szCs w:val="10"/>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w w:val="95"/>
              </w:rPr>
              <w:t>Three Months Ended June 30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20"/>
                <w:szCs w:val="20"/>
                <w:color w:val="auto"/>
              </w:rPr>
            </w:pPr>
            <w:r>
              <w:rPr>
                <w:rFonts w:ascii="Arial" w:cs="Arial" w:eastAsia="Arial" w:hAnsi="Arial"/>
                <w:sz w:val="14"/>
                <w:szCs w:val="14"/>
                <w:b w:val="1"/>
                <w:bCs w:val="1"/>
                <w:color w:val="auto"/>
              </w:rPr>
              <w:t>(In thousands, except per share)</w:t>
            </w: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Loans and leases, including fees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980,372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1,125,577</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2,027,193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2,243,490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Fully taxable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97,329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60"/>
              <w:spacing w:after="0"/>
              <w:rPr>
                <w:sz w:val="20"/>
                <w:szCs w:val="20"/>
                <w:color w:val="auto"/>
              </w:rPr>
            </w:pPr>
            <w:r>
              <w:rPr>
                <w:rFonts w:ascii="Arial" w:cs="Arial" w:eastAsia="Arial" w:hAnsi="Arial"/>
                <w:sz w:val="18"/>
                <w:szCs w:val="18"/>
                <w:color w:val="auto"/>
              </w:rPr>
              <w:t>Exempt from federal taxes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Deposits at banks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23,145</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income</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1,032,242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1,237,913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2,152,661</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2,464,222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91,557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Time deposits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19,883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41,755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Deposits at Cayman Islands office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Short-term borrowings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Long-term borrowings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28,605</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66,012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68,903</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75,105</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218,719</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interest income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957,137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1,041,481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1,933,942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2,091,541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credit losses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575,000</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interest income after provision for credit losses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632,137</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986,481</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1,358,942</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2,014,541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Mortgage banking revenues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107,321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272,933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Service charges on deposit accounts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77,455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107,787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183,616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Trust income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151,882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144,382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300,633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Brokerage services income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23,592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and foreign exchange gains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Gain (loss) on bank investment securities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(13,813)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revenues from operations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87,190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112,763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220,366</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487,273</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512,095</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1,016,633</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1,012,860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expense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458,842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455,737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995,685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Equipment and net occupancy</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79,150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156,729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Outside data processing and software</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61,376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55,234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FDIC assessments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14,207</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32,217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Printing, postage and supplies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11,260</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 costs of operations</w:t>
            </w:r>
          </w:p>
        </w:tc>
        <w:tc>
          <w:tcPr>
            <w:tcW w:w="1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233,692</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346,625</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807,042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873,032</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1,713,458</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1,767,380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taxes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312,368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625,544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662,117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1,260,021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152,284</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152,241</w:t>
            </w: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Net income</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473,260</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223,098</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452,632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473,794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223,099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452,633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473,795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per common share</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500"/>
              <w:spacing w:after="0"/>
              <w:rPr>
                <w:sz w:val="20"/>
                <w:szCs w:val="20"/>
                <w:color w:val="auto"/>
              </w:rPr>
            </w:pPr>
            <w:r>
              <w:rPr>
                <w:rFonts w:ascii="Arial" w:cs="Arial" w:eastAsia="Arial" w:hAnsi="Arial"/>
                <w:sz w:val="18"/>
                <w:szCs w:val="18"/>
                <w:color w:val="auto"/>
              </w:rPr>
              <w:t>Basic</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Average common shares outstanding</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128,275</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135,433</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128,986</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128,333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135,464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129,044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49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473,260</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36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956,002</w:t>
            </w:r>
          </w:p>
        </w:tc>
        <w:tc>
          <w:tcPr>
            <w:tcW w:w="100" w:type="dxa"/>
            <w:vAlign w:val="bottom"/>
            <w:shd w:val="clear" w:color="auto" w:fill="CFF0FC"/>
          </w:tcPr>
          <w:p>
            <w:pPr>
              <w:spacing w:after="0"/>
              <w:rPr>
                <w:sz w:val="19"/>
                <w:szCs w:val="19"/>
                <w:color w:val="auto"/>
              </w:rPr>
            </w:pPr>
          </w:p>
        </w:tc>
      </w:tr>
      <w:tr>
        <w:trPr>
          <w:trHeight w:val="215"/>
        </w:trPr>
        <w:tc>
          <w:tcPr>
            <w:tcW w:w="4920" w:type="dxa"/>
            <w:vAlign w:val="bottom"/>
          </w:tcPr>
          <w:p>
            <w:pPr>
              <w:spacing w:after="0"/>
              <w:rPr>
                <w:sz w:val="20"/>
                <w:szCs w:val="20"/>
                <w:color w:val="auto"/>
              </w:rPr>
            </w:pPr>
            <w:r>
              <w:rPr>
                <w:rFonts w:ascii="Arial" w:cs="Arial" w:eastAsia="Arial" w:hAnsi="Arial"/>
                <w:sz w:val="18"/>
                <w:szCs w:val="18"/>
                <w:color w:val="auto"/>
              </w:rPr>
              <w:t>Other comprehensive income, net of tax and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reclassification adjustments: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investment securities</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132,399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154,444</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Cash flow hedges adjustments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(8,959)</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303,761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146,971</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(2,994)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r>
      <w:tr>
        <w:trPr>
          <w:trHeight w:val="229"/>
        </w:trPr>
        <w:tc>
          <w:tcPr>
            <w:tcW w:w="49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Defined benefit plans liability adjustments</w:t>
            </w:r>
          </w:p>
        </w:tc>
        <w:tc>
          <w:tcPr>
            <w:tcW w:w="14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w:t>
            </w:r>
          </w:p>
        </w:tc>
        <w:tc>
          <w:tcPr>
            <w:tcW w:w="14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34,797</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451,310</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307,123</w:t>
            </w:r>
          </w:p>
        </w:tc>
        <w:tc>
          <w:tcPr>
            <w:tcW w:w="100" w:type="dxa"/>
            <w:vAlign w:val="bottom"/>
            <w:shd w:val="clear" w:color="auto" w:fill="CFF0FC"/>
          </w:tcPr>
          <w:p>
            <w:pPr>
              <w:spacing w:after="0"/>
              <w:rPr>
                <w:sz w:val="19"/>
                <w:szCs w:val="19"/>
                <w:color w:val="auto"/>
              </w:rPr>
            </w:pPr>
          </w:p>
        </w:tc>
      </w:tr>
      <w:tr>
        <w:trPr>
          <w:trHeight w:val="223"/>
        </w:trPr>
        <w:tc>
          <w:tcPr>
            <w:tcW w:w="4920" w:type="dxa"/>
            <w:vAlign w:val="bottom"/>
          </w:tcPr>
          <w:p>
            <w:pPr>
              <w:ind w:left="500"/>
              <w:spacing w:after="0"/>
              <w:rPr>
                <w:sz w:val="20"/>
                <w:szCs w:val="20"/>
                <w:color w:val="auto"/>
              </w:rPr>
            </w:pPr>
            <w:r>
              <w:rPr>
                <w:rFonts w:ascii="Arial" w:cs="Arial" w:eastAsia="Arial" w:hAnsi="Arial"/>
                <w:sz w:val="18"/>
                <w:szCs w:val="18"/>
                <w:color w:val="auto"/>
              </w:rPr>
              <w:t>Total comprehensive income</w:t>
            </w:r>
          </w:p>
        </w:tc>
        <w:tc>
          <w:tcPr>
            <w:tcW w:w="14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275,851</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961,186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1,263,125</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income</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509,876</w:t>
            </w:r>
          </w:p>
        </w:tc>
        <w:tc>
          <w:tcPr>
            <w:tcW w:w="38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956,002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credit losses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575,000</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77,000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Depreciation and amortization of premises and equipment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108,748</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101,983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Amortization of capitalized servicing rights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37,971</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core deposit and other intangible assets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10,097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Provision for deferred income taxes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(90,093)</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Asset write-downs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15,626</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52,324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gain on sales of assets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(5,808)</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(10,521)</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accrued interest receivable, payable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(48,790)</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other accrued income and expense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6,403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(144,714)</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loans originated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(220,368)</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(218,925)</w:t>
            </w:r>
          </w:p>
        </w:tc>
        <w:tc>
          <w:tcPr>
            <w:tcW w:w="0" w:type="dxa"/>
            <w:vAlign w:val="bottom"/>
          </w:tcPr>
          <w:p>
            <w:pPr>
              <w:spacing w:after="0"/>
              <w:rPr>
                <w:sz w:val="1"/>
                <w:szCs w:val="1"/>
                <w:color w:val="auto"/>
              </w:rPr>
            </w:pPr>
          </w:p>
        </w:tc>
      </w:tr>
      <w:tr>
        <w:trPr>
          <w:trHeight w:val="162"/>
        </w:trPr>
        <w:tc>
          <w:tcPr>
            <w:tcW w:w="6360" w:type="dxa"/>
            <w:vAlign w:val="bottom"/>
          </w:tcPr>
          <w:p>
            <w:pPr>
              <w:ind w:left="500"/>
              <w:spacing w:after="0"/>
              <w:rPr>
                <w:sz w:val="20"/>
                <w:szCs w:val="20"/>
                <w:color w:val="auto"/>
              </w:rPr>
            </w:pPr>
            <w:r>
              <w:rPr>
                <w:rFonts w:ascii="Arial" w:cs="Arial" w:eastAsia="Arial" w:hAnsi="Arial"/>
                <w:sz w:val="13"/>
                <w:szCs w:val="13"/>
                <w:color w:val="auto"/>
              </w:rPr>
              <w:t>Net change in trading account assets and liabilities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(765,314)</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(398,552)</w:t>
            </w:r>
          </w:p>
        </w:tc>
        <w:tc>
          <w:tcPr>
            <w:tcW w:w="0" w:type="dxa"/>
            <w:vAlign w:val="bottom"/>
          </w:tcPr>
          <w:p>
            <w:pPr>
              <w:spacing w:after="0"/>
              <w:rPr>
                <w:sz w:val="1"/>
                <w:szCs w:val="1"/>
                <w:color w:val="auto"/>
              </w:rPr>
            </w:pPr>
          </w:p>
        </w:tc>
      </w:tr>
      <w:tr>
        <w:trPr>
          <w:trHeight w:val="155"/>
        </w:trPr>
        <w:tc>
          <w:tcPr>
            <w:tcW w:w="63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3"/>
                <w:szCs w:val="13"/>
                <w:color w:val="auto"/>
              </w:rPr>
              <w:t>Net cash provided by operating activities</w:t>
            </w:r>
          </w:p>
        </w:tc>
        <w:tc>
          <w:tcPr>
            <w:tcW w:w="20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131,077</w:t>
            </w:r>
          </w:p>
        </w:tc>
        <w:tc>
          <w:tcPr>
            <w:tcW w:w="3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480,178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54,232</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580,489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Proceeds from maturities of investment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662,253</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1,506,273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502,093</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213,086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investment securities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 for sale</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(4,052)</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(2,694)</w:t>
            </w: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Held to maturity</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(8,995)</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(495,277)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and other securities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(20,575)</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(461,749)</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increase in loans and leases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(6,713,727)</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(1,259,545)</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interest-bearing deposits at banks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(13,698,187)</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(686,556)</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Capital expenditures, net</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(93,651)</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(82,657)</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decrease in loan servicing advances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178,984</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net</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197,377</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84,108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cash used by investing activities</w:t>
            </w: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(18,944,248)</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(580,859)</w:t>
            </w:r>
          </w:p>
        </w:tc>
        <w:tc>
          <w:tcPr>
            <w:tcW w:w="0" w:type="dxa"/>
            <w:vAlign w:val="bottom"/>
          </w:tcPr>
          <w:p>
            <w:pPr>
              <w:spacing w:after="0"/>
              <w:rPr>
                <w:sz w:val="1"/>
                <w:szCs w:val="1"/>
                <w:color w:val="auto"/>
              </w:rPr>
            </w:pPr>
          </w:p>
        </w:tc>
      </w:tr>
      <w:tr>
        <w:trPr>
          <w:trHeight w:val="155"/>
        </w:trPr>
        <w:tc>
          <w:tcPr>
            <w:tcW w:w="636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0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Net increase in deposits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20,199,033</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1,525,777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Net increase (decrease) in short-term borrowings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(10,065)</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213,012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Payments on long-term borrowings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(754,425)</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(876,581)</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Purchases of treasury stock</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(373,750)</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(767,612)</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 common</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(284,690)</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(274,037)</w:t>
            </w: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Dividends paid — preferred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(34,156)</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(36,260)</w:t>
            </w: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Other, net</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(10,266)</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(17,446)</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60"/>
              <w:spacing w:after="0"/>
              <w:rPr>
                <w:sz w:val="20"/>
                <w:szCs w:val="20"/>
                <w:color w:val="auto"/>
              </w:rPr>
            </w:pPr>
            <w:r>
              <w:rPr>
                <w:rFonts w:ascii="Arial" w:cs="Arial" w:eastAsia="Arial" w:hAnsi="Arial"/>
                <w:sz w:val="13"/>
                <w:szCs w:val="13"/>
                <w:color w:val="auto"/>
              </w:rPr>
              <w:t>Net cash provided (used) by financing activities</w:t>
            </w:r>
          </w:p>
        </w:tc>
        <w:tc>
          <w:tcPr>
            <w:tcW w:w="20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60" w:type="dxa"/>
            <w:vAlign w:val="bottom"/>
            <w:vMerge w:val="continue"/>
          </w:tcPr>
          <w:p>
            <w:pPr>
              <w:spacing w:after="0"/>
              <w:rPr>
                <w:sz w:val="13"/>
                <w:szCs w:val="13"/>
                <w:color w:val="auto"/>
              </w:rPr>
            </w:pPr>
          </w:p>
        </w:tc>
        <w:tc>
          <w:tcPr>
            <w:tcW w:w="2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18,731,681</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(233,147)</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decrease in cash, cash equivalents and restricted cash</w:t>
            </w:r>
          </w:p>
        </w:tc>
        <w:tc>
          <w:tcPr>
            <w:tcW w:w="20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60" w:type="dxa"/>
            <w:vAlign w:val="bottom"/>
            <w:vMerge w:val="continue"/>
            <w:shd w:val="clear" w:color="auto" w:fill="CFF0FC"/>
          </w:tcPr>
          <w:p>
            <w:pPr>
              <w:spacing w:after="0"/>
              <w:rPr>
                <w:sz w:val="13"/>
                <w:szCs w:val="13"/>
                <w:color w:val="auto"/>
              </w:rPr>
            </w:pPr>
          </w:p>
        </w:tc>
        <w:tc>
          <w:tcPr>
            <w:tcW w:w="2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(81,490)</w:t>
            </w: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(333,828)</w:t>
            </w:r>
          </w:p>
        </w:tc>
        <w:tc>
          <w:tcPr>
            <w:tcW w:w="0" w:type="dxa"/>
            <w:vAlign w:val="bottom"/>
          </w:tcPr>
          <w:p>
            <w:pPr>
              <w:spacing w:after="0"/>
              <w:rPr>
                <w:sz w:val="1"/>
                <w:szCs w:val="1"/>
                <w:color w:val="auto"/>
              </w:rPr>
            </w:pPr>
          </w:p>
        </w:tc>
      </w:tr>
      <w:tr>
        <w:trPr>
          <w:trHeight w:val="162"/>
        </w:trPr>
        <w:tc>
          <w:tcPr>
            <w:tcW w:w="6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0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1,436,305</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1,605,439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1,354,815</w:t>
            </w:r>
          </w:p>
        </w:tc>
        <w:tc>
          <w:tcPr>
            <w:tcW w:w="38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1,271,611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0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60" w:type="dxa"/>
            <w:vAlign w:val="bottom"/>
            <w:vMerge w:val="continue"/>
          </w:tcPr>
          <w:p>
            <w:pPr>
              <w:spacing w:after="0"/>
              <w:rPr>
                <w:sz w:val="12"/>
                <w:szCs w:val="12"/>
                <w:color w:val="auto"/>
              </w:rPr>
            </w:pPr>
          </w:p>
        </w:tc>
        <w:tc>
          <w:tcPr>
            <w:tcW w:w="2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Interest received during the period</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2,156,881</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2,444,623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Interest paid during the period</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223,874</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361,179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Income taxes paid during the period</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61,759</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b w:val="1"/>
                <w:bCs w:val="1"/>
                <w:color w:val="auto"/>
              </w:rPr>
              <w:t>Supplemental schedule of noncash investing and financing activities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Real estate acquired in settlement of loans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17,885</w:t>
            </w: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20"/>
                <w:szCs w:val="20"/>
                <w:color w:val="auto"/>
              </w:rPr>
            </w:pPr>
            <w:r>
              <w:rPr>
                <w:rFonts w:ascii="Arial" w:cs="Arial" w:eastAsia="Arial" w:hAnsi="Arial"/>
                <w:sz w:val="13"/>
                <w:szCs w:val="13"/>
                <w:color w:val="auto"/>
              </w:rPr>
              <w:t>Securitization of residential mortgage loans allocated to</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Available-for-sale investment securities</w:t>
            </w:r>
          </w:p>
        </w:tc>
        <w:tc>
          <w:tcPr>
            <w:tcW w:w="2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Capitalized servicing rights</w:t>
            </w: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spacing w:after="0"/>
              <w:rPr>
                <w:sz w:val="20"/>
                <w:szCs w:val="20"/>
                <w:color w:val="auto"/>
              </w:rPr>
            </w:pPr>
            <w:r>
              <w:rPr>
                <w:rFonts w:ascii="Arial" w:cs="Arial" w:eastAsia="Arial" w:hAnsi="Arial"/>
                <w:sz w:val="13"/>
                <w:szCs w:val="13"/>
                <w:color w:val="auto"/>
              </w:rPr>
              <w:t>Adoption of lease accounting standard</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ind w:left="260"/>
              <w:spacing w:after="0"/>
              <w:rPr>
                <w:sz w:val="20"/>
                <w:szCs w:val="20"/>
                <w:color w:val="auto"/>
              </w:rPr>
            </w:pPr>
            <w:r>
              <w:rPr>
                <w:rFonts w:ascii="Arial" w:cs="Arial" w:eastAsia="Arial" w:hAnsi="Arial"/>
                <w:sz w:val="13"/>
                <w:szCs w:val="13"/>
                <w:color w:val="auto"/>
              </w:rPr>
              <w:t>Right-of-use assets</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393,877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liabilities</w:t>
            </w:r>
          </w:p>
        </w:tc>
        <w:tc>
          <w:tcPr>
            <w:tcW w:w="2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398,810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20"/>
                <w:szCs w:val="20"/>
                <w:color w:val="auto"/>
              </w:rPr>
            </w:pPr>
            <w:r>
              <w:rPr>
                <w:rFonts w:ascii="Arial" w:cs="Arial" w:eastAsia="Arial" w:hAnsi="Arial"/>
                <w:sz w:val="13"/>
                <w:szCs w:val="13"/>
                <w:color w:val="auto"/>
              </w:rPr>
              <w:t>Additions to right-of-use assets under operating leases</w:t>
            </w:r>
          </w:p>
        </w:tc>
        <w:tc>
          <w:tcPr>
            <w:tcW w:w="2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30,585</w:t>
            </w:r>
          </w:p>
        </w:tc>
        <w:tc>
          <w:tcPr>
            <w:tcW w:w="38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44,928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Common</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4"/>
              </w:rPr>
              <w:t>Additional</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6"/>
              </w:rPr>
              <w:t>Preferred</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Retained</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Income</w:t>
            </w: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Treasury</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Dollars in thousands, except per 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right"/>
              <w:ind w:right="460"/>
              <w:spacing w:after="0" w:line="148" w:lineRule="exact"/>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Issuable</w:t>
            </w:r>
          </w:p>
        </w:tc>
        <w:tc>
          <w:tcPr>
            <w:tcW w:w="920" w:type="dxa"/>
            <w:vAlign w:val="bottom"/>
            <w:gridSpan w:val="2"/>
          </w:tcPr>
          <w:p>
            <w:pPr>
              <w:jc w:val="right"/>
              <w:ind w:right="400"/>
              <w:spacing w:after="0" w:line="148" w:lineRule="exact"/>
              <w:rPr>
                <w:sz w:val="20"/>
                <w:szCs w:val="20"/>
                <w:color w:val="auto"/>
              </w:rPr>
            </w:pPr>
            <w:r>
              <w:rPr>
                <w:rFonts w:ascii="Arial" w:cs="Arial" w:eastAsia="Arial" w:hAnsi="Arial"/>
                <w:sz w:val="13"/>
                <w:szCs w:val="13"/>
                <w:b w:val="1"/>
                <w:bCs w:val="1"/>
                <w:color w:val="auto"/>
              </w:rPr>
              <w:t>Capital</w:t>
            </w:r>
          </w:p>
        </w:tc>
        <w:tc>
          <w:tcPr>
            <w:tcW w:w="96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Earnings</w:t>
            </w:r>
          </w:p>
        </w:tc>
        <w:tc>
          <w:tcPr>
            <w:tcW w:w="108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2"/>
              </w:rPr>
              <w:t>(Loss), Net</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740" w:type="dxa"/>
            <w:vAlign w:val="bottom"/>
            <w:gridSpan w:val="2"/>
          </w:tcPr>
          <w:p>
            <w:pPr>
              <w:jc w:val="right"/>
              <w:ind w:right="340"/>
              <w:spacing w:after="0" w:line="148"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Three Months Ended June 30, 2020</w:t>
            </w:r>
          </w:p>
        </w:tc>
        <w:tc>
          <w:tcPr>
            <w:tcW w:w="15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70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70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72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74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tcBorders>
              <w:top w:val="single" w:sz="8" w:color="CFF0FC"/>
              <w:right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left w:val="single" w:sz="8" w:color="CFF0FC"/>
              <w:right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left w:val="single" w:sz="8" w:color="CFF0FC"/>
            </w:tcBorders>
            <w:shd w:val="clear" w:color="auto" w:fill="CFF0FC"/>
          </w:tcPr>
          <w:p>
            <w:pPr>
              <w:spacing w:after="0"/>
              <w:rPr>
                <w:sz w:val="12"/>
                <w:szCs w:val="12"/>
                <w:color w:val="auto"/>
              </w:rPr>
            </w:pPr>
          </w:p>
        </w:tc>
        <w:tc>
          <w:tcPr>
            <w:tcW w:w="140" w:type="dxa"/>
            <w:vAlign w:val="bottom"/>
            <w:tcBorders>
              <w:top w:val="single" w:sz="8" w:color="auto"/>
              <w:left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April 1, 2020</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1,292</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6,588,407</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12,837,390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209,833</w:t>
            </w:r>
          </w:p>
        </w:tc>
        <w:tc>
          <w:tcPr>
            <w:tcW w:w="2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(5,150,999)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15,815,794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241,054</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34,797</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275,851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(17,050)</w:t>
            </w:r>
          </w:p>
        </w:tc>
        <w:tc>
          <w:tcPr>
            <w:tcW w:w="2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(17,050)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10,662</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(104)</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1,881</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$1.10 per 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(141,945)</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(141,945)</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June 30, 2020</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1,308</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6,599,069</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12,919,345</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244,630</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(5,149,118)</w:t>
            </w: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15,945,105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Six Months Ended June 30, 2020</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2020</w:t>
            </w:r>
          </w:p>
        </w:tc>
        <w:tc>
          <w:tcPr>
            <w:tcW w:w="12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1,250,000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1,566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6,593,539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12,820,916</w:t>
            </w:r>
          </w:p>
        </w:tc>
        <w:tc>
          <w:tcPr>
            <w:tcW w:w="2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(206,680)</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(4,822,563)</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15,716,649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Adoption of new accounting standard for</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credit losses</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(91,925)</w:t>
            </w:r>
          </w:p>
        </w:tc>
        <w:tc>
          <w:tcPr>
            <w:tcW w:w="220" w:type="dxa"/>
            <w:vAlign w:val="bottom"/>
            <w:tcBorders>
              <w:right w:val="single" w:sz="8" w:color="CFF0FC"/>
            </w:tcBorders>
            <w:shd w:val="clear" w:color="auto" w:fill="CFF0FC"/>
          </w:tcPr>
          <w:p>
            <w:pPr>
              <w:spacing w:after="0"/>
              <w:rPr>
                <w:sz w:val="13"/>
                <w:szCs w:val="13"/>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(91,925)</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509,876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451,310</w:t>
            </w:r>
          </w:p>
        </w:tc>
        <w:tc>
          <w:tcPr>
            <w:tcW w:w="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961,186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(34,128)</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(34,128)</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(373,750)</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(373,750)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(258)</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5,530</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(206)</w:t>
            </w:r>
          </w:p>
        </w:tc>
        <w:tc>
          <w:tcPr>
            <w:tcW w:w="220" w:type="dxa"/>
            <w:vAlign w:val="bottom"/>
            <w:tcBorders>
              <w:right w:val="single" w:sz="8" w:color="CFF0FC"/>
            </w:tcBorders>
            <w:shd w:val="clear" w:color="auto" w:fill="CFF0FC"/>
          </w:tcPr>
          <w:p>
            <w:pPr>
              <w:spacing w:after="0"/>
              <w:rPr>
                <w:sz w:val="14"/>
                <w:szCs w:val="14"/>
                <w:color w:val="auto"/>
              </w:rPr>
            </w:pP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47,195</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$2.20 per 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(285,188)</w:t>
            </w:r>
          </w:p>
        </w:tc>
        <w:tc>
          <w:tcPr>
            <w:tcW w:w="22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(285,188)</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June 30, 2020</w:t>
            </w: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3"/>
              </w:rPr>
              <w:t>1,250,000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1,308</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6,599,069</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12,919,345</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244,630</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(5,149,118)</w:t>
            </w: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15,945,105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3"/>
                <w:szCs w:val="13"/>
                <w:b w:val="1"/>
                <w:bCs w:val="1"/>
                <w:color w:val="auto"/>
              </w:rPr>
              <w:t>Three Months Ended June 30, 2019</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April 1, 2019</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1,514</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6,568,480</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11,842,371</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(288,009)</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(3,848,198)</w:t>
            </w: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15,587,529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473,260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175,051</w:t>
            </w:r>
          </w:p>
        </w:tc>
        <w:tc>
          <w:tcPr>
            <w:tcW w:w="2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648,311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Preferred stock cash dividends (a)</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(18,130)</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(18,130)</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Purchases of treasury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(401,984)</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(401,984)</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Stock-based compensation transactions, net</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9,123</w:t>
            </w:r>
          </w:p>
        </w:tc>
        <w:tc>
          <w:tcPr>
            <w:tcW w:w="200" w:type="dxa"/>
            <w:vAlign w:val="bottom"/>
            <w:tcBorders>
              <w:right w:val="single" w:sz="8" w:color="CFF0FC"/>
            </w:tcBorders>
            <w:shd w:val="clear" w:color="auto" w:fill="CFF0FC"/>
          </w:tcPr>
          <w:p>
            <w:pPr>
              <w:spacing w:after="0"/>
              <w:rPr>
                <w:sz w:val="14"/>
                <w:szCs w:val="14"/>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2,189</w:t>
            </w: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cash dividends —</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tcPr>
          <w:p>
            <w:pPr>
              <w:ind w:left="100"/>
              <w:spacing w:after="0"/>
              <w:rPr>
                <w:sz w:val="20"/>
                <w:szCs w:val="20"/>
                <w:color w:val="auto"/>
              </w:rPr>
            </w:pPr>
            <w:r>
              <w:rPr>
                <w:rFonts w:ascii="Arial" w:cs="Arial" w:eastAsia="Arial" w:hAnsi="Arial"/>
                <w:sz w:val="13"/>
                <w:szCs w:val="13"/>
                <w:color w:val="auto"/>
              </w:rPr>
              <w:t>$1.00 per share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(135,173)</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(135,173)</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Balance — June 30, 2019</w:t>
            </w: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1,526</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6,577,603</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12,162,278</w:t>
            </w: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(112,958)</w:t>
            </w: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(4,247,993)</w:t>
            </w: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15,691,827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Six Months Ended June 30, 2019</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Balance — January 1, 2019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79,883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1,726</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6,579,342</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11,516,672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(420,081)</w:t>
            </w:r>
          </w:p>
        </w:tc>
        <w:tc>
          <w:tcPr>
            <w:tcW w:w="2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(3,528,851)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15,460,191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Total comprehensive income</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956,002</w:t>
            </w:r>
          </w:p>
        </w:tc>
        <w:tc>
          <w:tcPr>
            <w:tcW w:w="220" w:type="dxa"/>
            <w:vAlign w:val="bottom"/>
            <w:tcBorders>
              <w:right w:val="single" w:sz="8" w:color="CFF0FC"/>
            </w:tcBorders>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307,123</w:t>
            </w: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1,263,125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Preferred stock cash dividends (a)</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(36,260)</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(36,260)</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Purchases of treasury stock</w:t>
            </w:r>
          </w:p>
        </w:tc>
        <w:tc>
          <w:tcPr>
            <w:tcW w:w="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(767,612)</w:t>
            </w:r>
          </w:p>
        </w:tc>
        <w:tc>
          <w:tcPr>
            <w:tcW w:w="140" w:type="dxa"/>
            <w:vAlign w:val="bottom"/>
            <w:tcBorders>
              <w:lef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(767,612)</w:t>
            </w:r>
          </w:p>
        </w:tc>
        <w:tc>
          <w:tcPr>
            <w:tcW w:w="0" w:type="dxa"/>
            <w:vAlign w:val="bottom"/>
          </w:tcPr>
          <w:p>
            <w:pPr>
              <w:spacing w:after="0"/>
              <w:rPr>
                <w:sz w:val="1"/>
                <w:szCs w:val="1"/>
                <w:color w:val="auto"/>
              </w:rPr>
            </w:pPr>
          </w:p>
        </w:tc>
      </w:tr>
      <w:tr>
        <w:trPr>
          <w:trHeight w:val="162"/>
        </w:trPr>
        <w:tc>
          <w:tcPr>
            <w:tcW w:w="3740" w:type="dxa"/>
            <w:vAlign w:val="bottom"/>
            <w:gridSpan w:val="2"/>
          </w:tcPr>
          <w:p>
            <w:pPr>
              <w:spacing w:after="0"/>
              <w:rPr>
                <w:sz w:val="20"/>
                <w:szCs w:val="20"/>
                <w:color w:val="auto"/>
              </w:rPr>
            </w:pPr>
            <w:r>
              <w:rPr>
                <w:rFonts w:ascii="Arial" w:cs="Arial" w:eastAsia="Arial" w:hAnsi="Arial"/>
                <w:sz w:val="13"/>
                <w:szCs w:val="13"/>
                <w:color w:val="auto"/>
              </w:rPr>
              <w:t>Stock-based compensation transactions, net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(200)</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(1,739)</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(101)</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48,470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46,418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7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 cash dividends —</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right w:val="single" w:sz="8" w:color="CFF0FC"/>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tcBorders>
              <w:left w:val="single" w:sz="8" w:color="CFF0FC"/>
            </w:tcBorders>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$2.00 per share</w:t>
            </w:r>
          </w:p>
        </w:tc>
        <w:tc>
          <w:tcPr>
            <w:tcW w:w="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FF0FC"/>
            </w:tcBorders>
            <w:shd w:val="clear" w:color="auto" w:fill="CFF0FC"/>
          </w:tcPr>
          <w:p>
            <w:pPr>
              <w:spacing w:after="0"/>
              <w:rPr>
                <w:sz w:val="13"/>
                <w:szCs w:val="13"/>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CFF0FC"/>
            </w:tcBorders>
            <w:shd w:val="clear" w:color="auto" w:fill="CFF0FC"/>
          </w:tcPr>
          <w:p>
            <w:pPr>
              <w:spacing w:after="0"/>
              <w:rPr>
                <w:sz w:val="13"/>
                <w:szCs w:val="13"/>
                <w:color w:val="auto"/>
              </w:rPr>
            </w:pPr>
          </w:p>
        </w:tc>
        <w:tc>
          <w:tcPr>
            <w:tcW w:w="9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(274,035)</w:t>
            </w:r>
          </w:p>
        </w:tc>
        <w:tc>
          <w:tcPr>
            <w:tcW w:w="10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3"/>
                <w:szCs w:val="13"/>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(274,035)</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Balance — June 30, 2019</w:t>
            </w: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40" w:type="dxa"/>
            <w:vAlign w:val="bottom"/>
            <w:gridSpan w:val="2"/>
            <w:vMerge w:val="continue"/>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1,231,500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79,871</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1,526</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6,577,603</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12,162,278</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(112,958)</w:t>
            </w:r>
          </w:p>
        </w:tc>
        <w:tc>
          <w:tcPr>
            <w:tcW w:w="2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(4,247,993)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15,691,827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540" w:hanging="357"/>
        <w:spacing w:after="0"/>
        <w:tabs>
          <w:tab w:leader="none" w:pos="540" w:val="left"/>
        </w:tabs>
        <w:numPr>
          <w:ilvl w:val="0"/>
          <w:numId w:val="3"/>
        </w:numPr>
        <w:rPr>
          <w:rFonts w:ascii="Arial" w:cs="Arial" w:eastAsia="Arial" w:hAnsi="Arial"/>
          <w:sz w:val="12"/>
          <w:szCs w:val="12"/>
          <w:i w:val="1"/>
          <w:iCs w:val="1"/>
          <w:color w:val="auto"/>
        </w:rPr>
      </w:pPr>
      <w:r>
        <w:rPr>
          <w:rFonts w:ascii="Arial" w:cs="Arial" w:eastAsia="Arial" w:hAnsi="Arial"/>
          <w:sz w:val="12"/>
          <w:szCs w:val="12"/>
          <w:i w:val="1"/>
          <w:iCs w:val="1"/>
          <w:color w:val="auto"/>
        </w:rPr>
        <w:t>For the three-month and six-month periods ended June 30, 2020, dividends per preferred share were: Preferred Series E - $16.125 and $32.25, respectively; Preferred Series F - $128.125 and</w:t>
      </w:r>
    </w:p>
    <w:p>
      <w:pPr>
        <w:spacing w:after="0" w:line="22" w:lineRule="exact"/>
        <w:rPr>
          <w:rFonts w:ascii="Arial" w:cs="Arial" w:eastAsia="Arial" w:hAnsi="Arial"/>
          <w:sz w:val="12"/>
          <w:szCs w:val="12"/>
          <w:i w:val="1"/>
          <w:iCs w:val="1"/>
          <w:color w:val="auto"/>
        </w:rPr>
      </w:pPr>
    </w:p>
    <w:p>
      <w:pPr>
        <w:ind w:left="540" w:right="80"/>
        <w:spacing w:after="0" w:line="247" w:lineRule="auto"/>
        <w:rPr>
          <w:rFonts w:ascii="Arial" w:cs="Arial" w:eastAsia="Arial" w:hAnsi="Arial"/>
          <w:sz w:val="12"/>
          <w:szCs w:val="12"/>
          <w:i w:val="1"/>
          <w:iCs w:val="1"/>
          <w:color w:val="auto"/>
        </w:rPr>
      </w:pPr>
      <w:r>
        <w:rPr>
          <w:rFonts w:ascii="Arial" w:cs="Arial" w:eastAsia="Arial" w:hAnsi="Arial"/>
          <w:sz w:val="13"/>
          <w:szCs w:val="13"/>
          <w:i w:val="1"/>
          <w:iCs w:val="1"/>
          <w:color w:val="auto"/>
        </w:rPr>
        <w:t>$256.25, respectively; and Preferred Series G - $125.00 and $250.694, respectively. Dividends per preferred share for the three-month and six-month periods ended June 30, 2019 were: Preferred Series A - $15.9375 and $31.875, respectively; Preferred Series C - $15.9375 and $31.875, respectively; Preferred Series E - $16.125 and $32.25, respectively; and Preferred Series F - $128.125 and $256.25, respectively.</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1"/>
          <w:szCs w:val="21"/>
          <w:i w:val="1"/>
          <w:iCs w:val="1"/>
          <w:color w:val="auto"/>
        </w:rPr>
        <w:t>See accompanying notes to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 and current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2019 (“2019 Annual Report”), except that effective January 1, 2020 the Company adopted accounting guidance related to the recognition of expected credit losses that is discussed in notes 2, 3 and 15 herein. The financial statements contain all adjustments which are, in the opinion of management, necessary for a fair statement of the Company’s financial position, results of operations and cash flows for the interim periods presented.</w:t>
      </w:r>
    </w:p>
    <w:p>
      <w:pPr>
        <w:spacing w:after="0" w:line="53"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United States has been operating under a state of emergency related to the Coronavirus Disease 2019 (“COVID-19”) pandemic since March 13, 2020. The direct and indirect effects of the COVID-19 pandemic have resulted in a dramatic reduction in economic activity that has severely hampered the ability for businesses and consumers to meet their current repayment obligations. The effects of the pandemic contributed to a significant increase in the provision for credit losses during the first two quarters of 2020. The Coronavirus Aid, Relief, and Economic Security Act (“CARES Act”), in addition to providing financial assistance to both businesses and consumers, creates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 regulatory agencies have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nor be reported as past due. Modifications may include payment deferrals, fee waivers, extensions of repayment term, or other delays in payment. The Company has been working with its customers affected by COVID-19 and has granted modifications across many of its loan portfolios. To the extent that such modifications meet the criteria previously described, the modified loans have not been classified as troubled debt restructurings nor reported as past due.</w:t>
      </w:r>
    </w:p>
    <w:p>
      <w:pPr>
        <w:spacing w:after="0" w:line="17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Investment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amortized cost and estimated fair value of investment securities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Amortized</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6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Gains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5,439,071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252,007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5,690,161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5,583,688</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253,168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5,821,274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2,064,946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117,092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2,181,997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2,158,982</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126,515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2,266,087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debt securities</w:t>
            </w:r>
          </w:p>
        </w:tc>
        <w:tc>
          <w:tcPr>
            <w:tcW w:w="10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7,742,670</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379,683</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34,992</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8,087,361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securities:</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72,907</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 at cost</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380,477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 and other securities</w:t>
            </w:r>
          </w:p>
        </w:tc>
        <w:tc>
          <w:tcPr>
            <w:tcW w:w="10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453,384</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20,704</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474,088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December 31, 2019</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9,742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6,113,913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88,634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6,180,940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6,258,276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90,723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6,318,776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249,862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2,306,180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2,354,569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18,181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2,656,917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2,699,206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securities</w:t>
            </w: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8,915,193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153,185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50,396</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9,017,982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Equity and other securities:</w:t>
            </w: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 at cost</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381,517</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and other securities</w:t>
            </w: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487,041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21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116"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There were no significant gross realized gains or losses from sales of investment securities for the three-month and six-month periods ended June 30, 2020 and 2019. Unrealized gains on equity securities during the three months ended June 30, 2020 were $7 million and unrealized losses during the six months ended June 30, 2020 were $14 million, compared with unrealized gains of $9 million and $21 million during the three months and six months ended June 30, 2019, respectively.</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20"/>
          <w:szCs w:val="20"/>
          <w:color w:val="auto"/>
        </w:rPr>
        <w:t>At June 30, 2020, the amortized cost and estimated fair value of debt securities by contractual maturity were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3"/>
          </w:tcPr>
          <w:p>
            <w:pPr>
              <w:jc w:val="right"/>
              <w:ind w:right="5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6,067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6,089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98,385</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90,175</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24,187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144,601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131,097</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5,439,087</w:t>
            </w:r>
          </w:p>
        </w:tc>
        <w:tc>
          <w:tcPr>
            <w:tcW w:w="2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5,690,177</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3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5,583,688</w:t>
            </w:r>
          </w:p>
        </w:tc>
        <w:tc>
          <w:tcPr>
            <w:tcW w:w="28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5,821,274</w:t>
            </w:r>
          </w:p>
        </w:tc>
        <w:tc>
          <w:tcPr>
            <w:tcW w:w="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4,674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4,678</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2,150,726</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2,257,818</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2,158,982</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2,266,087</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40" w:type="dxa"/>
            <w:vAlign w:val="bottom"/>
            <w:vMerge w:val="restart"/>
          </w:tcPr>
          <w:p>
            <w:pPr>
              <w:jc w:val="right"/>
              <w:ind w:right="7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 summary of investment securities that as of June 30, 2020 and December 31, 2019 had been in a continuous unrealized loss position for less than twelve months and those that had been in a continuous unrealized loss position for twelve months or longer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5"/>
          </w:tcPr>
          <w:p>
            <w:pPr>
              <w:ind w:left="340"/>
              <w:spacing w:after="0"/>
              <w:rPr>
                <w:sz w:val="20"/>
                <w:szCs w:val="20"/>
                <w:color w:val="auto"/>
              </w:rPr>
            </w:pPr>
            <w:r>
              <w:rPr>
                <w:rFonts w:ascii="Arial" w:cs="Arial" w:eastAsia="Arial" w:hAnsi="Arial"/>
                <w:sz w:val="14"/>
                <w:szCs w:val="14"/>
                <w:b w:val="1"/>
                <w:bCs w:val="1"/>
                <w:color w:val="auto"/>
              </w:rPr>
              <w:t>Less Than 12 Months</w:t>
            </w:r>
          </w:p>
        </w:tc>
        <w:tc>
          <w:tcPr>
            <w:tcW w:w="23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12 Months or More</w:t>
            </w:r>
          </w:p>
        </w:tc>
      </w:tr>
      <w:tr>
        <w:trPr>
          <w:trHeight w:val="133"/>
        </w:trPr>
        <w:tc>
          <w:tcPr>
            <w:tcW w:w="4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rPr>
              <w:t>Fair</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Unrealized</w:t>
            </w:r>
          </w:p>
        </w:tc>
        <w:tc>
          <w:tcPr>
            <w:tcW w:w="3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660"/>
              <w:spacing w:after="0" w:line="133" w:lineRule="exact"/>
              <w:rPr>
                <w:sz w:val="20"/>
                <w:szCs w:val="20"/>
                <w:color w:val="auto"/>
              </w:rPr>
            </w:pPr>
            <w:r>
              <w:rPr>
                <w:rFonts w:ascii="Arial" w:cs="Arial" w:eastAsia="Arial" w:hAnsi="Arial"/>
                <w:sz w:val="14"/>
                <w:szCs w:val="14"/>
                <w:b w:val="1"/>
                <w:bCs w:val="1"/>
                <w:color w:val="auto"/>
              </w:rPr>
              <w:t>Fair</w:t>
            </w:r>
          </w:p>
        </w:tc>
        <w:tc>
          <w:tcPr>
            <w:tcW w:w="108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r>
      <w:tr>
        <w:trPr>
          <w:trHeight w:val="171"/>
        </w:trPr>
        <w:tc>
          <w:tcPr>
            <w:tcW w:w="4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Value</w:t>
            </w:r>
          </w:p>
        </w:tc>
        <w:tc>
          <w:tcPr>
            <w:tcW w:w="17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2"/>
              </w:rPr>
              <w:t>Losses</w:t>
            </w:r>
          </w:p>
        </w:tc>
        <w:tc>
          <w:tcPr>
            <w:tcW w:w="11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Losses</w:t>
            </w:r>
          </w:p>
        </w:tc>
      </w:tr>
      <w:tr>
        <w:trPr>
          <w:trHeight w:val="156"/>
        </w:trPr>
        <w:tc>
          <w:tcPr>
            <w:tcW w:w="4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78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23,855</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25,930</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54,951</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(4,385)</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54,318</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(10,271)</w:t>
            </w:r>
          </w:p>
        </w:tc>
      </w:tr>
      <w:tr>
        <w:trPr>
          <w:trHeight w:val="223"/>
        </w:trPr>
        <w:tc>
          <w:tcPr>
            <w:tcW w:w="46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79,791</w:t>
            </w:r>
          </w:p>
        </w:tc>
        <w:tc>
          <w:tcPr>
            <w:tcW w:w="3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3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80,383</w:t>
            </w:r>
          </w:p>
        </w:tc>
        <w:tc>
          <w:tcPr>
            <w:tcW w:w="36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Borders>
              <w:bottom w:val="single" w:sz="8" w:color="CFF0FC"/>
            </w:tcBorders>
          </w:tcPr>
          <w:p>
            <w:pPr>
              <w:spacing w:after="0"/>
              <w:rPr>
                <w:sz w:val="19"/>
                <w:szCs w:val="19"/>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8,430</w:t>
            </w: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7,916</w:t>
            </w:r>
          </w:p>
        </w:tc>
        <w:tc>
          <w:tcPr>
            <w:tcW w:w="38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45,908</w:t>
            </w:r>
          </w:p>
        </w:tc>
        <w:tc>
          <w:tcPr>
            <w:tcW w:w="3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(19,347)</w:t>
            </w:r>
          </w:p>
        </w:tc>
      </w:tr>
      <w:tr>
        <w:trPr>
          <w:trHeight w:val="223"/>
        </w:trPr>
        <w:tc>
          <w:tcPr>
            <w:tcW w:w="460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16,346</w:t>
            </w:r>
          </w:p>
        </w:tc>
        <w:tc>
          <w:tcPr>
            <w:tcW w:w="3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45,908</w:t>
            </w:r>
          </w:p>
        </w:tc>
        <w:tc>
          <w:tcPr>
            <w:tcW w:w="3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96,137</w:t>
            </w:r>
          </w:p>
        </w:tc>
        <w:tc>
          <w:tcPr>
            <w:tcW w:w="3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3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126,291</w:t>
            </w:r>
          </w:p>
        </w:tc>
        <w:tc>
          <w:tcPr>
            <w:tcW w:w="360" w:type="dxa"/>
            <w:vAlign w:val="bottom"/>
            <w:tcBorders>
              <w:bottom w:val="single" w:sz="8" w:color="CFF0FC"/>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(30,122)</w:t>
            </w:r>
          </w:p>
        </w:tc>
        <w:tc>
          <w:tcPr>
            <w:tcW w:w="100" w:type="dxa"/>
            <w:vAlign w:val="bottom"/>
            <w:tcBorders>
              <w:bottom w:val="single" w:sz="8" w:color="CFF0FC"/>
            </w:tcBorders>
          </w:tcPr>
          <w:p>
            <w:pPr>
              <w:spacing w:after="0"/>
              <w:rPr>
                <w:sz w:val="22"/>
                <w:szCs w:val="22"/>
                <w:color w:val="auto"/>
              </w:rPr>
            </w:pPr>
          </w:p>
        </w:tc>
      </w:tr>
      <w:tr>
        <w:trPr>
          <w:trHeight w:val="210"/>
        </w:trPr>
        <w:tc>
          <w:tcPr>
            <w:tcW w:w="4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December 31, 2019</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2,893</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117,299</w:t>
            </w:r>
          </w:p>
        </w:tc>
        <w:tc>
          <w:tcPr>
            <w:tcW w:w="3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2,002,364</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(21,385)</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6,600</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56,313</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(8,243)</w:t>
            </w:r>
          </w:p>
        </w:tc>
      </w:tr>
      <w:tr>
        <w:trPr>
          <w:trHeight w:val="20"/>
        </w:trPr>
        <w:tc>
          <w:tcPr>
            <w:tcW w:w="46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6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125,305</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(583)</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2,061,847</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(29,640)</w:t>
            </w: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6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2,727</w:t>
            </w:r>
          </w:p>
        </w:tc>
        <w:tc>
          <w:tcPr>
            <w:tcW w:w="38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145,235</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(1,987)</w:t>
            </w:r>
          </w:p>
        </w:tc>
      </w:tr>
      <w:tr>
        <w:trPr>
          <w:trHeight w:val="24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49,656</w:t>
            </w:r>
          </w:p>
        </w:tc>
        <w:tc>
          <w:tcPr>
            <w:tcW w:w="3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(18,181)</w:t>
            </w:r>
          </w:p>
        </w:tc>
      </w:tr>
      <w:tr>
        <w:trPr>
          <w:trHeight w:val="20"/>
        </w:trPr>
        <w:tc>
          <w:tcPr>
            <w:tcW w:w="4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2,727</w:t>
            </w:r>
          </w:p>
        </w:tc>
        <w:tc>
          <w:tcPr>
            <w:tcW w:w="3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194,891</w:t>
            </w:r>
          </w:p>
        </w:tc>
        <w:tc>
          <w:tcPr>
            <w:tcW w:w="3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(20,168)</w:t>
            </w:r>
          </w:p>
        </w:tc>
      </w:tr>
      <w:tr>
        <w:trPr>
          <w:trHeight w:val="20"/>
        </w:trPr>
        <w:tc>
          <w:tcPr>
            <w:tcW w:w="46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128,032</w:t>
            </w:r>
          </w:p>
        </w:tc>
        <w:tc>
          <w:tcPr>
            <w:tcW w:w="3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2,256,738</w:t>
            </w: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(49,808)</w:t>
            </w: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Company owned 341 individual debt securities with aggregate gross unrealized losses of $35 million at June 30, 2020. Based on a review of each of the securities in the investment securities portfolio at June 30, 2020, the Company concluded that it expected to recover the amortized cost basis of its investment. As of June 30, 2020, the Company does not intend to sell nor is it anticipated that it would be required to sell any of its impaired investment securities at a loss. At June 30, 2020, the Company has not identified events or changes in circumstances which may have a significant adverse effect on the fair value of the $380 million of cost method equity securities.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116" w:lineRule="exact"/>
        <w:rPr>
          <w:sz w:val="20"/>
          <w:szCs w:val="20"/>
          <w:color w:val="auto"/>
        </w:rPr>
      </w:pPr>
    </w:p>
    <w:p>
      <w:pPr>
        <w:jc w:val="both"/>
        <w:ind w:firstLine="468"/>
        <w:spacing w:after="0" w:line="279" w:lineRule="auto"/>
        <w:rPr>
          <w:sz w:val="20"/>
          <w:szCs w:val="20"/>
          <w:color w:val="auto"/>
        </w:rPr>
      </w:pPr>
      <w:r>
        <w:rPr>
          <w:rFonts w:ascii="Arial" w:cs="Arial" w:eastAsia="Arial" w:hAnsi="Arial"/>
          <w:sz w:val="19"/>
          <w:szCs w:val="19"/>
          <w:color w:val="auto"/>
        </w:rPr>
        <w:t>As described in notes 3 and 15, on January 1, 2020 the Company adopted amended accounting guidance that requires an allowance for credit losses be deducted from the amortized cost basis of financial assets, including investment securities held to maturity, to present the net carrying value at the amount that is expected to be collected over their contractual term. The Company estimated no material allowance for credit losses for its investment securities classified as held-to-maturity at January 1, 2020 or June 30, 2020, as the substantial majority of such investment securities are obligations backed by the U.S. government or its agencies.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Effective January 1, 2020 the Company adopted amended accounting guidance which requires an allowance for credit losses be deducted from the amortized cost basis of financial assets to present the net carrying value at the amount that is expected to be collected over their contractual term considering relevant information about past events, current conditions, and reasonable and supportable forecasts that affect the collectibility of the reported amount. The amended guidance also requires recording an allowance for credit losses for purchased financial assets with a more-than-insignificant amount of credit deterioration since origination. The initial allowance for these assets will be added to the purchase price at acquisition rather than being reported as an expense. Subsequent changes in the allowance will be recorded in the income statement as an adjustment to the provision for credit losses. The new guidance replaced the previous incurred loss model for determining the allowance for credit losses. The adoption resulted in a $132 million increase in the allowance for credit losses at January 1, 2020. Prior to January 1, 2020, the Company generally recognized the excess of cash flows expected at acquisition over the estimated fair value of the acquired loans as interest income over the remaining lives of such loans regardless of the borrowers’ repayment status. Effective with the adoption of the new accounting standard, the Company’s nonaccrual loan policy now applies to loans acquired at a discount. That change added $171 million to nonaccrual loans as of the January 1, 2020 adoption date.</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Past due and nonaccrual loans</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June 30, 2020 and December 31, 2019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Accruing</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Loans Past</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30-89 Days</w:t>
            </w: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Due 90</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Current</w:t>
            </w:r>
          </w:p>
        </w:tc>
        <w:tc>
          <w:tcPr>
            <w:tcW w:w="1400" w:type="dxa"/>
            <w:vAlign w:val="bottom"/>
            <w:gridSpan w:val="2"/>
            <w:vMerge w:val="continue"/>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Days or</w:t>
            </w: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Nonaccrual</w:t>
            </w:r>
          </w:p>
        </w:tc>
        <w:tc>
          <w:tcPr>
            <w:tcW w:w="16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Past Due</w:t>
            </w: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More</w:t>
            </w: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28,855,500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53,005</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10,703</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284,654</w:t>
            </w:r>
          </w:p>
        </w:tc>
        <w:tc>
          <w:tcPr>
            <w:tcW w:w="3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29,203,862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27,250,342</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148,129</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17,305</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172,488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27,588,264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1,418,354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33,752</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7,983,195</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23,911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24,801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85,426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8,117,333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12,746,530</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218,870</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479,027</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306,907</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13,751,334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1,715,896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25,537</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118,695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4,107,387</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34,341</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77,094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6,342,914</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30,170</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24,152</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6,397,236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3,680,749</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41,375</w:t>
            </w:r>
          </w:p>
        </w:tc>
        <w:tc>
          <w:tcPr>
            <w:tcW w:w="3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42,736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1,346,276</w:t>
            </w:r>
          </w:p>
        </w:tc>
        <w:tc>
          <w:tcPr>
            <w:tcW w:w="3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8,910</w:t>
            </w:r>
          </w:p>
        </w:tc>
        <w:tc>
          <w:tcPr>
            <w:tcW w:w="34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3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1,401,855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95,447,143</w:t>
            </w:r>
          </w:p>
        </w:tc>
        <w:tc>
          <w:tcPr>
            <w:tcW w:w="3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618,000</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535,755</w:t>
            </w:r>
          </w:p>
        </w:tc>
        <w:tc>
          <w:tcPr>
            <w:tcW w:w="3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1,156,650</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97,757,548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3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Accruing</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Accruing</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Loans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Acquired at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Loans Past</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a Discount</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30-89 Days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Due 90</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Past Due</w:t>
            </w: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Purchased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Days or</w:t>
            </w:r>
          </w:p>
        </w:tc>
        <w:tc>
          <w:tcPr>
            <w:tcW w:w="2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90 days</w:t>
            </w:r>
          </w:p>
        </w:tc>
        <w:tc>
          <w:tcPr>
            <w:tcW w:w="1080" w:type="dxa"/>
            <w:vAlign w:val="bottom"/>
            <w:gridSpan w:val="2"/>
            <w:vMerge w:val="continue"/>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Nonaccrual</w:t>
            </w:r>
          </w:p>
        </w:tc>
        <w:tc>
          <w:tcPr>
            <w:tcW w:w="280" w:type="dxa"/>
            <w:vAlign w:val="bottom"/>
          </w:tcPr>
          <w:p>
            <w:pPr>
              <w:spacing w:after="0"/>
              <w:rPr>
                <w:sz w:val="12"/>
                <w:szCs w:val="12"/>
                <w:color w:val="auto"/>
              </w:rPr>
            </w:pP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Past Due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More (a)</w:t>
            </w: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or More (b)</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Impaired (c)</w:t>
            </w: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080" w:type="dxa"/>
            <w:vAlign w:val="bottom"/>
            <w:vMerge w:val="restart"/>
          </w:tcPr>
          <w:p>
            <w:pPr>
              <w:spacing w:after="0"/>
              <w:rPr>
                <w:sz w:val="20"/>
                <w:szCs w:val="20"/>
                <w:color w:val="auto"/>
              </w:rPr>
            </w:pPr>
            <w:r>
              <w:rPr>
                <w:rFonts w:ascii="Arial" w:cs="Arial" w:eastAsia="Arial" w:hAnsi="Arial"/>
                <w:sz w:val="18"/>
                <w:szCs w:val="18"/>
                <w:color w:val="auto"/>
              </w:rPr>
              <w:t>December 31, 2019</w:t>
            </w:r>
          </w:p>
        </w:tc>
        <w:tc>
          <w:tcPr>
            <w:tcW w:w="4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$23,290,797</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184,011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346,557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$23,838,168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Real estate:</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26,311,414</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165,579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158,474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26,657,808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Arial" w:cs="Arial" w:eastAsia="Arial" w:hAnsi="Arial"/>
                <w:sz w:val="18"/>
                <w:szCs w:val="18"/>
                <w:color w:val="auto"/>
              </w:rPr>
              <w:t>Residential builder and developer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1,521,315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1,547,245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7,204,148</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7,336,861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12,760,040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451,274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486,515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5,788</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143,145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235,663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14,082,425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 limited</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documentation</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1,858,037</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65,215</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66,809</w:t>
            </w: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83,427</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2,073,669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Consumer:</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4,386,511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30,229</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63,215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4,481,617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60"/>
              <w:spacing w:after="0"/>
              <w:rPr>
                <w:sz w:val="20"/>
                <w:szCs w:val="20"/>
                <w:color w:val="auto"/>
              </w:rPr>
            </w:pPr>
            <w:r>
              <w:rPr>
                <w:rFonts w:ascii="Arial" w:cs="Arial" w:eastAsia="Arial" w:hAnsi="Arial"/>
                <w:sz w:val="18"/>
                <w:szCs w:val="18"/>
                <w:color w:val="auto"/>
              </w:rPr>
              <w:t>Recreational finance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5,484,997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14,219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5,536,142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3,787,221</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78,478</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3,886,992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60"/>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1,395,240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45,978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32,056</w:t>
            </w:r>
          </w:p>
        </w:tc>
        <w:tc>
          <w:tcPr>
            <w:tcW w:w="3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1,481,942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87,999,720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1,174,132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963,112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90,922,869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9" w:lineRule="exact"/>
        <w:rPr>
          <w:rFonts w:ascii="Arial" w:cs="Arial" w:eastAsia="Arial" w:hAnsi="Arial"/>
          <w:sz w:val="18"/>
          <w:szCs w:val="18"/>
          <w:i w:val="1"/>
          <w:iCs w:val="1"/>
          <w:color w:val="auto"/>
        </w:rPr>
      </w:pPr>
    </w:p>
    <w:p>
      <w:pPr>
        <w:ind w:left="560" w:right="20" w:hanging="552"/>
        <w:spacing w:after="0" w:line="250"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sz w:val="20"/>
          <w:szCs w:val="20"/>
          <w:color w:val="auto"/>
        </w:rPr>
      </w:pPr>
    </w:p>
    <w:p>
      <w:pPr>
        <w:spacing w:after="0" w:line="22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A summary of outstanding loan balances for which COVID-19 related modifications were granted as of June 30, 2020 is presented below. These loans meet the criteria described in note 1 and, as such, are not considered past due or otherwise in default of loan terms. Loans to motor vehicle and recreational finance dealers comprised $3.3 billion and $823 million of the total COVID-19 modifications of commercial, financial, leasing and commercial real estate loans, respectively.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444"/>
        </w:trPr>
        <w:tc>
          <w:tcPr>
            <w:tcW w:w="54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5,302,196</w:t>
            </w:r>
          </w:p>
        </w:tc>
        <w:tc>
          <w:tcPr>
            <w:tcW w:w="60" w:type="dxa"/>
            <w:vAlign w:val="bottom"/>
          </w:tcPr>
          <w:p>
            <w:pPr>
              <w:spacing w:after="0"/>
              <w:rPr>
                <w:sz w:val="24"/>
                <w:szCs w:val="24"/>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7,802,006</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18,253</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861,536</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1,737,483</w:t>
            </w:r>
          </w:p>
        </w:tc>
        <w:tc>
          <w:tcPr>
            <w:tcW w:w="6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538,671</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88,162</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254,205</w:t>
            </w:r>
          </w:p>
        </w:tc>
        <w:tc>
          <w:tcPr>
            <w:tcW w:w="60" w:type="dxa"/>
            <w:vAlign w:val="bottom"/>
            <w:shd w:val="clear" w:color="auto" w:fill="CFF0FC"/>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Automobile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326,113</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16,611</w:t>
            </w:r>
          </w:p>
        </w:tc>
        <w:tc>
          <w:tcPr>
            <w:tcW w:w="60" w:type="dxa"/>
            <w:vAlign w:val="bottom"/>
            <w:shd w:val="clear" w:color="auto" w:fill="CFF0FC"/>
          </w:tcPr>
          <w:p>
            <w:pPr>
              <w:spacing w:after="0"/>
              <w:rPr>
                <w:sz w:val="19"/>
                <w:szCs w:val="19"/>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16,945,236</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jc w:val="both"/>
        <w:ind w:right="20" w:firstLine="510"/>
        <w:spacing w:after="0" w:line="252" w:lineRule="auto"/>
        <w:rPr>
          <w:sz w:val="20"/>
          <w:szCs w:val="20"/>
          <w:color w:val="auto"/>
        </w:rPr>
      </w:pPr>
      <w:r>
        <w:rPr>
          <w:rFonts w:ascii="Arial" w:cs="Arial" w:eastAsia="Arial" w:hAnsi="Arial"/>
          <w:sz w:val="21"/>
          <w:szCs w:val="21"/>
          <w:color w:val="auto"/>
        </w:rPr>
        <w:t>One-to-four family residential mortgage loans held for sale were $440 million and $414 million at June 30, 2020 and December 31, 2019, respectively. Commercial real estate loans held for sale were $255 million at June 30, 2020 and $28 million at December 31, 2019.</w:t>
      </w:r>
    </w:p>
    <w:p>
      <w:pPr>
        <w:spacing w:after="0" w:line="21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for which interest income was recognized based on expected future cash flows that were included in the consolidated balance sheet at December 31, 2019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4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Outstanding principal balance</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769,414</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Carrying amount: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21,114</w:t>
            </w:r>
          </w:p>
        </w:tc>
        <w:tc>
          <w:tcPr>
            <w:tcW w:w="60" w:type="dxa"/>
            <w:vAlign w:val="bottom"/>
            <w:shd w:val="clear" w:color="auto" w:fill="CFF0FC"/>
          </w:tcPr>
          <w:p>
            <w:pPr>
              <w:spacing w:after="0"/>
              <w:rPr>
                <w:sz w:val="19"/>
                <w:szCs w:val="19"/>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94,890</w:t>
            </w:r>
          </w:p>
        </w:tc>
        <w:tc>
          <w:tcPr>
            <w:tcW w:w="60" w:type="dxa"/>
            <w:vAlign w:val="bottom"/>
          </w:tcPr>
          <w:p>
            <w:pPr>
              <w:spacing w:after="0"/>
              <w:rPr>
                <w:sz w:val="19"/>
                <w:szCs w:val="19"/>
                <w:color w:val="auto"/>
              </w:rPr>
            </w:pPr>
          </w:p>
        </w:tc>
      </w:tr>
      <w:tr>
        <w:trPr>
          <w:trHeight w:val="229"/>
        </w:trPr>
        <w:tc>
          <w:tcPr>
            <w:tcW w:w="4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341,807</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77,785</w:t>
            </w:r>
          </w:p>
        </w:tc>
        <w:tc>
          <w:tcPr>
            <w:tcW w:w="60" w:type="dxa"/>
            <w:vAlign w:val="bottom"/>
            <w:tcBorders>
              <w:bottom w:val="single" w:sz="8" w:color="CFF0FC"/>
            </w:tcBorders>
          </w:tcPr>
          <w:p>
            <w:pPr>
              <w:spacing w:after="0"/>
              <w:rPr>
                <w:sz w:val="19"/>
                <w:szCs w:val="19"/>
                <w:color w:val="auto"/>
              </w:rPr>
            </w:pPr>
          </w:p>
        </w:tc>
      </w:tr>
      <w:tr>
        <w:trPr>
          <w:trHeight w:val="223"/>
        </w:trPr>
        <w:tc>
          <w:tcPr>
            <w:tcW w:w="41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535,596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Purchased impaired loans included in the table above totaled $228 million at December 31, 2019, representing less than 1% of the Company’s assets at that date. A summary of changes in the accretable yield for loans acquired at a discount for the three months and six months ended June 30, 2019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020" w:type="dxa"/>
            <w:vAlign w:val="bottom"/>
          </w:tcPr>
          <w:p>
            <w:pPr>
              <w:spacing w:after="0"/>
              <w:rPr>
                <w:sz w:val="14"/>
                <w:szCs w:val="14"/>
                <w:color w:val="auto"/>
              </w:rPr>
            </w:pPr>
          </w:p>
        </w:tc>
        <w:tc>
          <w:tcPr>
            <w:tcW w:w="180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30, 2019</w:t>
            </w:r>
          </w:p>
        </w:tc>
        <w:tc>
          <w:tcPr>
            <w:tcW w:w="26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 2019</w:t>
            </w:r>
          </w:p>
        </w:tc>
      </w:tr>
      <w:tr>
        <w:trPr>
          <w:trHeight w:val="146"/>
        </w:trPr>
        <w:tc>
          <w:tcPr>
            <w:tcW w:w="5020" w:type="dxa"/>
            <w:vAlign w:val="bottom"/>
          </w:tcPr>
          <w:p>
            <w:pPr>
              <w:spacing w:after="0"/>
              <w:rPr>
                <w:sz w:val="12"/>
                <w:szCs w:val="12"/>
                <w:color w:val="auto"/>
              </w:rPr>
            </w:pPr>
          </w:p>
        </w:tc>
        <w:tc>
          <w:tcPr>
            <w:tcW w:w="1040" w:type="dxa"/>
            <w:vAlign w:val="bottom"/>
            <w:tcBorders>
              <w:top w:val="single" w:sz="8" w:color="auto"/>
            </w:tcBorders>
            <w:gridSpan w:val="2"/>
          </w:tcPr>
          <w:p>
            <w:pPr>
              <w:ind w:left="60"/>
              <w:spacing w:after="0" w:line="147" w:lineRule="exact"/>
              <w:rPr>
                <w:sz w:val="20"/>
                <w:szCs w:val="20"/>
                <w:color w:val="auto"/>
              </w:rPr>
            </w:pPr>
            <w:r>
              <w:rPr>
                <w:rFonts w:ascii="Arial" w:cs="Arial" w:eastAsia="Arial" w:hAnsi="Arial"/>
                <w:sz w:val="14"/>
                <w:szCs w:val="14"/>
                <w:b w:val="1"/>
                <w:bCs w:val="1"/>
                <w:color w:val="auto"/>
              </w:rPr>
              <w:t>Purchased</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7"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4"/>
              </w:rPr>
              <w:t>Purchased</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47"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r>
      <w:tr>
        <w:trPr>
          <w:trHeight w:val="171"/>
        </w:trPr>
        <w:tc>
          <w:tcPr>
            <w:tcW w:w="502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Impaired</w:t>
            </w:r>
          </w:p>
        </w:tc>
        <w:tc>
          <w:tcPr>
            <w:tcW w:w="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Acquired</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Impaired</w:t>
            </w: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Acquired</w:t>
            </w:r>
          </w:p>
        </w:tc>
      </w:tr>
      <w:tr>
        <w:trPr>
          <w:trHeight w:val="180"/>
        </w:trPr>
        <w:tc>
          <w:tcPr>
            <w:tcW w:w="50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462"/>
        </w:trPr>
        <w:tc>
          <w:tcPr>
            <w:tcW w:w="502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$ 140,317</w:t>
            </w:r>
          </w:p>
        </w:tc>
        <w:tc>
          <w:tcPr>
            <w:tcW w:w="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93,687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$ 147,210</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96,907</w:t>
            </w:r>
          </w:p>
        </w:tc>
        <w:tc>
          <w:tcPr>
            <w:tcW w:w="80" w:type="dxa"/>
            <w:vAlign w:val="bottom"/>
          </w:tcPr>
          <w:p>
            <w:pPr>
              <w:spacing w:after="0"/>
              <w:rPr>
                <w:sz w:val="24"/>
                <w:szCs w:val="24"/>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(9,632)</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(9,666)</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(27,714)</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(19,383)</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Reclassifications from nonaccretable balance</w:t>
            </w:r>
          </w:p>
        </w:tc>
        <w:tc>
          <w:tcPr>
            <w:tcW w:w="780" w:type="dxa"/>
            <w:vAlign w:val="bottom"/>
          </w:tcPr>
          <w:p>
            <w:pPr>
              <w:jc w:val="right"/>
              <w:spacing w:after="0"/>
              <w:rPr>
                <w:sz w:val="20"/>
                <w:szCs w:val="20"/>
                <w:color w:val="auto"/>
              </w:rPr>
            </w:pPr>
            <w:r>
              <w:rPr>
                <w:rFonts w:ascii="Arial" w:cs="Arial" w:eastAsia="Arial" w:hAnsi="Arial"/>
                <w:sz w:val="18"/>
                <w:szCs w:val="18"/>
                <w:color w:val="auto"/>
              </w:rPr>
              <w:t>16,419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8,322</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(a)</w:t>
            </w: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$ 147,104</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90,911</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$ 147,104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90,911</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Other changes in expected cash flows included changes in interest rates and prepayment assumptions.</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quality indicators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w:t>
      </w:r>
    </w:p>
    <w:p>
      <w:pPr>
        <w:spacing w:after="0" w:line="81"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At least annually, updated financial information is obtained from commercial borrowers associated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w:t>
      </w:r>
    </w:p>
    <w:p>
      <w:pPr>
        <w:spacing w:after="0" w:line="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The following table summarizes the loan grades applied at June 30, 2020 to the various classes of the Company’s commercial loans and commercial real estate loans by origination year.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Revolving</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Converted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9"/>
          </w:tcPr>
          <w:p>
            <w:pPr>
              <w:ind w:left="600"/>
              <w:spacing w:after="0"/>
              <w:rPr>
                <w:sz w:val="20"/>
                <w:szCs w:val="20"/>
                <w:color w:val="auto"/>
              </w:rPr>
            </w:pPr>
            <w:r>
              <w:rPr>
                <w:rFonts w:ascii="Arial" w:cs="Arial" w:eastAsia="Arial" w:hAnsi="Arial"/>
                <w:sz w:val="16"/>
                <w:szCs w:val="16"/>
                <w:b w:val="1"/>
                <w:bCs w:val="1"/>
                <w:color w:val="auto"/>
              </w:rPr>
              <w:t>Term Loans by Origination Year</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Revolving</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to Term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9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Prior</w:t>
            </w: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Loans</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7"/>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w w:val="90"/>
              </w:rPr>
              <w:t>(In thousands)</w:t>
            </w: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580" w:type="dxa"/>
            <w:vAlign w:val="bottom"/>
          </w:tcPr>
          <w:p>
            <w:pPr>
              <w:spacing w:after="0"/>
              <w:rPr>
                <w:sz w:val="20"/>
                <w:szCs w:val="20"/>
                <w:color w:val="auto"/>
              </w:rPr>
            </w:pPr>
            <w:r>
              <w:rPr>
                <w:rFonts w:ascii="Arial" w:cs="Arial" w:eastAsia="Arial" w:hAnsi="Arial"/>
                <w:sz w:val="16"/>
                <w:szCs w:val="16"/>
                <w:color w:val="auto"/>
              </w:rPr>
              <w:t>Commercial, financial, leasing, etc.: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7,944,081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2,571,703</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1,744,756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1,074,677</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878,129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1,579,718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11,451,339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32,192</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27,276,595</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313,697</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88,164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164,361</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64,980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50,254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82,987</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868,964</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1,642,613</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7,816</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50,512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24,345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20,238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48,234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123,671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284,654</w:t>
            </w:r>
          </w:p>
        </w:tc>
        <w:tc>
          <w:tcPr>
            <w:tcW w:w="100" w:type="dxa"/>
            <w:vAlign w:val="bottom"/>
          </w:tcPr>
          <w:p>
            <w:pPr>
              <w:spacing w:after="0"/>
              <w:rPr>
                <w:sz w:val="18"/>
                <w:szCs w:val="18"/>
                <w:color w:val="auto"/>
              </w:rPr>
            </w:pPr>
          </w:p>
        </w:tc>
      </w:tr>
      <w:tr>
        <w:trPr>
          <w:trHeight w:val="20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commercial, financial,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leasing, etc.</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8,260,467</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2,667,683</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1,959,629</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1,164,002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948,621</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1,710,939</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12,443,974</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48,547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29,203,862</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Real estate: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2,055,007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4,937,718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3,679,741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3,005,081</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3,131,570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6,729,170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844,868</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24,383,155</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206,417</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446,695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396,270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141,128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634,733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1,165,443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41,935</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3,032,621</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6,089</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21,882</w:t>
            </w:r>
          </w:p>
        </w:tc>
        <w:tc>
          <w:tcPr>
            <w:tcW w:w="1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29,149</w:t>
            </w:r>
          </w:p>
        </w:tc>
        <w:tc>
          <w:tcPr>
            <w:tcW w:w="18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111,409</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172,488</w:t>
            </w:r>
          </w:p>
        </w:tc>
        <w:tc>
          <w:tcPr>
            <w:tcW w:w="100" w:type="dxa"/>
            <w:vAlign w:val="bottom"/>
            <w:tcBorders>
              <w:bottom w:val="single" w:sz="8" w:color="CFF0FC"/>
            </w:tcBorders>
          </w:tcPr>
          <w:p>
            <w:pPr>
              <w:spacing w:after="0"/>
              <w:rPr>
                <w:sz w:val="18"/>
                <w:szCs w:val="18"/>
                <w:color w:val="auto"/>
              </w:rPr>
            </w:pPr>
          </w:p>
        </w:tc>
      </w:tr>
      <w:tr>
        <w:trPr>
          <w:trHeight w:val="210"/>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Total commercial real estate</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2,261,424</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5,387,940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4,082,100</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3,168,091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3,795,452</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8,006,022</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887,235</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27,588,264</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80" w:type="dxa"/>
            <w:vAlign w:val="bottom"/>
            <w:shd w:val="clear" w:color="auto" w:fill="CFF0FC"/>
          </w:tcPr>
          <w:p>
            <w:pPr>
              <w:spacing w:after="0"/>
              <w:rPr>
                <w:sz w:val="20"/>
                <w:szCs w:val="20"/>
                <w:color w:val="auto"/>
              </w:rPr>
            </w:pPr>
            <w:r>
              <w:rPr>
                <w:rFonts w:ascii="Arial" w:cs="Arial" w:eastAsia="Arial" w:hAnsi="Arial"/>
                <w:sz w:val="16"/>
                <w:szCs w:val="16"/>
                <w:color w:val="auto"/>
              </w:rPr>
              <w:t>Residential builder and developer:</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580" w:type="dxa"/>
            <w:vAlign w:val="bottom"/>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285,891</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526,779</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254,416</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51,814</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14,710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223,428</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1,373,793</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4,086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12,964</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16,349</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17,164</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22,557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4,891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78,313</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w:t>
            </w:r>
          </w:p>
        </w:tc>
        <w:tc>
          <w:tcPr>
            <w:tcW w:w="100" w:type="dxa"/>
            <w:vAlign w:val="bottom"/>
            <w:shd w:val="clear" w:color="auto" w:fill="CFF0FC"/>
          </w:tcPr>
          <w:p>
            <w:pPr>
              <w:spacing w:after="0"/>
              <w:rPr>
                <w:sz w:val="19"/>
                <w:szCs w:val="19"/>
                <w:color w:val="auto"/>
              </w:rPr>
            </w:pPr>
          </w:p>
        </w:tc>
      </w:tr>
      <w:tr>
        <w:trPr>
          <w:trHeight w:val="200"/>
        </w:trPr>
        <w:tc>
          <w:tcPr>
            <w:tcW w:w="2580" w:type="dxa"/>
            <w:vAlign w:val="bottom"/>
          </w:tcPr>
          <w:p>
            <w:pPr>
              <w:spacing w:after="0"/>
              <w:rPr>
                <w:sz w:val="20"/>
                <w:szCs w:val="20"/>
                <w:color w:val="auto"/>
              </w:rPr>
            </w:pPr>
            <w:r>
              <w:rPr>
                <w:rFonts w:ascii="Arial" w:cs="Arial" w:eastAsia="Arial" w:hAnsi="Arial"/>
                <w:sz w:val="16"/>
                <w:szCs w:val="16"/>
                <w:color w:val="auto"/>
              </w:rPr>
              <w:t>Total residential builder and</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2580" w:type="dxa"/>
            <w:vAlign w:val="bottom"/>
          </w:tcPr>
          <w:p>
            <w:pPr>
              <w:ind w:left="120"/>
              <w:spacing w:after="0"/>
              <w:rPr>
                <w:sz w:val="20"/>
                <w:szCs w:val="20"/>
                <w:color w:val="auto"/>
              </w:rPr>
            </w:pPr>
            <w:r>
              <w:rPr>
                <w:rFonts w:ascii="Arial" w:cs="Arial" w:eastAsia="Arial" w:hAnsi="Arial"/>
                <w:sz w:val="16"/>
                <w:szCs w:val="16"/>
                <w:color w:val="auto"/>
              </w:rPr>
              <w:t>developer</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289,977</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539,743</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270,765</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68,978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15,314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40,758</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228,319</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1,453,854</w:t>
            </w:r>
          </w:p>
        </w:tc>
        <w:tc>
          <w:tcPr>
            <w:tcW w:w="100" w:type="dxa"/>
            <w:vAlign w:val="bottom"/>
          </w:tcPr>
          <w:p>
            <w:pPr>
              <w:spacing w:after="0"/>
              <w:rPr>
                <w:sz w:val="21"/>
                <w:szCs w:val="21"/>
                <w:color w:val="auto"/>
              </w:rPr>
            </w:pPr>
          </w:p>
        </w:tc>
      </w:tr>
      <w:tr>
        <w:trPr>
          <w:trHeight w:val="200"/>
        </w:trPr>
        <w:tc>
          <w:tcPr>
            <w:tcW w:w="2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2580" w:type="dxa"/>
            <w:vAlign w:val="bottom"/>
          </w:tcPr>
          <w:p>
            <w:pPr>
              <w:spacing w:after="0"/>
              <w:rPr>
                <w:sz w:val="20"/>
                <w:szCs w:val="20"/>
                <w:color w:val="auto"/>
              </w:rPr>
            </w:pPr>
            <w:r>
              <w:rPr>
                <w:rFonts w:ascii="Arial" w:cs="Arial" w:eastAsia="Arial" w:hAnsi="Arial"/>
                <w:sz w:val="16"/>
                <w:szCs w:val="16"/>
                <w:color w:val="auto"/>
              </w:rPr>
              <w:t>Other commercial construction: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Loan grades:</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Pass</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459,366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2,340,490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2,314,047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1,254,678</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404,993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318,387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80,428</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7,172,389</w:t>
            </w:r>
          </w:p>
        </w:tc>
        <w:tc>
          <w:tcPr>
            <w:tcW w:w="100" w:type="dxa"/>
            <w:vAlign w:val="bottom"/>
          </w:tcPr>
          <w:p>
            <w:pPr>
              <w:spacing w:after="0"/>
              <w:rPr>
                <w:sz w:val="18"/>
                <w:szCs w:val="18"/>
                <w:color w:val="auto"/>
              </w:rPr>
            </w:pPr>
          </w:p>
        </w:tc>
      </w:tr>
      <w:tr>
        <w:trPr>
          <w:trHeight w:val="219"/>
        </w:trPr>
        <w:tc>
          <w:tcPr>
            <w:tcW w:w="2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Criticized accrual</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22,850</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205,065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264,298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216,998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138,268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12,039</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859,518</w:t>
            </w:r>
          </w:p>
        </w:tc>
        <w:tc>
          <w:tcPr>
            <w:tcW w:w="100" w:type="dxa"/>
            <w:vAlign w:val="bottom"/>
            <w:shd w:val="clear" w:color="auto" w:fill="CFF0FC"/>
          </w:tcPr>
          <w:p>
            <w:pPr>
              <w:spacing w:after="0"/>
              <w:rPr>
                <w:sz w:val="19"/>
                <w:szCs w:val="19"/>
                <w:color w:val="auto"/>
              </w:rPr>
            </w:pPr>
          </w:p>
        </w:tc>
      </w:tr>
      <w:tr>
        <w:trPr>
          <w:trHeight w:val="213"/>
        </w:trPr>
        <w:tc>
          <w:tcPr>
            <w:tcW w:w="2580" w:type="dxa"/>
            <w:vAlign w:val="bottom"/>
          </w:tcPr>
          <w:p>
            <w:pPr>
              <w:ind w:left="420"/>
              <w:spacing w:after="0"/>
              <w:rPr>
                <w:sz w:val="20"/>
                <w:szCs w:val="20"/>
                <w:color w:val="auto"/>
              </w:rPr>
            </w:pPr>
            <w:r>
              <w:rPr>
                <w:rFonts w:ascii="Arial" w:cs="Arial" w:eastAsia="Arial" w:hAnsi="Arial"/>
                <w:sz w:val="16"/>
                <w:szCs w:val="16"/>
                <w:color w:val="auto"/>
              </w:rPr>
              <w:t>Criticized nonaccrual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57,773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22,171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5,132</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85,426</w:t>
            </w:r>
          </w:p>
        </w:tc>
        <w:tc>
          <w:tcPr>
            <w:tcW w:w="100" w:type="dxa"/>
            <w:vAlign w:val="bottom"/>
          </w:tcPr>
          <w:p>
            <w:pPr>
              <w:spacing w:after="0"/>
              <w:rPr>
                <w:sz w:val="18"/>
                <w:szCs w:val="18"/>
                <w:color w:val="auto"/>
              </w:rPr>
            </w:pPr>
          </w:p>
        </w:tc>
      </w:tr>
      <w:tr>
        <w:trPr>
          <w:trHeight w:val="20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other commercial</w:t>
            </w: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2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482,216</w:t>
            </w: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2,545,555</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2,578,345</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1,472,026</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601,034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352,597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85,560</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8,117,333</w:t>
            </w:r>
          </w:p>
        </w:tc>
        <w:tc>
          <w:tcPr>
            <w:tcW w:w="100" w:type="dxa"/>
            <w:vAlign w:val="bottom"/>
            <w:shd w:val="clear" w:color="auto" w:fill="CFF0FC"/>
          </w:tcPr>
          <w:p>
            <w:pPr>
              <w:spacing w:after="0"/>
              <w:rPr>
                <w:sz w:val="18"/>
                <w:szCs w:val="18"/>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Increases to criticized loans as of June 30, 2020 as compared with March 31, 2020 were predominantly attributable to effects of the COVID-19 pandemic and the related regrading of loans totaled $3.7 billion, including $759 million of commercial loans, $2.3 billion of commercial real estate loans and $668 million of other commercial construction loans.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considers repayment performance a significant indicator of credit quality for its residential real estate loan and consumer loan portfolios. A summary of loans in accrual and nonaccrual status at June 30, 2020 for the various classes of the Company’s residential real estate loans and consumer loans by origination year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Revolving</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Converted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8"/>
          </w:tcPr>
          <w:p>
            <w:pPr>
              <w:ind w:left="520"/>
              <w:spacing w:after="0"/>
              <w:rPr>
                <w:sz w:val="20"/>
                <w:szCs w:val="20"/>
                <w:color w:val="auto"/>
              </w:rPr>
            </w:pPr>
            <w:r>
              <w:rPr>
                <w:rFonts w:ascii="Arial" w:cs="Arial" w:eastAsia="Arial" w:hAnsi="Arial"/>
                <w:sz w:val="16"/>
                <w:szCs w:val="16"/>
                <w:b w:val="1"/>
                <w:bCs w:val="1"/>
                <w:color w:val="auto"/>
              </w:rPr>
              <w:t>Term Loans by Origination Year</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Revolving</w:t>
            </w: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to Term</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8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Prior</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w:t>
            </w: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20"/>
        </w:trPr>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2840" w:type="dxa"/>
            <w:vAlign w:val="bottom"/>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2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1,386,049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1,446,544</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627,380</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711,769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735,767</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7,785,981</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53,040</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12,746,530</w:t>
            </w:r>
          </w:p>
        </w:tc>
        <w:tc>
          <w:tcPr>
            <w:tcW w:w="100" w:type="dxa"/>
            <w:vAlign w:val="bottom"/>
            <w:shd w:val="clear" w:color="auto" w:fill="CFF0FC"/>
          </w:tcPr>
          <w:p>
            <w:pPr>
              <w:spacing w:after="0"/>
              <w:rPr>
                <w:sz w:val="19"/>
                <w:szCs w:val="19"/>
                <w:color w:val="auto"/>
              </w:rPr>
            </w:pPr>
          </w:p>
        </w:tc>
      </w:tr>
      <w:tr>
        <w:trPr>
          <w:trHeight w:val="230"/>
        </w:trPr>
        <w:tc>
          <w:tcPr>
            <w:tcW w:w="284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2,291</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6,718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20,267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4,256</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177,700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218,870</w:t>
            </w:r>
          </w:p>
        </w:tc>
        <w:tc>
          <w:tcPr>
            <w:tcW w:w="100" w:type="dxa"/>
            <w:vAlign w:val="bottom"/>
          </w:tcPr>
          <w:p>
            <w:pPr>
              <w:spacing w:after="0"/>
              <w:rPr>
                <w:sz w:val="19"/>
                <w:szCs w:val="19"/>
                <w:color w:val="auto"/>
              </w:rPr>
            </w:pPr>
          </w:p>
        </w:tc>
      </w:tr>
      <w:tr>
        <w:trPr>
          <w:trHeight w:val="215"/>
        </w:trPr>
        <w:tc>
          <w:tcPr>
            <w:tcW w:w="28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Accruing loans past due 90</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40" w:type="dxa"/>
            <w:vAlign w:val="bottom"/>
            <w:shd w:val="clear" w:color="auto" w:fill="CFF0FC"/>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8,995</w:t>
            </w:r>
          </w:p>
        </w:tc>
        <w:tc>
          <w:tcPr>
            <w:tcW w:w="2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26,337</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118,899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25,353</w:t>
            </w: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299,326</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479,027</w:t>
            </w:r>
          </w:p>
        </w:tc>
        <w:tc>
          <w:tcPr>
            <w:tcW w:w="100" w:type="dxa"/>
            <w:vAlign w:val="bottom"/>
            <w:shd w:val="clear" w:color="auto" w:fill="CFF0FC"/>
          </w:tcPr>
          <w:p>
            <w:pPr>
              <w:spacing w:after="0"/>
              <w:rPr>
                <w:sz w:val="20"/>
                <w:szCs w:val="20"/>
                <w:color w:val="auto"/>
              </w:rPr>
            </w:pPr>
          </w:p>
        </w:tc>
      </w:tr>
      <w:tr>
        <w:trPr>
          <w:trHeight w:val="230"/>
        </w:trPr>
        <w:tc>
          <w:tcPr>
            <w:tcW w:w="284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5,696</w:t>
            </w:r>
          </w:p>
        </w:tc>
        <w:tc>
          <w:tcPr>
            <w:tcW w:w="20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292,859</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306,907</w:t>
            </w:r>
          </w:p>
        </w:tc>
        <w:tc>
          <w:tcPr>
            <w:tcW w:w="100" w:type="dxa"/>
            <w:vAlign w:val="bottom"/>
            <w:tcBorders>
              <w:bottom w:val="single" w:sz="8" w:color="CFF0FC"/>
            </w:tcBorders>
          </w:tcPr>
          <w:p>
            <w:pPr>
              <w:spacing w:after="0"/>
              <w:rPr>
                <w:sz w:val="19"/>
                <w:szCs w:val="19"/>
                <w:color w:val="auto"/>
              </w:rPr>
            </w:pPr>
          </w:p>
        </w:tc>
      </w:tr>
      <w:tr>
        <w:trPr>
          <w:trHeight w:val="223"/>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Total residential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1,388,486</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1,467,021</w:t>
            </w: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663,365</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856,631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766,326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8,555,866</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53,639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2"/>
              </w:rPr>
              <w:t>13,751,334</w:t>
            </w:r>
          </w:p>
        </w:tc>
        <w:tc>
          <w:tcPr>
            <w:tcW w:w="100" w:type="dxa"/>
            <w:vAlign w:val="bottom"/>
            <w:shd w:val="clear" w:color="auto" w:fill="CFF0FC"/>
          </w:tcPr>
          <w:p>
            <w:pPr>
              <w:spacing w:after="0"/>
              <w:rPr>
                <w:sz w:val="19"/>
                <w:szCs w:val="19"/>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w w:val="98"/>
              </w:rPr>
              <w:t>Residential - limited documentation:</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84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1,715,896</w:t>
            </w:r>
          </w:p>
        </w:tc>
        <w:tc>
          <w:tcPr>
            <w:tcW w:w="2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1,715,896</w:t>
            </w:r>
          </w:p>
        </w:tc>
        <w:tc>
          <w:tcPr>
            <w:tcW w:w="100" w:type="dxa"/>
            <w:vAlign w:val="bottom"/>
          </w:tcPr>
          <w:p>
            <w:pPr>
              <w:spacing w:after="0"/>
              <w:rPr>
                <w:sz w:val="19"/>
                <w:szCs w:val="19"/>
                <w:color w:val="auto"/>
              </w:rPr>
            </w:pPr>
          </w:p>
        </w:tc>
      </w:tr>
      <w:tr>
        <w:trPr>
          <w:trHeight w:val="229"/>
        </w:trPr>
        <w:tc>
          <w:tcPr>
            <w:tcW w:w="2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25,537</w:t>
            </w:r>
          </w:p>
        </w:tc>
        <w:tc>
          <w:tcPr>
            <w:tcW w:w="100" w:type="dxa"/>
            <w:vAlign w:val="bottom"/>
            <w:shd w:val="clear" w:color="auto" w:fill="CFF0FC"/>
          </w:tcPr>
          <w:p>
            <w:pPr>
              <w:spacing w:after="0"/>
              <w:rPr>
                <w:sz w:val="19"/>
                <w:szCs w:val="19"/>
                <w:color w:val="auto"/>
              </w:rPr>
            </w:pPr>
          </w:p>
        </w:tc>
      </w:tr>
      <w:tr>
        <w:trPr>
          <w:trHeight w:val="215"/>
        </w:trPr>
        <w:tc>
          <w:tcPr>
            <w:tcW w:w="284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9"/>
        </w:trPr>
        <w:tc>
          <w:tcPr>
            <w:tcW w:w="2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118,695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118,695</w:t>
            </w:r>
          </w:p>
        </w:tc>
        <w:tc>
          <w:tcPr>
            <w:tcW w:w="100" w:type="dxa"/>
            <w:vAlign w:val="bottom"/>
            <w:shd w:val="clear" w:color="auto" w:fill="CFF0FC"/>
          </w:tcPr>
          <w:p>
            <w:pPr>
              <w:spacing w:after="0"/>
              <w:rPr>
                <w:sz w:val="19"/>
                <w:szCs w:val="19"/>
                <w:color w:val="auto"/>
              </w:rPr>
            </w:pPr>
          </w:p>
        </w:tc>
      </w:tr>
      <w:tr>
        <w:trPr>
          <w:trHeight w:val="209"/>
        </w:trPr>
        <w:tc>
          <w:tcPr>
            <w:tcW w:w="2840" w:type="dxa"/>
            <w:vAlign w:val="bottom"/>
          </w:tcPr>
          <w:p>
            <w:pPr>
              <w:spacing w:after="0"/>
              <w:rPr>
                <w:sz w:val="20"/>
                <w:szCs w:val="20"/>
                <w:color w:val="auto"/>
              </w:rPr>
            </w:pPr>
            <w:r>
              <w:rPr>
                <w:rFonts w:ascii="Arial" w:cs="Arial" w:eastAsia="Arial" w:hAnsi="Arial"/>
                <w:sz w:val="18"/>
                <w:szCs w:val="18"/>
                <w:color w:val="auto"/>
              </w:rPr>
              <w:t>Total residential - limited</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2840" w:type="dxa"/>
            <w:vAlign w:val="bottom"/>
          </w:tcPr>
          <w:p>
            <w:pPr>
              <w:ind w:left="140"/>
              <w:spacing w:after="0"/>
              <w:rPr>
                <w:sz w:val="20"/>
                <w:szCs w:val="20"/>
                <w:color w:val="auto"/>
              </w:rPr>
            </w:pPr>
            <w:r>
              <w:rPr>
                <w:rFonts w:ascii="Arial" w:cs="Arial" w:eastAsia="Arial" w:hAnsi="Arial"/>
                <w:sz w:val="18"/>
                <w:szCs w:val="18"/>
                <w:color w:val="auto"/>
              </w:rPr>
              <w:t>documentation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1,860,128</w:t>
            </w:r>
          </w:p>
        </w:tc>
        <w:tc>
          <w:tcPr>
            <w:tcW w:w="2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1,860,128</w:t>
            </w:r>
          </w:p>
        </w:tc>
        <w:tc>
          <w:tcPr>
            <w:tcW w:w="100" w:type="dxa"/>
            <w:vAlign w:val="bottom"/>
          </w:tcPr>
          <w:p>
            <w:pPr>
              <w:spacing w:after="0"/>
              <w:rPr>
                <w:sz w:val="23"/>
                <w:szCs w:val="23"/>
                <w:color w:val="auto"/>
              </w:rPr>
            </w:pPr>
          </w:p>
        </w:tc>
      </w:tr>
      <w:tr>
        <w:trPr>
          <w:trHeight w:val="210"/>
        </w:trPr>
        <w:tc>
          <w:tcPr>
            <w:tcW w:w="28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Home equity lines and loans:</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840" w:type="dxa"/>
            <w:vAlign w:val="bottom"/>
          </w:tcPr>
          <w:p>
            <w:pPr>
              <w:ind w:left="4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852</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4,931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2,550</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2,731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60,569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2,687,506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1,348,093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4,107,387</w:t>
            </w:r>
          </w:p>
        </w:tc>
        <w:tc>
          <w:tcPr>
            <w:tcW w:w="100" w:type="dxa"/>
            <w:vAlign w:val="bottom"/>
          </w:tcPr>
          <w:p>
            <w:pPr>
              <w:spacing w:after="0"/>
              <w:rPr>
                <w:sz w:val="19"/>
                <w:szCs w:val="19"/>
                <w:color w:val="auto"/>
              </w:rPr>
            </w:pPr>
          </w:p>
        </w:tc>
      </w:tr>
      <w:tr>
        <w:trPr>
          <w:trHeight w:val="230"/>
        </w:trPr>
        <w:tc>
          <w:tcPr>
            <w:tcW w:w="2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30-89 days past due</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1,770</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34,341</w:t>
            </w:r>
          </w:p>
        </w:tc>
        <w:tc>
          <w:tcPr>
            <w:tcW w:w="100" w:type="dxa"/>
            <w:vAlign w:val="bottom"/>
            <w:shd w:val="clear" w:color="auto" w:fill="CFF0FC"/>
          </w:tcPr>
          <w:p>
            <w:pPr>
              <w:spacing w:after="0"/>
              <w:rPr>
                <w:sz w:val="19"/>
                <w:szCs w:val="19"/>
                <w:color w:val="auto"/>
              </w:rPr>
            </w:pPr>
          </w:p>
        </w:tc>
      </w:tr>
      <w:tr>
        <w:trPr>
          <w:trHeight w:val="215"/>
        </w:trPr>
        <w:tc>
          <w:tcPr>
            <w:tcW w:w="2840" w:type="dxa"/>
            <w:vAlign w:val="bottom"/>
          </w:tcPr>
          <w:p>
            <w:pPr>
              <w:ind w:left="460"/>
              <w:spacing w:after="0"/>
              <w:rPr>
                <w:sz w:val="20"/>
                <w:szCs w:val="20"/>
                <w:color w:val="auto"/>
              </w:rPr>
            </w:pPr>
            <w:r>
              <w:rPr>
                <w:rFonts w:ascii="Arial" w:cs="Arial" w:eastAsia="Arial" w:hAnsi="Arial"/>
                <w:sz w:val="18"/>
                <w:szCs w:val="18"/>
                <w:color w:val="auto"/>
              </w:rPr>
              <w:t>Accruing loans past due 90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40" w:type="dxa"/>
            <w:vAlign w:val="bottom"/>
          </w:tcPr>
          <w:p>
            <w:pPr>
              <w:ind w:left="540"/>
              <w:spacing w:after="0"/>
              <w:rPr>
                <w:sz w:val="20"/>
                <w:szCs w:val="20"/>
                <w:color w:val="auto"/>
              </w:rPr>
            </w:pPr>
            <w:r>
              <w:rPr>
                <w:rFonts w:ascii="Arial" w:cs="Arial" w:eastAsia="Arial" w:hAnsi="Arial"/>
                <w:sz w:val="18"/>
                <w:szCs w:val="18"/>
                <w:color w:val="auto"/>
              </w:rPr>
              <w:t>days or more</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0"/>
        </w:trPr>
        <w:tc>
          <w:tcPr>
            <w:tcW w:w="28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Nonaccrual</w:t>
            </w: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5,895</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w:t>
            </w: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70,003</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77,094</w:t>
            </w:r>
          </w:p>
        </w:tc>
        <w:tc>
          <w:tcPr>
            <w:tcW w:w="100" w:type="dxa"/>
            <w:vAlign w:val="bottom"/>
            <w:shd w:val="clear" w:color="auto" w:fill="CFF0FC"/>
          </w:tcPr>
          <w:p>
            <w:pPr>
              <w:spacing w:after="0"/>
              <w:rPr>
                <w:sz w:val="19"/>
                <w:szCs w:val="19"/>
                <w:color w:val="auto"/>
              </w:rPr>
            </w:pPr>
          </w:p>
        </w:tc>
      </w:tr>
      <w:tr>
        <w:trPr>
          <w:trHeight w:val="263"/>
        </w:trPr>
        <w:tc>
          <w:tcPr>
            <w:tcW w:w="2840" w:type="dxa"/>
            <w:vAlign w:val="bottom"/>
          </w:tcPr>
          <w:p>
            <w:pPr>
              <w:spacing w:after="0"/>
              <w:rPr>
                <w:sz w:val="20"/>
                <w:szCs w:val="20"/>
                <w:color w:val="auto"/>
              </w:rPr>
            </w:pPr>
            <w:r>
              <w:rPr>
                <w:rFonts w:ascii="Arial" w:cs="Arial" w:eastAsia="Arial" w:hAnsi="Arial"/>
                <w:sz w:val="18"/>
                <w:szCs w:val="18"/>
                <w:color w:val="auto"/>
              </w:rPr>
              <w:t>Total home equity lines and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852</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4,951</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2,550</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2,731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68,234</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2,688,702</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1,450,647</w:t>
            </w:r>
          </w:p>
        </w:tc>
        <w:tc>
          <w:tcPr>
            <w:tcW w:w="2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4,218,822</w:t>
            </w:r>
          </w:p>
        </w:tc>
        <w:tc>
          <w:tcPr>
            <w:tcW w:w="100" w:type="dxa"/>
            <w:vAlign w:val="bottom"/>
          </w:tcPr>
          <w:p>
            <w:pPr>
              <w:spacing w:after="0"/>
              <w:rPr>
                <w:sz w:val="22"/>
                <w:szCs w:val="22"/>
                <w:color w:val="auto"/>
              </w:rPr>
            </w:pPr>
          </w:p>
        </w:tc>
      </w:tr>
      <w:tr>
        <w:trPr>
          <w:trHeight w:val="210"/>
        </w:trPr>
        <w:tc>
          <w:tcPr>
            <w:tcW w:w="28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Revolving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Loans</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Converted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ind w:left="660"/>
              <w:spacing w:after="0"/>
              <w:rPr>
                <w:sz w:val="20"/>
                <w:szCs w:val="20"/>
                <w:color w:val="auto"/>
              </w:rPr>
            </w:pPr>
            <w:r>
              <w:rPr>
                <w:rFonts w:ascii="Arial" w:cs="Arial" w:eastAsia="Arial" w:hAnsi="Arial"/>
                <w:sz w:val="16"/>
                <w:szCs w:val="16"/>
                <w:b w:val="1"/>
                <w:bCs w:val="1"/>
                <w:color w:val="auto"/>
              </w:rPr>
              <w:t>Term Loans by Origination Year</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Revolving</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to Term</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9"/>
                <w:szCs w:val="19"/>
                <w:color w:val="auto"/>
              </w:rPr>
            </w:pPr>
          </w:p>
        </w:tc>
        <w:tc>
          <w:tcPr>
            <w:tcW w:w="8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9"/>
                <w:szCs w:val="19"/>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9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Arial" w:cs="Arial" w:eastAsia="Arial" w:hAnsi="Arial"/>
                <w:sz w:val="16"/>
                <w:szCs w:val="16"/>
                <w:b w:val="1"/>
                <w:bCs w:val="1"/>
                <w:color w:val="auto"/>
              </w:rPr>
              <w:t>Prior</w:t>
            </w: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Loans</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Loans</w:t>
            </w:r>
          </w:p>
        </w:tc>
        <w:tc>
          <w:tcPr>
            <w:tcW w:w="10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0"/>
              </w:rPr>
              <w:t>(In thousands)</w:t>
            </w: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320" w:type="dxa"/>
            <w:vAlign w:val="bottom"/>
          </w:tcPr>
          <w:p>
            <w:pPr>
              <w:spacing w:after="0"/>
              <w:rPr>
                <w:sz w:val="20"/>
                <w:szCs w:val="20"/>
                <w:color w:val="auto"/>
              </w:rPr>
            </w:pPr>
            <w:r>
              <w:rPr>
                <w:rFonts w:ascii="Arial" w:cs="Arial" w:eastAsia="Arial" w:hAnsi="Arial"/>
                <w:sz w:val="18"/>
                <w:szCs w:val="18"/>
                <w:color w:val="auto"/>
              </w:rPr>
              <w:t>Recreational finance: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Current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1,453,572</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2,021,651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1,055,732</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728,343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410,077</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673,539</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6,342,914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7,557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2,815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7,079</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30,170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6"/>
              </w:rPr>
              <w:t>Accruing loans past due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90 days or more</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4,229</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4,844</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8,151</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Total recreational finance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1,456,770</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2,032,687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1,065,169</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738,283</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415,558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688,769</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6,397,236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Automobile:</w:t>
            </w: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Current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567,784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1,341,719</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802,096</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595,776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253,239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120,135</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3,680,749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Arial" w:cs="Arial" w:eastAsia="Arial" w:hAnsi="Arial"/>
                <w:sz w:val="18"/>
                <w:szCs w:val="18"/>
                <w:color w:val="auto"/>
              </w:rPr>
              <w:t>30-89 days past due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10,642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5,590</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3,212</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6"/>
              </w:rPr>
              <w:t>Accruing loans past due</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600"/>
              <w:spacing w:after="0"/>
              <w:rPr>
                <w:sz w:val="20"/>
                <w:szCs w:val="20"/>
                <w:color w:val="auto"/>
              </w:rPr>
            </w:pPr>
            <w:r>
              <w:rPr>
                <w:rFonts w:ascii="Arial" w:cs="Arial" w:eastAsia="Arial" w:hAnsi="Arial"/>
                <w:sz w:val="18"/>
                <w:szCs w:val="18"/>
                <w:color w:val="auto"/>
              </w:rPr>
              <w:t>90 days or more</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10,987</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11,054</w:t>
            </w:r>
          </w:p>
        </w:tc>
        <w:tc>
          <w:tcPr>
            <w:tcW w:w="1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7,058</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Total automobile</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570,404</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1,358,774</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823,640</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617,472</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265,887</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128,683</w:t>
            </w: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3,764,860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Pr>
          <w:p>
            <w:pPr>
              <w:ind w:left="460"/>
              <w:spacing w:after="0"/>
              <w:rPr>
                <w:sz w:val="20"/>
                <w:szCs w:val="20"/>
                <w:color w:val="auto"/>
              </w:rPr>
            </w:pPr>
            <w:r>
              <w:rPr>
                <w:rFonts w:ascii="Arial" w:cs="Arial" w:eastAsia="Arial" w:hAnsi="Arial"/>
                <w:sz w:val="18"/>
                <w:szCs w:val="18"/>
                <w:color w:val="auto"/>
              </w:rPr>
              <w:t>Current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93,225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174,085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73,089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47,297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8,532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32,837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915,187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1,346,276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30-89 days past due</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5,016</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tcPr>
          <w:p>
            <w:pPr>
              <w:ind w:left="440"/>
              <w:spacing w:after="0"/>
              <w:rPr>
                <w:sz w:val="20"/>
                <w:szCs w:val="20"/>
                <w:color w:val="auto"/>
              </w:rPr>
            </w:pPr>
            <w:r>
              <w:rPr>
                <w:rFonts w:ascii="Arial" w:cs="Arial" w:eastAsia="Arial" w:hAnsi="Arial"/>
                <w:sz w:val="18"/>
                <w:szCs w:val="18"/>
                <w:color w:val="auto"/>
                <w:w w:val="96"/>
              </w:rPr>
              <w:t>Accruing loans past due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600"/>
              <w:spacing w:after="0"/>
              <w:rPr>
                <w:sz w:val="20"/>
                <w:szCs w:val="20"/>
                <w:color w:val="auto"/>
              </w:rPr>
            </w:pPr>
            <w:r>
              <w:rPr>
                <w:rFonts w:ascii="Arial" w:cs="Arial" w:eastAsia="Arial" w:hAnsi="Arial"/>
                <w:sz w:val="18"/>
                <w:szCs w:val="18"/>
                <w:color w:val="auto"/>
              </w:rPr>
              <w:t>90 days or more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3,628</w:t>
            </w:r>
          </w:p>
        </w:tc>
        <w:tc>
          <w:tcPr>
            <w:tcW w:w="1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Nonaccrual</w:t>
            </w:r>
          </w:p>
        </w:tc>
        <w:tc>
          <w:tcPr>
            <w:tcW w:w="1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5,722</w:t>
            </w:r>
          </w:p>
        </w:tc>
        <w:tc>
          <w:tcPr>
            <w:tcW w:w="2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544</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35,103</w:t>
            </w:r>
          </w:p>
        </w:tc>
        <w:tc>
          <w:tcPr>
            <w:tcW w:w="1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0"/>
                <w:szCs w:val="20"/>
                <w:color w:val="auto"/>
              </w:rPr>
            </w:pPr>
            <w:r>
              <w:rPr>
                <w:rFonts w:ascii="Arial" w:cs="Arial" w:eastAsia="Arial" w:hAnsi="Arial"/>
                <w:sz w:val="18"/>
                <w:szCs w:val="18"/>
                <w:color w:val="auto"/>
              </w:rPr>
              <w:t>Total other</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100,193</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175,407</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74,197</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47,822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8,640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33,770</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958,934</w:t>
            </w:r>
          </w:p>
        </w:tc>
        <w:tc>
          <w:tcPr>
            <w:tcW w:w="1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2,892</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1,401,855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Total loans and leases at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June 30, 2020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14,810,789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16,179,761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11,519,760</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8,136,036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6,816,987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21,445,766</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17,346,363</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1,502,086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89"/>
              </w:rPr>
              <w:t>97,757,548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following table summarizes the loan grades applied at December 31, 2019 to the various classes of the Company’s commercial loans and commercial real estate loans.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46"/>
        </w:trPr>
        <w:tc>
          <w:tcPr>
            <w:tcW w:w="4600" w:type="dxa"/>
            <w:vAlign w:val="bottom"/>
          </w:tcPr>
          <w:p>
            <w:pPr>
              <w:spacing w:after="0"/>
              <w:rPr>
                <w:sz w:val="12"/>
                <w:szCs w:val="12"/>
                <w:color w:val="auto"/>
              </w:rPr>
            </w:pPr>
          </w:p>
        </w:tc>
        <w:tc>
          <w:tcPr>
            <w:tcW w:w="11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Commercial,</w:t>
            </w: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0"/>
              </w:rPr>
              <w:t>Residential</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62"/>
        </w:trPr>
        <w:tc>
          <w:tcPr>
            <w:tcW w:w="46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Builder and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Commercial</w:t>
            </w:r>
          </w:p>
        </w:tc>
        <w:tc>
          <w:tcPr>
            <w:tcW w:w="2260" w:type="dxa"/>
            <w:vAlign w:val="bottom"/>
          </w:tcPr>
          <w:p>
            <w:pPr>
              <w:spacing w:after="0"/>
              <w:rPr>
                <w:sz w:val="14"/>
                <w:szCs w:val="14"/>
                <w:color w:val="auto"/>
              </w:rPr>
            </w:pPr>
          </w:p>
        </w:tc>
      </w:tr>
      <w:tr>
        <w:trPr>
          <w:trHeight w:val="171"/>
        </w:trPr>
        <w:tc>
          <w:tcPr>
            <w:tcW w:w="460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Leasing, etc.</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Developer</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2260" w:type="dxa"/>
            <w:vAlign w:val="bottom"/>
          </w:tcPr>
          <w:p>
            <w:pPr>
              <w:spacing w:after="0"/>
              <w:rPr>
                <w:sz w:val="14"/>
                <w:szCs w:val="14"/>
                <w:color w:val="auto"/>
              </w:rPr>
            </w:pPr>
          </w:p>
        </w:tc>
      </w:tr>
      <w:tr>
        <w:trPr>
          <w:trHeight w:val="156"/>
        </w:trPr>
        <w:tc>
          <w:tcPr>
            <w:tcW w:w="46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ind w:left="480"/>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$22,595,821</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25,728,725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1,419,162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7,092,799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895,790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770,609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124,101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211,292</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346,557</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158,474</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32,770</w:t>
            </w:r>
          </w:p>
        </w:tc>
        <w:tc>
          <w:tcPr>
            <w:tcW w:w="80" w:type="dxa"/>
            <w:vAlign w:val="bottom"/>
            <w:tcBorders>
              <w:bottom w:val="single" w:sz="8" w:color="CFF0FC"/>
            </w:tcBorders>
          </w:tcPr>
          <w:p>
            <w:pPr>
              <w:spacing w:after="0"/>
              <w:rPr>
                <w:sz w:val="19"/>
                <w:szCs w:val="19"/>
                <w:color w:val="auto"/>
              </w:rPr>
            </w:pPr>
          </w:p>
        </w:tc>
        <w:tc>
          <w:tcPr>
            <w:tcW w:w="2260" w:type="dxa"/>
            <w:vAlign w:val="bottom"/>
          </w:tcPr>
          <w:p>
            <w:pPr>
              <w:spacing w:after="0"/>
              <w:rPr>
                <w:sz w:val="19"/>
                <w:szCs w:val="19"/>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23,838,168</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26,657,808</w:t>
            </w: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1,547,245</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7,336,861</w:t>
            </w:r>
          </w:p>
        </w:tc>
        <w:tc>
          <w:tcPr>
            <w:tcW w:w="80" w:type="dxa"/>
            <w:vAlign w:val="bottom"/>
            <w:tcBorders>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655"/>
        </w:trPr>
        <w:tc>
          <w:tcPr>
            <w:tcW w:w="46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5500" w:firstLine="8"/>
        <w:spacing w:after="0" w:line="351" w:lineRule="auto"/>
        <w:tabs>
          <w:tab w:leader="none" w:pos="207"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Loans and leases and the allowance for credit losses, continued </w:t>
      </w:r>
      <w:r>
        <w:rPr>
          <w:rFonts w:ascii="Arial" w:cs="Arial" w:eastAsia="Arial" w:hAnsi="Arial"/>
          <w:sz w:val="21"/>
          <w:szCs w:val="21"/>
          <w:b w:val="1"/>
          <w:bCs w:val="1"/>
          <w:i w:val="1"/>
          <w:iCs w:val="1"/>
          <w:color w:val="auto"/>
        </w:rPr>
        <w:t>Allowance for credit losses</w:t>
      </w:r>
    </w:p>
    <w:p>
      <w:pPr>
        <w:spacing w:after="0" w:line="2"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For purposes of determining the level of the allowance for credit losses, the Company evaluates its loan and lease portfolio by loan type. Changes in the allowance for credit losses for the three months ended June 30, 2020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4"/>
                <w:szCs w:val="14"/>
                <w:color w:val="auto"/>
              </w:rPr>
            </w:pPr>
          </w:p>
        </w:tc>
        <w:tc>
          <w:tcPr>
            <w:tcW w:w="210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Consumer</w:t>
            </w:r>
          </w:p>
        </w:tc>
        <w:tc>
          <w:tcPr>
            <w:tcW w:w="10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2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50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358,092</w:t>
            </w:r>
          </w:p>
        </w:tc>
        <w:tc>
          <w:tcPr>
            <w:tcW w:w="1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433,689</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115,792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476,793</w:t>
            </w:r>
          </w:p>
        </w:tc>
        <w:tc>
          <w:tcPr>
            <w:tcW w:w="3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$ 1,384,366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69,400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159,090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93,660</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Net charge-offs</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(32,608)</w:t>
            </w: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(17,472)</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(1,609)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(39,708)</w:t>
            </w: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(91,397)</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3,373</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13,992</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 recoveries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(29,235)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(16,458)</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398,257</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576,321</w:t>
            </w:r>
          </w:p>
        </w:tc>
        <w:tc>
          <w:tcPr>
            <w:tcW w:w="3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118,921</w:t>
            </w:r>
          </w:p>
        </w:tc>
        <w:tc>
          <w:tcPr>
            <w:tcW w:w="3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544,737</w:t>
            </w:r>
          </w:p>
        </w:tc>
        <w:tc>
          <w:tcPr>
            <w:tcW w:w="3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$ 1,638,236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June 30, 2019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4"/>
                <w:szCs w:val="14"/>
                <w:color w:val="auto"/>
              </w:rPr>
            </w:pPr>
          </w:p>
        </w:tc>
        <w:tc>
          <w:tcPr>
            <w:tcW w:w="210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5"/>
              </w:rPr>
              <w:t>Consumer</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Unallocated</w:t>
            </w:r>
          </w:p>
        </w:tc>
        <w:tc>
          <w:tcPr>
            <w:tcW w:w="30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335,620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337,995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203,045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77,541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$ 1,019,337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10,337</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14,501</w:t>
            </w: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(2,376)</w:t>
            </w:r>
          </w:p>
        </w:tc>
        <w:tc>
          <w:tcPr>
            <w:tcW w:w="740" w:type="dxa"/>
            <w:vAlign w:val="bottom"/>
          </w:tcPr>
          <w:p>
            <w:pPr>
              <w:jc w:val="right"/>
              <w:spacing w:after="0"/>
              <w:rPr>
                <w:sz w:val="20"/>
                <w:szCs w:val="20"/>
                <w:color w:val="auto"/>
              </w:rPr>
            </w:pPr>
            <w:r>
              <w:rPr>
                <w:rFonts w:ascii="Arial" w:cs="Arial" w:eastAsia="Arial" w:hAnsi="Arial"/>
                <w:sz w:val="18"/>
                <w:szCs w:val="18"/>
                <w:color w:val="auto"/>
              </w:rPr>
              <w:t>31,594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(16,608)</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(10,165)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(3,263)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(39,370)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(69,406)</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24,936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(10,102)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(23,419)</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335,855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343,296</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211,220</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78,485</w:t>
            </w:r>
          </w:p>
        </w:tc>
        <w:tc>
          <w:tcPr>
            <w:tcW w:w="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$ 1,029,867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2020 were as follows:</w:t>
      </w:r>
    </w:p>
    <w:tbl>
      <w:tblPr>
        <w:tblLayout w:type="fixed"/>
        <w:tblInd w:w="0" w:type="dxa"/>
        <w:tblCellMar>
          <w:top w:w="0" w:type="dxa"/>
          <w:left w:w="0" w:type="dxa"/>
          <w:bottom w:w="0" w:type="dxa"/>
          <w:right w:w="0" w:type="dxa"/>
        </w:tblCellMar>
      </w:tblPr>
      <w:tr>
        <w:trPr>
          <w:trHeight w:val="154"/>
        </w:trPr>
        <w:tc>
          <w:tcPr>
            <w:tcW w:w="5000" w:type="dxa"/>
            <w:vAlign w:val="bottom"/>
          </w:tcPr>
          <w:p>
            <w:pPr>
              <w:spacing w:after="0"/>
              <w:rPr>
                <w:sz w:val="13"/>
                <w:szCs w:val="13"/>
                <w:color w:val="auto"/>
              </w:rPr>
            </w:pPr>
          </w:p>
        </w:tc>
        <w:tc>
          <w:tcPr>
            <w:tcW w:w="9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3"/>
                <w:szCs w:val="13"/>
                <w:color w:val="auto"/>
              </w:rPr>
            </w:pPr>
          </w:p>
        </w:tc>
        <w:tc>
          <w:tcPr>
            <w:tcW w:w="2100" w:type="dxa"/>
            <w:vAlign w:val="bottom"/>
            <w:gridSpan w:val="4"/>
            <w:vMerge w:val="restart"/>
          </w:tcPr>
          <w:p>
            <w:pPr>
              <w:jc w:val="right"/>
              <w:ind w:right="781"/>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w w:val="95"/>
              </w:rPr>
              <w:t>Consumer</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w w:val="90"/>
              </w:rPr>
              <w:t>Unallocated</w:t>
            </w:r>
          </w:p>
        </w:tc>
        <w:tc>
          <w:tcPr>
            <w:tcW w:w="12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4"/>
          </w:tcPr>
          <w:p>
            <w:pPr>
              <w:jc w:val="right"/>
              <w:ind w:right="661"/>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Beginning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366,094</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322,201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229,118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77,625</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$ 1,051,071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Adoption of new accounting standard</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(61,474)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194,004</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(77,625)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135,994</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247,756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12,141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179,109</w:t>
            </w:r>
          </w:p>
        </w:tc>
        <w:tc>
          <w:tcPr>
            <w:tcW w:w="3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(48,991)</w:t>
            </w:r>
          </w:p>
        </w:tc>
        <w:tc>
          <w:tcPr>
            <w:tcW w:w="1180" w:type="dxa"/>
            <w:vAlign w:val="bottom"/>
            <w:gridSpan w:val="3"/>
          </w:tcPr>
          <w:p>
            <w:pPr>
              <w:jc w:val="right"/>
              <w:ind w:right="161"/>
              <w:spacing w:after="0"/>
              <w:rPr>
                <w:sz w:val="20"/>
                <w:szCs w:val="20"/>
                <w:color w:val="auto"/>
              </w:rPr>
            </w:pPr>
            <w:r>
              <w:rPr>
                <w:rFonts w:ascii="Arial" w:cs="Arial" w:eastAsia="Arial" w:hAnsi="Arial"/>
                <w:sz w:val="18"/>
                <w:szCs w:val="18"/>
                <w:color w:val="auto"/>
              </w:rPr>
              <w:t>(18,744)</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(6,711)</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(84,655)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(159,101)</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27,161</w:t>
            </w: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(42,357)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(17,292</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(57,494</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(120,292</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398,257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576,321</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118,921</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544,737</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$ 1,638,236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2019 were as follows:</w:t>
      </w:r>
    </w:p>
    <w:tbl>
      <w:tblPr>
        <w:tblLayout w:type="fixed"/>
        <w:tblInd w:w="0" w:type="dxa"/>
        <w:tblCellMar>
          <w:top w:w="0" w:type="dxa"/>
          <w:left w:w="0" w:type="dxa"/>
          <w:bottom w:w="0" w:type="dxa"/>
          <w:right w:w="0" w:type="dxa"/>
        </w:tblCellMar>
      </w:tblPr>
      <w:tr>
        <w:trPr>
          <w:trHeight w:val="154"/>
        </w:trPr>
        <w:tc>
          <w:tcPr>
            <w:tcW w:w="5000" w:type="dxa"/>
            <w:vAlign w:val="bottom"/>
          </w:tcPr>
          <w:p>
            <w:pPr>
              <w:spacing w:after="0"/>
              <w:rPr>
                <w:sz w:val="13"/>
                <w:szCs w:val="13"/>
                <w:color w:val="auto"/>
              </w:rPr>
            </w:pPr>
          </w:p>
        </w:tc>
        <w:tc>
          <w:tcPr>
            <w:tcW w:w="98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3"/>
                <w:szCs w:val="13"/>
                <w:color w:val="auto"/>
              </w:rPr>
            </w:pPr>
          </w:p>
        </w:tc>
        <w:tc>
          <w:tcPr>
            <w:tcW w:w="2100" w:type="dxa"/>
            <w:vAlign w:val="bottom"/>
            <w:gridSpan w:val="4"/>
            <w:vMerge w:val="restart"/>
          </w:tcPr>
          <w:p>
            <w:pPr>
              <w:jc w:val="right"/>
              <w:ind w:right="781"/>
              <w:spacing w:after="0"/>
              <w:rPr>
                <w:sz w:val="20"/>
                <w:szCs w:val="20"/>
                <w:color w:val="auto"/>
              </w:rPr>
            </w:pPr>
            <w:r>
              <w:rPr>
                <w:rFonts w:ascii="Arial" w:cs="Arial" w:eastAsia="Arial" w:hAnsi="Arial"/>
                <w:sz w:val="14"/>
                <w:szCs w:val="14"/>
                <w:b w:val="1"/>
                <w:bCs w:val="1"/>
                <w:color w:val="auto"/>
              </w:rPr>
              <w:t>Real Estate</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98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Leasing, etc.</w:t>
            </w:r>
          </w:p>
        </w:tc>
        <w:tc>
          <w:tcPr>
            <w:tcW w:w="120" w:type="dxa"/>
            <w:vAlign w:val="bottom"/>
          </w:tcPr>
          <w:p>
            <w:pPr>
              <w:spacing w:after="0"/>
              <w:rPr>
                <w:sz w:val="13"/>
                <w:szCs w:val="13"/>
                <w:color w:val="auto"/>
              </w:rPr>
            </w:pPr>
          </w:p>
        </w:tc>
        <w:tc>
          <w:tcPr>
            <w:tcW w:w="1060" w:type="dxa"/>
            <w:vAlign w:val="bottom"/>
            <w:tcBorders>
              <w:top w:val="single" w:sz="8" w:color="auto"/>
            </w:tcBorders>
            <w:gridSpan w:val="2"/>
          </w:tcPr>
          <w:p>
            <w:pPr>
              <w:jc w:val="right"/>
              <w:ind w:right="221"/>
              <w:spacing w:after="0" w:line="155" w:lineRule="exact"/>
              <w:rPr>
                <w:sz w:val="20"/>
                <w:szCs w:val="20"/>
                <w:color w:val="auto"/>
              </w:rPr>
            </w:pPr>
            <w:r>
              <w:rPr>
                <w:rFonts w:ascii="Arial" w:cs="Arial" w:eastAsia="Arial" w:hAnsi="Arial"/>
                <w:sz w:val="14"/>
                <w:szCs w:val="14"/>
                <w:b w:val="1"/>
                <w:bCs w:val="1"/>
                <w:color w:val="auto"/>
                <w:w w:val="92"/>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Residential</w:t>
            </w:r>
          </w:p>
        </w:tc>
        <w:tc>
          <w:tcPr>
            <w:tcW w:w="300" w:type="dxa"/>
            <w:vAlign w:val="bottom"/>
          </w:tcPr>
          <w:p>
            <w:pPr>
              <w:spacing w:after="0"/>
              <w:rPr>
                <w:sz w:val="13"/>
                <w:szCs w:val="13"/>
                <w:color w:val="auto"/>
              </w:rPr>
            </w:pPr>
          </w:p>
        </w:tc>
        <w:tc>
          <w:tcPr>
            <w:tcW w:w="104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w w:val="95"/>
              </w:rPr>
              <w:t>Consumer</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0"/>
              </w:rPr>
              <w:t>Unallocated</w:t>
            </w:r>
          </w:p>
        </w:tc>
        <w:tc>
          <w:tcPr>
            <w:tcW w:w="300" w:type="dxa"/>
            <w:vAlign w:val="bottom"/>
          </w:tcPr>
          <w:p>
            <w:pPr>
              <w:spacing w:after="0"/>
              <w:rPr>
                <w:sz w:val="13"/>
                <w:szCs w:val="13"/>
                <w:color w:val="auto"/>
              </w:rPr>
            </w:pPr>
          </w:p>
        </w:tc>
        <w:tc>
          <w:tcPr>
            <w:tcW w:w="960" w:type="dxa"/>
            <w:vAlign w:val="bottom"/>
            <w:gridSpan w:val="2"/>
          </w:tcPr>
          <w:p>
            <w:pPr>
              <w:jc w:val="right"/>
              <w:ind w:right="30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gridSpan w:val="4"/>
          </w:tcPr>
          <w:p>
            <w:pPr>
              <w:jc w:val="right"/>
              <w:ind w:right="681"/>
              <w:spacing w:after="0"/>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330,055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341,655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78,045</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$ 1,019,444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16,608</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10,298</w:t>
            </w:r>
          </w:p>
        </w:tc>
        <w:tc>
          <w:tcPr>
            <w:tcW w:w="300" w:type="dxa"/>
            <w:vAlign w:val="bottom"/>
          </w:tcPr>
          <w:p>
            <w:pPr>
              <w:spacing w:after="0"/>
              <w:rPr>
                <w:sz w:val="19"/>
                <w:szCs w:val="19"/>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(4,823)</w:t>
            </w:r>
          </w:p>
        </w:tc>
        <w:tc>
          <w:tcPr>
            <w:tcW w:w="740" w:type="dxa"/>
            <w:vAlign w:val="bottom"/>
          </w:tcPr>
          <w:p>
            <w:pPr>
              <w:jc w:val="right"/>
              <w:spacing w:after="0"/>
              <w:rPr>
                <w:sz w:val="20"/>
                <w:szCs w:val="20"/>
                <w:color w:val="auto"/>
              </w:rPr>
            </w:pPr>
            <w:r>
              <w:rPr>
                <w:rFonts w:ascii="Arial" w:cs="Arial" w:eastAsia="Arial" w:hAnsi="Arial"/>
                <w:sz w:val="18"/>
                <w:szCs w:val="18"/>
                <w:color w:val="auto"/>
              </w:rPr>
              <w:t>54,477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60"/>
              <w:spacing w:after="0"/>
              <w:rPr>
                <w:sz w:val="20"/>
                <w:szCs w:val="20"/>
                <w:color w:val="auto"/>
              </w:rPr>
            </w:pPr>
            <w:r>
              <w:rPr>
                <w:rFonts w:ascii="Arial" w:cs="Arial" w:eastAsia="Arial" w:hAnsi="Arial"/>
                <w:sz w:val="18"/>
                <w:szCs w:val="18"/>
                <w:color w:val="auto"/>
              </w:rPr>
              <w:t>Charge-offs</w:t>
            </w:r>
          </w:p>
        </w:tc>
        <w:tc>
          <w:tcPr>
            <w:tcW w:w="14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(25,108)</w:t>
            </w:r>
          </w:p>
        </w:tc>
        <w:tc>
          <w:tcPr>
            <w:tcW w:w="1180" w:type="dxa"/>
            <w:vAlign w:val="bottom"/>
            <w:gridSpan w:val="3"/>
          </w:tcPr>
          <w:p>
            <w:pPr>
              <w:jc w:val="right"/>
              <w:ind w:right="161"/>
              <w:spacing w:after="0"/>
              <w:rPr>
                <w:sz w:val="20"/>
                <w:szCs w:val="20"/>
                <w:color w:val="auto"/>
              </w:rPr>
            </w:pPr>
            <w:r>
              <w:rPr>
                <w:rFonts w:ascii="Arial" w:cs="Arial" w:eastAsia="Arial" w:hAnsi="Arial"/>
                <w:sz w:val="18"/>
                <w:szCs w:val="18"/>
                <w:color w:val="auto"/>
              </w:rPr>
              <w:t>(10,448)</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(6,635)</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(72,315)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(114,506)</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14,300</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charge-offs</w:t>
            </w: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(43,821</w:t>
            </w:r>
          </w:p>
        </w:tc>
        <w:tc>
          <w:tcPr>
            <w:tcW w:w="300" w:type="dxa"/>
            <w:vAlign w:val="bottom"/>
            <w:tcBorders>
              <w:bottom w:val="single" w:sz="8" w:color="CFF0FC"/>
            </w:tcBorders>
          </w:tcPr>
          <w:p>
            <w:pPr>
              <w:jc w:val="right"/>
              <w:ind w:right="1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(66,577</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335,855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343,296</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61,011</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211,220</w:t>
            </w:r>
          </w:p>
        </w:tc>
        <w:tc>
          <w:tcPr>
            <w:tcW w:w="3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78,485</w:t>
            </w:r>
          </w:p>
        </w:tc>
        <w:tc>
          <w:tcPr>
            <w:tcW w:w="3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$ 1,029,867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 A description of the methodologies used by the Company to estimate its allowance for credit losses prior to January 1, 2020 is included in note 4 of Notes to Financial Statements in the Company’s Annual Report on Form 10-K for the year ended December 31, 2019.</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In establishing the allowance for credit losses subsequent to December 31, 2019, the Company estimates losses attributable to specific troubled credits identified through both normal and targeted credit review processes and also estimates losses for loans and leases with similar risk characteristics on a collective basis.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department.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spacing w:after="0" w:line="63"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For residential real estate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 off and for purposes of estimating losses in determining the allowance for credit losses, the Company gives consideration to the required repayment of any first lien positions related to collateral property.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ind w:firstLine="510"/>
        <w:spacing w:after="0" w:line="278" w:lineRule="auto"/>
        <w:rPr>
          <w:sz w:val="20"/>
          <w:szCs w:val="20"/>
          <w:color w:val="auto"/>
        </w:rPr>
      </w:pPr>
      <w:r>
        <w:rPr>
          <w:rFonts w:ascii="Arial" w:cs="Arial" w:eastAsia="Arial" w:hAnsi="Arial"/>
          <w:sz w:val="19"/>
          <w:szCs w:val="19"/>
          <w:color w:val="auto"/>
        </w:rPr>
        <w:t>Information with respect to loans and leases that were considered nonaccrual at the beginning and end of the reporting period and the interest income recognized on such loans for the three-month and six-month periods ended June 30, 2020 and 2019 follows.</w:t>
      </w:r>
    </w:p>
    <w:tbl>
      <w:tblPr>
        <w:tblLayout w:type="fixed"/>
        <w:tblInd w:w="0" w:type="dxa"/>
        <w:tblCellMar>
          <w:top w:w="0" w:type="dxa"/>
          <w:left w:w="0" w:type="dxa"/>
          <w:bottom w:w="0" w:type="dxa"/>
          <w:right w:w="0" w:type="dxa"/>
        </w:tblCellMar>
      </w:tblPr>
      <w:tr>
        <w:trPr>
          <w:trHeight w:val="133"/>
        </w:trPr>
        <w:tc>
          <w:tcPr>
            <w:tcW w:w="3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January 1,</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 2020</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Amortized</w:t>
            </w: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Cost with</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Cost without</w:t>
            </w:r>
          </w:p>
        </w:tc>
        <w:tc>
          <w:tcPr>
            <w:tcW w:w="8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Allowance</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$ 138,556</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146,098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284,654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286,647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346,743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57,675</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114,813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172,488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188,469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173,796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26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1,748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3,204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42,969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34,935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80,772</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226,135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306,907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293,638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322,504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26,460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118,695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119,317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38,890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38,204</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77,094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63,071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16,264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13,405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14,308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35,510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19,251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500"/>
              <w:spacing w:after="0"/>
              <w:rPr>
                <w:sz w:val="20"/>
                <w:szCs w:val="20"/>
                <w:color w:val="auto"/>
              </w:rPr>
            </w:pPr>
            <w:r>
              <w:rPr>
                <w:rFonts w:ascii="Arial" w:cs="Arial" w:eastAsia="Arial" w:hAnsi="Arial"/>
                <w:sz w:val="18"/>
                <w:szCs w:val="18"/>
                <w:color w:val="auto"/>
              </w:rPr>
              <w:t>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7,747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39,811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35,394</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$ 446,591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710,059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1,156,650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1,061,748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1,134,333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tbl>
      <w:tblPr>
        <w:tblLayout w:type="fixed"/>
        <w:tblInd w:w="0" w:type="dxa"/>
        <w:tblCellMar>
          <w:top w:w="0" w:type="dxa"/>
          <w:left w:w="0" w:type="dxa"/>
          <w:bottom w:w="0" w:type="dxa"/>
          <w:right w:w="0" w:type="dxa"/>
        </w:tblCellMar>
      </w:tblPr>
      <w:tr>
        <w:trPr>
          <w:trHeight w:val="160"/>
        </w:trPr>
        <w:tc>
          <w:tcPr>
            <w:tcW w:w="4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Six</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January 1,</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June 30, 2019</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2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10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Amortized</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7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Cost with</w:t>
            </w:r>
          </w:p>
        </w:tc>
        <w:tc>
          <w:tcPr>
            <w:tcW w:w="2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Cost without</w:t>
            </w:r>
          </w:p>
        </w:tc>
        <w:tc>
          <w:tcPr>
            <w:tcW w:w="7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2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$ 150,974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72,759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223,733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245,819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234,423</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150,673</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203,116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207,709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203,672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tcPr>
          <w:p>
            <w:pPr>
              <w:jc w:val="right"/>
              <w:spacing w:after="0"/>
              <w:rPr>
                <w:sz w:val="20"/>
                <w:szCs w:val="20"/>
                <w:color w:val="auto"/>
              </w:rPr>
            </w:pPr>
            <w:r>
              <w:rPr>
                <w:rFonts w:ascii="Arial" w:cs="Arial" w:eastAsia="Arial" w:hAnsi="Arial"/>
                <w:sz w:val="18"/>
                <w:szCs w:val="18"/>
                <w:color w:val="auto"/>
              </w:rPr>
              <w:t>1,429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4,392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4,798</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19,899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720" w:type="dxa"/>
            <w:vAlign w:val="bottom"/>
          </w:tcPr>
          <w:p>
            <w:pPr>
              <w:jc w:val="right"/>
              <w:spacing w:after="0"/>
              <w:rPr>
                <w:sz w:val="20"/>
                <w:szCs w:val="20"/>
                <w:color w:val="auto"/>
              </w:rPr>
            </w:pPr>
            <w:r>
              <w:rPr>
                <w:rFonts w:ascii="Arial" w:cs="Arial" w:eastAsia="Arial" w:hAnsi="Arial"/>
                <w:sz w:val="18"/>
                <w:szCs w:val="18"/>
                <w:color w:val="auto"/>
              </w:rPr>
              <w:t>57,323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153,599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210,922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210,266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233,352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61,755</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84,863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84,685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260"/>
              <w:spacing w:after="0"/>
              <w:rPr>
                <w:sz w:val="20"/>
                <w:szCs w:val="20"/>
                <w:color w:val="auto"/>
              </w:rPr>
            </w:pPr>
            <w:r>
              <w:rPr>
                <w:rFonts w:ascii="Arial" w:cs="Arial" w:eastAsia="Arial" w:hAnsi="Arial"/>
                <w:sz w:val="18"/>
                <w:szCs w:val="18"/>
                <w:color w:val="auto"/>
              </w:rPr>
              <w:t>Consumer:</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Home equity lines and loans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41,397</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66,927</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69,245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ind w:left="500"/>
              <w:spacing w:after="0"/>
              <w:rPr>
                <w:sz w:val="20"/>
                <w:szCs w:val="20"/>
                <w:color w:val="auto"/>
              </w:rPr>
            </w:pPr>
            <w:r>
              <w:rPr>
                <w:rFonts w:ascii="Arial" w:cs="Arial" w:eastAsia="Arial" w:hAnsi="Arial"/>
                <w:sz w:val="18"/>
                <w:szCs w:val="18"/>
                <w:color w:val="auto"/>
              </w:rPr>
              <w:t>Recreational finance</w:t>
            </w:r>
          </w:p>
        </w:tc>
        <w:tc>
          <w:tcPr>
            <w:tcW w:w="720" w:type="dxa"/>
            <w:vAlign w:val="bottom"/>
          </w:tcPr>
          <w:p>
            <w:pPr>
              <w:jc w:val="right"/>
              <w:spacing w:after="0"/>
              <w:rPr>
                <w:sz w:val="20"/>
                <w:szCs w:val="20"/>
                <w:color w:val="auto"/>
              </w:rPr>
            </w:pPr>
            <w:r>
              <w:rPr>
                <w:rFonts w:ascii="Arial" w:cs="Arial" w:eastAsia="Arial" w:hAnsi="Arial"/>
                <w:sz w:val="18"/>
                <w:szCs w:val="18"/>
                <w:color w:val="auto"/>
              </w:rPr>
              <w:t>6,493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4,660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10,972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11,199</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6,318</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23,359</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500"/>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2,757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7,237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$ 362,169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865,384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893,608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both January 1 and June 30, 2020,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considered the impact of portfolio concentrations, changes in underwriting practices, product expansions into new markets, imprecision in its economic forecasts, geopolitical conditions and other risk factors that might influence its loss estimation process.</w:t>
      </w:r>
    </w:p>
    <w:p>
      <w:pPr>
        <w:spacing w:after="0" w:line="80" w:lineRule="exact"/>
        <w:rPr>
          <w:sz w:val="20"/>
          <w:szCs w:val="20"/>
          <w:color w:val="auto"/>
        </w:rPr>
      </w:pPr>
    </w:p>
    <w:p>
      <w:pPr>
        <w:ind w:right="680" w:firstLine="510"/>
        <w:spacing w:after="0" w:line="315" w:lineRule="auto"/>
        <w:rPr>
          <w:sz w:val="20"/>
          <w:szCs w:val="20"/>
          <w:color w:val="auto"/>
        </w:rPr>
      </w:pPr>
      <w:r>
        <w:rPr>
          <w:rFonts w:ascii="Arial" w:cs="Arial" w:eastAsia="Arial" w:hAnsi="Arial"/>
          <w:sz w:val="21"/>
          <w:szCs w:val="21"/>
          <w:color w:val="auto"/>
        </w:rPr>
        <w:t xml:space="preserve">The Company’s reserve for off-balance sheet credit exposures was not material at June 30, 2020 and December 31, 2019. </w:t>
      </w:r>
      <w:r>
        <w:rPr>
          <w:rFonts w:ascii="Arial" w:cs="Arial" w:eastAsia="Arial" w:hAnsi="Arial"/>
          <w:sz w:val="21"/>
          <w:szCs w:val="21"/>
          <w:b w:val="1"/>
          <w:bCs w:val="1"/>
          <w:i w:val="1"/>
          <w:iCs w:val="1"/>
          <w:color w:val="auto"/>
        </w:rPr>
        <w:t>Loan modifications</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and six-month periods ended June 30, 2020 and 2019:</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280"/>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6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86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55,136</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17,551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31,605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10,511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10,795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26,352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152,872</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69,139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37,423</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143,300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Three Months Ended June 30, 2019</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180" w:type="dxa"/>
            <w:vAlign w:val="bottom"/>
            <w:tcBorders>
              <w:top w:val="single" w:sz="8" w:color="auto"/>
            </w:tcBorders>
            <w:shd w:val="clear" w:color="auto" w:fill="CFF0FC"/>
          </w:tcPr>
          <w:p>
            <w:pPr>
              <w:spacing w:after="0"/>
              <w:rPr>
                <w:sz w:val="5"/>
                <w:szCs w:val="5"/>
                <w:color w:val="auto"/>
              </w:rPr>
            </w:pPr>
          </w:p>
        </w:tc>
        <w:tc>
          <w:tcPr>
            <w:tcW w:w="210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Other commercial construction</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23,577</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Post-modification (a)</w:t>
            </w: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280"/>
              <w:spacing w:after="0" w:line="133" w:lineRule="exact"/>
              <w:rPr>
                <w:sz w:val="20"/>
                <w:szCs w:val="20"/>
                <w:color w:val="auto"/>
              </w:rPr>
            </w:pPr>
            <w:r>
              <w:rPr>
                <w:rFonts w:ascii="Arial" w:cs="Arial" w:eastAsia="Arial" w:hAnsi="Arial"/>
                <w:sz w:val="14"/>
                <w:szCs w:val="14"/>
                <w:b w:val="1"/>
                <w:bCs w:val="1"/>
                <w:color w:val="auto"/>
                <w:w w:val="93"/>
              </w:rPr>
              <w:t>Combination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Recorded</w:t>
            </w:r>
          </w:p>
        </w:tc>
        <w:tc>
          <w:tcPr>
            <w:tcW w:w="6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Concession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20" w:type="dxa"/>
            <w:vAlign w:val="bottom"/>
            <w:vMerge w:val="restart"/>
          </w:tcPr>
          <w:p>
            <w:pPr>
              <w:spacing w:after="0"/>
              <w:rPr>
                <w:sz w:val="20"/>
                <w:szCs w:val="20"/>
                <w:color w:val="auto"/>
              </w:rPr>
            </w:pPr>
            <w:r>
              <w:rPr>
                <w:rFonts w:ascii="Arial" w:cs="Arial" w:eastAsia="Arial" w:hAnsi="Arial"/>
                <w:sz w:val="14"/>
                <w:szCs w:val="14"/>
                <w:b w:val="1"/>
                <w:bCs w:val="1"/>
                <w:color w:val="auto"/>
                <w:w w:val="92"/>
              </w:rPr>
              <w:t>Six Months Ended June 30, 2020</w:t>
            </w:r>
          </w:p>
        </w:tc>
        <w:tc>
          <w:tcPr>
            <w:tcW w:w="2260" w:type="dxa"/>
            <w:vAlign w:val="bottom"/>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Deferral</w:t>
            </w:r>
          </w:p>
        </w:tc>
        <w:tc>
          <w:tcPr>
            <w:tcW w:w="2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Reduction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92"/>
              <w:spacing w:after="0"/>
              <w:rPr>
                <w:sz w:val="20"/>
                <w:szCs w:val="20"/>
                <w:color w:val="auto"/>
              </w:rPr>
            </w:pPr>
            <w:r>
              <w:rPr>
                <w:rFonts w:ascii="Arial" w:cs="Arial" w:eastAsia="Arial" w:hAnsi="Arial"/>
                <w:sz w:val="14"/>
                <w:szCs w:val="14"/>
                <w:b w:val="1"/>
                <w:bCs w:val="1"/>
                <w:color w:val="auto"/>
                <w:w w:val="88"/>
              </w:rPr>
              <w:t>Types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20" w:type="dxa"/>
            <w:vAlign w:val="bottom"/>
            <w:tcBorders>
              <w:bottom w:val="single" w:sz="8" w:color="auto"/>
            </w:tcBorders>
            <w:vMerge w:val="continue"/>
          </w:tcPr>
          <w:p>
            <w:pPr>
              <w:spacing w:after="0"/>
              <w:rPr>
                <w:sz w:val="12"/>
                <w:szCs w:val="12"/>
                <w:color w:val="auto"/>
              </w:rPr>
            </w:pPr>
          </w:p>
        </w:tc>
        <w:tc>
          <w:tcPr>
            <w:tcW w:w="226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28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67,828</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22,617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31,605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66,723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11,866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52,316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6,348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10,885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26,534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219,374</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82,158</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90,921</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209,817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28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Six Months Ended June 30, 2019</w:t>
            </w:r>
          </w:p>
        </w:tc>
        <w:tc>
          <w:tcPr>
            <w:tcW w:w="5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20" w:type="dxa"/>
            <w:vAlign w:val="bottom"/>
            <w:tcBorders>
              <w:top w:val="single" w:sz="8" w:color="auto"/>
            </w:tcBorders>
            <w:shd w:val="clear" w:color="auto" w:fill="CFF0FC"/>
          </w:tcPr>
          <w:p>
            <w:pPr>
              <w:spacing w:after="0"/>
              <w:rPr>
                <w:sz w:val="5"/>
                <w:szCs w:val="5"/>
                <w:color w:val="auto"/>
              </w:rPr>
            </w:pPr>
          </w:p>
        </w:tc>
        <w:tc>
          <w:tcPr>
            <w:tcW w:w="2260" w:type="dxa"/>
            <w:vAlign w:val="bottom"/>
            <w:tcBorders>
              <w:top w:val="single" w:sz="8" w:color="CFF0FC"/>
            </w:tcBorders>
            <w:shd w:val="clear" w:color="auto" w:fill="CFF0FC"/>
          </w:tcPr>
          <w:p>
            <w:pPr>
              <w:spacing w:after="0"/>
              <w:rPr>
                <w:sz w:val="5"/>
                <w:szCs w:val="5"/>
                <w:color w:val="auto"/>
              </w:rPr>
            </w:pPr>
          </w:p>
        </w:tc>
        <w:tc>
          <w:tcPr>
            <w:tcW w:w="5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70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68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28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660" w:type="dxa"/>
            <w:vAlign w:val="bottom"/>
            <w:tcBorders>
              <w:top w:val="single" w:sz="8" w:color="CFF0FC"/>
            </w:tcBorders>
            <w:shd w:val="clear" w:color="auto" w:fill="CFF0FC"/>
          </w:tcPr>
          <w:p>
            <w:pPr>
              <w:spacing w:after="0"/>
              <w:rPr>
                <w:sz w:val="5"/>
                <w:szCs w:val="5"/>
                <w:color w:val="auto"/>
              </w:rPr>
            </w:pPr>
          </w:p>
        </w:tc>
        <w:tc>
          <w:tcPr>
            <w:tcW w:w="3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33,212</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 builder and developer</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commercial construction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Residential</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5,759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Residential — limited documentation</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Home equity lines and loans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Recreational finance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rPr>
              <w:t>225</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rPr>
              <w:t>70,114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0"/>
              </w:rPr>
              <w:t>18,593</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rPr>
              <w:t>51,656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rPr>
              <w:t>70,249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0</wp:posOffset>
            </wp:positionV>
            <wp:extent cx="11830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5" w:lineRule="exact"/>
        <w:rPr>
          <w:sz w:val="20"/>
          <w:szCs w:val="20"/>
          <w:color w:val="auto"/>
        </w:rPr>
      </w:pPr>
    </w:p>
    <w:p>
      <w:pPr>
        <w:ind w:left="380" w:right="20" w:hanging="372"/>
        <w:spacing w:after="0" w:line="277" w:lineRule="auto"/>
        <w:tabs>
          <w:tab w:leader="none" w:pos="3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-302260</wp:posOffset>
            </wp:positionV>
            <wp:extent cx="43459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4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Troubled debt restructurings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2020 and 2019 and for which there was a subsequent payment default during the six-month periods ended June 30, 2020 and 2019, respectively, were not material.</w:t>
      </w:r>
    </w:p>
    <w:p>
      <w:pPr>
        <w:spacing w:after="0" w:line="5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amount of foreclosed residential real estate property held by the Company was $59 million and $76 million at June 30, 2020 and December 31, 2019, respectively. There were $273 million and $402 million at June 30, 2020 and December 31, 2019, respectively, of loans secured by residential real estate that were in the process of foreclosure. Of all loans in the process of foreclosure at June 30, 2020, approximately 40% were government guaranteed.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Borrowings</w:t>
      </w:r>
    </w:p>
    <w:p>
      <w:pPr>
        <w:spacing w:after="0" w:line="1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M&amp;T had $527 million of fixed and variable rate junior subordinated deferrable interest debentures ("Junior Subordinated Debentures") outstanding at June 30, 2020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46"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57"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83"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Also included in long-term borrowings was an agreement to repurchase securities that totaled $100 million and $102 million at June 30, 2020 and December 31, 2019, respectively. The outstanding agreement matured in July 2020. The agreement was subject to legally enforceable master netting arrangements, however, the Company did not offset any amounts related to the agreement in its consolidated financial statements. The Company posted collateral consisting primarily of government guaranteed mortgage-backed securities of $107 million and $108 million at June 30, 2020 and December 31, 2019, respectively</w:t>
      </w:r>
      <w:r>
        <w:rPr>
          <w:rFonts w:ascii="Arial" w:cs="Arial" w:eastAsia="Arial" w:hAnsi="Arial"/>
          <w:sz w:val="15"/>
          <w:szCs w:val="15"/>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Revenue from contracts with customers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significant amount of the Company’s revenues are derived from net interest income on financial assets and liabilities, mortgage banking revenues, trading account and foreign exchange gains, investment securities gains, loan and letter of credit fees, income from bank-owned life insurance, and certain other revenues that are generally excluded from the scope of accounting guidance for revenue from contracts with customers.</w:t>
      </w:r>
    </w:p>
    <w:p>
      <w:pPr>
        <w:spacing w:after="0" w:line="7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noninterest income revenue streams,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5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2020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Revenue from contracts with customers, continued</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December 31, 2019, the Company had $60 million and $62 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2020 and December 31, 2019, the Company had deferred revenue of $42 million and $43 million, respectively, related to the sources in the accompanying tables recorded in accrued interest and other liabilities in the consolidated balance sheet.</w:t>
      </w:r>
    </w:p>
    <w:p>
      <w:pPr>
        <w:spacing w:after="0" w:line="81"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following tables summarize sources of the Company’s noninterest income during the three-month and six-month periods ended June 30, 2020 and 2019 that are subject to the noted accounting guidance.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Business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Discretionary</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Residential</w:t>
            </w: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88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2020</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Banking</w:t>
            </w:r>
          </w:p>
        </w:tc>
        <w:tc>
          <w:tcPr>
            <w:tcW w:w="780" w:type="dxa"/>
            <w:vAlign w:val="bottom"/>
          </w:tcPr>
          <w:p>
            <w:pPr>
              <w:jc w:val="right"/>
              <w:ind w:right="60"/>
              <w:spacing w:after="0"/>
              <w:rPr>
                <w:sz w:val="20"/>
                <w:szCs w:val="20"/>
                <w:color w:val="auto"/>
              </w:rPr>
            </w:pPr>
            <w:r>
              <w:rPr>
                <w:rFonts w:ascii="Arial" w:cs="Arial" w:eastAsia="Arial" w:hAnsi="Arial"/>
                <w:sz w:val="14"/>
                <w:szCs w:val="14"/>
                <w:b w:val="1"/>
                <w:bCs w:val="1"/>
                <w:color w:val="auto"/>
              </w:rPr>
              <w:t>Banking</w:t>
            </w:r>
          </w:p>
        </w:tc>
        <w:tc>
          <w:tcPr>
            <w:tcW w:w="2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Portfolio</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gridSpan w:val="2"/>
            <w:vMerge w:val="continue"/>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$ 11,271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22,514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2,565</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40,024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1,081</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151,882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8,159</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8,891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379</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3,450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1,188</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3,166</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9,421</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$ 19,436</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4,132</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1,052</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46,640</w:t>
            </w: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172,880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276,619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June 30, 2019</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8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180" w:type="dxa"/>
            <w:vAlign w:val="bottom"/>
            <w:tcBorders>
              <w:top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$ 15,175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23,094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2,362</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65,661</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107,787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144,151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144,382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12,478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8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600" w:type="dxa"/>
            <w:vAlign w:val="bottom"/>
          </w:tcPr>
          <w:p>
            <w:pPr>
              <w:jc w:val="right"/>
              <w:spacing w:after="0"/>
              <w:rPr>
                <w:sz w:val="20"/>
                <w:szCs w:val="20"/>
                <w:color w:val="auto"/>
              </w:rPr>
            </w:pPr>
            <w:r>
              <w:rPr>
                <w:rFonts w:ascii="Arial" w:cs="Arial" w:eastAsia="Arial" w:hAnsi="Arial"/>
                <w:sz w:val="16"/>
                <w:szCs w:val="16"/>
                <w:color w:val="auto"/>
              </w:rPr>
              <w:t>9,895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496</w:t>
            </w:r>
          </w:p>
        </w:tc>
        <w:tc>
          <w:tcPr>
            <w:tcW w:w="2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4,566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3,145</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2,680</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6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9,329</w:t>
            </w:r>
          </w:p>
        </w:tc>
        <w:tc>
          <w:tcPr>
            <w:tcW w:w="2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8,595</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$ 25,077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39,592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5,538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1,035</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79,556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167,319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318,758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Revenue from contracts with customers, continued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Business</w:t>
            </w:r>
          </w:p>
        </w:tc>
        <w:tc>
          <w:tcPr>
            <w:tcW w:w="13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Commercial</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Commercial</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Discretionary</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Residential</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Retail</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Mortgage</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2020</w:t>
            </w:r>
          </w:p>
        </w:tc>
        <w:tc>
          <w:tcPr>
            <w:tcW w:w="4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4"/>
              </w:rPr>
              <w:t>Banking</w:t>
            </w: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Real Estate</w:t>
            </w:r>
          </w:p>
        </w:tc>
        <w:tc>
          <w:tcPr>
            <w:tcW w:w="260" w:type="dxa"/>
            <w:vAlign w:val="bottom"/>
          </w:tcPr>
          <w:p>
            <w:pPr>
              <w:spacing w:after="0"/>
              <w:rPr>
                <w:sz w:val="14"/>
                <w:szCs w:val="14"/>
                <w:color w:val="auto"/>
              </w:rPr>
            </w:pPr>
          </w:p>
        </w:tc>
        <w:tc>
          <w:tcPr>
            <w:tcW w:w="840" w:type="dxa"/>
            <w:vAlign w:val="bottom"/>
          </w:tcPr>
          <w:p>
            <w:pPr>
              <w:jc w:val="right"/>
              <w:ind w:right="81"/>
              <w:spacing w:after="0"/>
              <w:rPr>
                <w:sz w:val="20"/>
                <w:szCs w:val="20"/>
                <w:color w:val="auto"/>
              </w:rPr>
            </w:pPr>
            <w:r>
              <w:rPr>
                <w:rFonts w:ascii="Arial" w:cs="Arial" w:eastAsia="Arial" w:hAnsi="Arial"/>
                <w:sz w:val="14"/>
                <w:szCs w:val="14"/>
                <w:b w:val="1"/>
                <w:bCs w:val="1"/>
                <w:color w:val="auto"/>
              </w:rPr>
              <w:t>Portfolio</w:t>
            </w:r>
          </w:p>
        </w:tc>
        <w:tc>
          <w:tcPr>
            <w:tcW w:w="2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Banking</w:t>
            </w:r>
          </w:p>
        </w:tc>
        <w:tc>
          <w:tcPr>
            <w:tcW w:w="9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36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$ 26,521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46,671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5,377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101,694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3,353</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$ 183,616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300,174</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23,592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18,490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22,207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5,721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576</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2,973</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1,974</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9,148</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21,937</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$ 45,029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72,292</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8,636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1,007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1,974</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116,563</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349,632</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$ 595,133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Six Months Ended June 30, 2019</w:t>
            </w: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20" w:type="dxa"/>
            <w:vAlign w:val="bottom"/>
            <w:tcBorders>
              <w:top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Classification in consolidated</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statement of income</w:t>
            </w:r>
          </w:p>
        </w:tc>
        <w:tc>
          <w:tcPr>
            <w:tcW w:w="4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Service charges on deposit accounts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$ 30,284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46,304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126,812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2,607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$ 210,899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Trust income</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276,718</w:t>
            </w: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spacing w:after="0"/>
              <w:rPr>
                <w:sz w:val="20"/>
                <w:szCs w:val="20"/>
                <w:color w:val="auto"/>
              </w:rPr>
            </w:pPr>
            <w:r>
              <w:rPr>
                <w:rFonts w:ascii="Arial" w:cs="Arial" w:eastAsia="Arial" w:hAnsi="Arial"/>
                <w:sz w:val="16"/>
                <w:szCs w:val="16"/>
                <w:color w:val="auto"/>
              </w:rPr>
              <w:t>Brokerage services income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24,954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revenues from operations:</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60"/>
              <w:spacing w:after="0"/>
              <w:rPr>
                <w:sz w:val="20"/>
                <w:szCs w:val="20"/>
                <w:color w:val="auto"/>
              </w:rPr>
            </w:pPr>
            <w:r>
              <w:rPr>
                <w:rFonts w:ascii="Arial" w:cs="Arial" w:eastAsia="Arial" w:hAnsi="Arial"/>
                <w:sz w:val="16"/>
                <w:szCs w:val="16"/>
                <w:color w:val="auto"/>
              </w:rPr>
              <w:t>Merchant discount and credit card fees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18,777</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25,221</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7,704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1,022</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4,147</w:t>
            </w:r>
          </w:p>
        </w:tc>
        <w:tc>
          <w:tcPr>
            <w:tcW w:w="26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4,468</w:t>
            </w:r>
          </w:p>
        </w:tc>
        <w:tc>
          <w:tcPr>
            <w:tcW w:w="26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1,042</w:t>
            </w: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2,097</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17,823</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19,083</w:t>
            </w:r>
          </w:p>
        </w:tc>
        <w:tc>
          <w:tcPr>
            <w:tcW w:w="26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$ 49,073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76,110</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10,458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1,042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2,101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152,339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324,384</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$ 615,507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8"/>
              </w:rPr>
              <w:t>Pension</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left="197"/>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6"/>
              </w:rPr>
              <w:t>Benefits</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86"/>
              </w:rPr>
              <w:t>Benefits</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6"/>
          </w:tcPr>
          <w:p>
            <w:pPr>
              <w:jc w:val="center"/>
              <w:ind w:right="720"/>
              <w:spacing w:after="0" w:line="147" w:lineRule="exact"/>
              <w:rPr>
                <w:sz w:val="20"/>
                <w:szCs w:val="20"/>
                <w:color w:val="auto"/>
              </w:rPr>
            </w:pPr>
            <w:r>
              <w:rPr>
                <w:rFonts w:ascii="Arial" w:cs="Arial" w:eastAsia="Arial" w:hAnsi="Arial"/>
                <w:sz w:val="14"/>
                <w:szCs w:val="14"/>
                <w:b w:val="1"/>
                <w:bCs w:val="1"/>
                <w:color w:val="auto"/>
                <w:w w:val="93"/>
              </w:rPr>
              <w:t>Three Months Ended 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3"/>
              </w:rPr>
              <w:t>2020</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17,824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20,590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(31,281)</w:t>
            </w:r>
          </w:p>
        </w:tc>
        <w:tc>
          <w:tcPr>
            <w:tcW w:w="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(30,470)</w:t>
            </w:r>
          </w:p>
        </w:tc>
        <w:tc>
          <w:tcPr>
            <w:tcW w:w="2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Amortization of prior service cost (credit)</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actuarial loss (gain)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15,098</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3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3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4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w w:val="88"/>
              </w:rPr>
              <w:t>Pension</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left="197"/>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86"/>
              </w:rPr>
              <w:t>Benefits</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197"/>
              <w:spacing w:after="0"/>
              <w:rPr>
                <w:sz w:val="20"/>
                <w:szCs w:val="20"/>
                <w:color w:val="auto"/>
              </w:rPr>
            </w:pPr>
            <w:r>
              <w:rPr>
                <w:rFonts w:ascii="Arial" w:cs="Arial" w:eastAsia="Arial" w:hAnsi="Arial"/>
                <w:sz w:val="14"/>
                <w:szCs w:val="14"/>
                <w:b w:val="1"/>
                <w:bCs w:val="1"/>
                <w:color w:val="auto"/>
                <w:w w:val="86"/>
              </w:rPr>
              <w:t>Benefits</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gridSpan w:val="6"/>
          </w:tcPr>
          <w:p>
            <w:pPr>
              <w:jc w:val="center"/>
              <w:ind w:right="720"/>
              <w:spacing w:after="0" w:line="147" w:lineRule="exact"/>
              <w:rPr>
                <w:sz w:val="20"/>
                <w:szCs w:val="20"/>
                <w:color w:val="auto"/>
              </w:rPr>
            </w:pPr>
            <w:r>
              <w:rPr>
                <w:rFonts w:ascii="Arial" w:cs="Arial" w:eastAsia="Arial" w:hAnsi="Arial"/>
                <w:sz w:val="14"/>
                <w:szCs w:val="14"/>
                <w:b w:val="1"/>
                <w:bCs w:val="1"/>
                <w:color w:val="auto"/>
                <w:w w:val="93"/>
              </w:rPr>
              <w:t>Six Months Ended June 30</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83"/>
              </w:rPr>
              <w:t>2020</w:t>
            </w: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3"/>
              </w:rPr>
              <w:t>(In thousands)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4360" w:type="dxa"/>
            <w:vAlign w:val="bottom"/>
          </w:tcPr>
          <w:p>
            <w:pPr>
              <w:spacing w:after="0"/>
              <w:rPr>
                <w:sz w:val="20"/>
                <w:szCs w:val="20"/>
                <w:color w:val="auto"/>
              </w:rPr>
            </w:pPr>
            <w:r>
              <w:rPr>
                <w:rFonts w:ascii="Arial" w:cs="Arial" w:eastAsia="Arial" w:hAnsi="Arial"/>
                <w:sz w:val="18"/>
                <w:szCs w:val="18"/>
                <w:color w:val="auto"/>
              </w:rPr>
              <w:t>Service cost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9,972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(62,756)</w:t>
            </w:r>
          </w:p>
        </w:tc>
        <w:tc>
          <w:tcPr>
            <w:tcW w:w="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(61,070)</w:t>
            </w:r>
          </w:p>
        </w:tc>
        <w:tc>
          <w:tcPr>
            <w:tcW w:w="280" w:type="dxa"/>
            <w:vAlign w:val="bottom"/>
          </w:tcPr>
          <w:p>
            <w:pPr>
              <w:spacing w:after="0"/>
              <w:rPr>
                <w:sz w:val="19"/>
                <w:szCs w:val="19"/>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(2,369)</w:t>
            </w:r>
          </w:p>
        </w:tc>
        <w:tc>
          <w:tcPr>
            <w:tcW w:w="2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29,048</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(618)</w:t>
            </w:r>
          </w:p>
        </w:tc>
        <w:tc>
          <w:tcPr>
            <w:tcW w:w="2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cost (benefit)</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(1,632)</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(1,387)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$23 million and $19 million for the three months ended June 30, 2020 and 2019, respectively, and $51 million and $41 million for the six months ended June 30, 2020 and 2019, respectively, and are included in salaries and employee benefits expense.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62"/>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9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(In thousands, except per share)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7"/>
        </w:trPr>
        <w:tc>
          <w:tcPr>
            <w:tcW w:w="6140" w:type="dxa"/>
            <w:vAlign w:val="bottom"/>
          </w:tcPr>
          <w:p>
            <w:pPr>
              <w:spacing w:after="0"/>
              <w:rPr>
                <w:sz w:val="20"/>
                <w:szCs w:val="20"/>
                <w:color w:val="auto"/>
              </w:rPr>
            </w:pPr>
            <w:r>
              <w:rPr>
                <w:rFonts w:ascii="Arial" w:cs="Arial" w:eastAsia="Arial" w:hAnsi="Arial"/>
                <w:sz w:val="18"/>
                <w:szCs w:val="18"/>
                <w:color w:val="auto"/>
              </w:rPr>
              <w:t>Income available to common shareholders: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241,054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473,260</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956,002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Less: Preferred stock dividends</w:t>
            </w: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(17,050)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(18,130)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(34,128)</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224,004</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455,130</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475,748</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919,742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380"/>
              <w:spacing w:after="0"/>
              <w:rPr>
                <w:sz w:val="20"/>
                <w:szCs w:val="20"/>
                <w:color w:val="auto"/>
              </w:rPr>
            </w:pPr>
            <w:r>
              <w:rPr>
                <w:rFonts w:ascii="Arial" w:cs="Arial" w:eastAsia="Arial" w:hAnsi="Arial"/>
                <w:sz w:val="18"/>
                <w:szCs w:val="18"/>
                <w:color w:val="auto"/>
              </w:rPr>
              <w:t>compensation awards</w:t>
            </w: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(2,498)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223,098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452,632</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473,794</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914,718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shares outstanding (including common stock</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issuable) and unvested stock-based compensation</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129,059</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136,182</w:t>
            </w: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129,750</w:t>
            </w: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(749)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128,275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135,433</w:t>
            </w: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128,986</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136,654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tbl>
      <w:tblPr>
        <w:tblLayout w:type="fixed"/>
        <w:tblInd w:w="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right"/>
              <w:ind w:right="540"/>
              <w:spacing w:after="0" w:line="154" w:lineRule="exact"/>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(In thousands, except per share)</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224,004</w:t>
            </w:r>
          </w:p>
        </w:tc>
        <w:tc>
          <w:tcPr>
            <w:tcW w:w="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455,130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475,748</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919,742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compensation awards</w:t>
            </w: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(905)</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(2,497)</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(1,953)</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223,099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452,633</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473,795</w:t>
            </w:r>
          </w:p>
        </w:tc>
        <w:tc>
          <w:tcPr>
            <w:tcW w:w="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8"/>
                <w:szCs w:val="18"/>
                <w:color w:val="auto"/>
              </w:rPr>
              <w:t>Common and unvested stock-based compensation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129,059</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136,182</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129,750</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(784)</w:t>
            </w: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(749)</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(764)</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5"/>
        </w:trPr>
        <w:tc>
          <w:tcPr>
            <w:tcW w:w="6060" w:type="dxa"/>
            <w:vAlign w:val="bottom"/>
          </w:tcPr>
          <w:p>
            <w:pPr>
              <w:ind w:left="260"/>
              <w:spacing w:after="0"/>
              <w:rPr>
                <w:sz w:val="20"/>
                <w:szCs w:val="20"/>
                <w:color w:val="auto"/>
              </w:rPr>
            </w:pPr>
            <w:r>
              <w:rPr>
                <w:rFonts w:ascii="Arial" w:cs="Arial" w:eastAsia="Arial" w:hAnsi="Arial"/>
                <w:sz w:val="18"/>
                <w:szCs w:val="18"/>
                <w:color w:val="auto"/>
              </w:rPr>
              <w:t>Plus: Incremental shares from assumed conversion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80"/>
              <w:spacing w:after="0"/>
              <w:rPr>
                <w:sz w:val="20"/>
                <w:szCs w:val="20"/>
                <w:color w:val="auto"/>
              </w:rPr>
            </w:pPr>
            <w:r>
              <w:rPr>
                <w:rFonts w:ascii="Arial" w:cs="Arial" w:eastAsia="Arial" w:hAnsi="Arial"/>
                <w:sz w:val="18"/>
                <w:szCs w:val="18"/>
                <w:color w:val="auto"/>
              </w:rPr>
              <w:t>stock-based compensation awards and warrants to</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purchase common stock</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128,333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135,464</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129,044</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8" w:lineRule="exact"/>
        <w:rPr>
          <w:sz w:val="20"/>
          <w:szCs w:val="20"/>
          <w:color w:val="auto"/>
        </w:rPr>
      </w:pPr>
    </w:p>
    <w:p>
      <w:pPr>
        <w:jc w:val="both"/>
        <w:ind w:firstLine="510"/>
        <w:spacing w:after="0" w:line="265" w:lineRule="auto"/>
        <w:rPr>
          <w:sz w:val="20"/>
          <w:szCs w:val="20"/>
          <w:color w:val="auto"/>
        </w:rPr>
      </w:pPr>
      <w:r>
        <w:rPr>
          <w:rFonts w:ascii="Arial" w:cs="Arial" w:eastAsia="Arial" w:hAnsi="Arial"/>
          <w:sz w:val="20"/>
          <w:szCs w:val="20"/>
          <w:color w:val="auto"/>
        </w:rPr>
        <w:t>Stock-based compensation awards and warrants to purchase common stock of M&amp;T representing 483,491 and 115,293 common shares during the three-month periods ended June 30, 2020 and 2019, respectively, and 474,093 and 197,598 common shares during the six-month periods ended June 30, 2020 and 2019, respectively were not included in the computations of diluted earnings per common share because the effect on those periods would have been antidilutive.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2"/>
        </w:trPr>
        <w:tc>
          <w:tcPr>
            <w:tcW w:w="4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6"/>
              </w:rPr>
              <w:t>Defined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6"/>
              </w:rPr>
              <w:t>Total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Benefit</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c>
          <w:tcPr>
            <w:tcW w:w="3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3"/>
              </w:rPr>
              <w:t>Securities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Plans</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Other</w:t>
            </w: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Before Tax</w:t>
            </w:r>
          </w:p>
        </w:tc>
        <w:tc>
          <w:tcPr>
            <w:tcW w:w="34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Tax</w:t>
            </w:r>
          </w:p>
        </w:tc>
        <w:tc>
          <w:tcPr>
            <w:tcW w:w="10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68"/>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5"/>
          </w:tcPr>
          <w:p>
            <w:pPr>
              <w:jc w:val="center"/>
              <w:ind w:left="68"/>
              <w:spacing w:after="0"/>
              <w:rPr>
                <w:sz w:val="20"/>
                <w:szCs w:val="20"/>
                <w:color w:val="auto"/>
              </w:rPr>
            </w:pPr>
            <w:r>
              <w:rPr>
                <w:rFonts w:ascii="Arial" w:cs="Arial" w:eastAsia="Arial" w:hAnsi="Arial"/>
                <w:sz w:val="13"/>
                <w:szCs w:val="13"/>
                <w:b w:val="1"/>
                <w:bCs w:val="1"/>
                <w:color w:val="auto"/>
                <w:w w:val="93"/>
              </w:rPr>
              <w:t>(In thousands)</w:t>
            </w: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Arial" w:cs="Arial" w:eastAsia="Arial" w:hAnsi="Arial"/>
                <w:sz w:val="14"/>
                <w:szCs w:val="14"/>
                <w:color w:val="auto"/>
              </w:rPr>
              <w:t>Balance — January 1, 2020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50,701</w:t>
            </w:r>
          </w:p>
        </w:tc>
        <w:tc>
          <w:tcPr>
            <w:tcW w:w="1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(464,548)</w:t>
            </w:r>
          </w:p>
        </w:tc>
        <w:tc>
          <w:tcPr>
            <w:tcW w:w="680" w:type="dxa"/>
            <w:vAlign w:val="bottom"/>
          </w:tcPr>
          <w:p>
            <w:pPr>
              <w:jc w:val="right"/>
              <w:spacing w:after="0"/>
              <w:rPr>
                <w:sz w:val="20"/>
                <w:szCs w:val="20"/>
                <w:color w:val="auto"/>
              </w:rPr>
            </w:pPr>
            <w:r>
              <w:rPr>
                <w:rFonts w:ascii="Arial" w:cs="Arial" w:eastAsia="Arial" w:hAnsi="Arial"/>
                <w:sz w:val="14"/>
                <w:szCs w:val="14"/>
                <w:color w:val="auto"/>
              </w:rPr>
              <w:t>133,888</w:t>
            </w:r>
          </w:p>
        </w:tc>
        <w:tc>
          <w:tcPr>
            <w:tcW w:w="220" w:type="dxa"/>
            <w:vAlign w:val="bottom"/>
          </w:tcPr>
          <w:p>
            <w:pPr>
              <w:spacing w:after="0"/>
              <w:rPr>
                <w:sz w:val="24"/>
                <w:szCs w:val="24"/>
                <w:color w:val="auto"/>
              </w:rPr>
            </w:pP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(279,959)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73,279</w:t>
            </w:r>
          </w:p>
        </w:tc>
        <w:tc>
          <w:tcPr>
            <w:tcW w:w="260" w:type="dxa"/>
            <w:vAlign w:val="bottom"/>
          </w:tcPr>
          <w:p>
            <w:pPr>
              <w:spacing w:after="0"/>
              <w:rPr>
                <w:sz w:val="24"/>
                <w:szCs w:val="24"/>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(206,680)</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holding gains,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177,086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177,086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(45,856)</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131,230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(3,624)</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(3,624)</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(2,994)</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gains on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511,195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511,195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(132,404)</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378,791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7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177,086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507,571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684,657</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(177,630)</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507,027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held-to-maturity (“HTM”) securities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1,619</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680" w:type="dxa"/>
            <w:vAlign w:val="bottom"/>
          </w:tcPr>
          <w:p>
            <w:pPr>
              <w:jc w:val="right"/>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(101,194)</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(101,194)</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26,210</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(74,984)</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(2,090)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(2,090)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tcPr>
          <w:p>
            <w:pPr>
              <w:jc w:val="right"/>
              <w:spacing w:after="0"/>
              <w:rPr>
                <w:sz w:val="20"/>
                <w:szCs w:val="20"/>
                <w:color w:val="auto"/>
              </w:rPr>
            </w:pPr>
            <w:r>
              <w:rPr>
                <w:rFonts w:ascii="Arial" w:cs="Arial" w:eastAsia="Arial" w:hAnsi="Arial"/>
                <w:sz w:val="14"/>
                <w:szCs w:val="14"/>
                <w:color w:val="auto"/>
              </w:rPr>
              <w:t>650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28,430</w:t>
            </w:r>
          </w:p>
        </w:tc>
        <w:tc>
          <w:tcPr>
            <w:tcW w:w="2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28,430</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(8,846)</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8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178,705</w:t>
            </w:r>
          </w:p>
        </w:tc>
        <w:tc>
          <w:tcPr>
            <w:tcW w:w="12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26,340</w:t>
            </w:r>
          </w:p>
        </w:tc>
        <w:tc>
          <w:tcPr>
            <w:tcW w:w="2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406,313</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611,358</w:t>
            </w: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(160,048)</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451,310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2020</w:t>
            </w:r>
          </w:p>
        </w:tc>
        <w:tc>
          <w:tcPr>
            <w:tcW w:w="8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229,406</w:t>
            </w: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(438,208)</w:t>
            </w:r>
          </w:p>
        </w:tc>
        <w:tc>
          <w:tcPr>
            <w:tcW w:w="2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540,201</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331,399</w:t>
            </w:r>
          </w:p>
        </w:tc>
        <w:tc>
          <w:tcPr>
            <w:tcW w:w="8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CFF0FC"/>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(86,769)</w:t>
            </w:r>
          </w:p>
        </w:tc>
        <w:tc>
          <w:tcPr>
            <w:tcW w:w="260" w:type="dxa"/>
            <w:vAlign w:val="bottom"/>
            <w:tcBorders>
              <w:bottom w:val="single" w:sz="8" w:color="CFF0FC"/>
              <w:right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244,630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Balance — January 1, 2019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(200,107)</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(354,502)</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(14,719)</w:t>
            </w:r>
          </w:p>
        </w:tc>
        <w:tc>
          <w:tcPr>
            <w:tcW w:w="10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(569,328)</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149,247</w:t>
            </w:r>
          </w:p>
        </w:tc>
        <w:tc>
          <w:tcPr>
            <w:tcW w:w="260" w:type="dxa"/>
            <w:vAlign w:val="bottom"/>
          </w:tcPr>
          <w:p>
            <w:pPr>
              <w:spacing w:after="0"/>
              <w:rPr>
                <w:sz w:val="14"/>
                <w:szCs w:val="14"/>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(420,081)</w:t>
            </w: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before 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holding gains, net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207,802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207,802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(54,609)</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153,193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(507)</w:t>
            </w:r>
          </w:p>
        </w:tc>
        <w:tc>
          <w:tcPr>
            <w:tcW w:w="1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(507)</w:t>
            </w: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Unrealized gains on cash flow hedges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188,272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188,272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(49,497)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740" w:type="dxa"/>
            <w:vAlign w:val="bottom"/>
            <w:tcBorders>
              <w:top w:val="single" w:sz="8" w:color="CFF0FC"/>
            </w:tcBorders>
            <w:shd w:val="clear" w:color="auto" w:fill="CFF0FC"/>
          </w:tcPr>
          <w:p>
            <w:pPr>
              <w:spacing w:after="0" w:line="123" w:lineRule="exact"/>
              <w:rPr>
                <w:sz w:val="20"/>
                <w:szCs w:val="20"/>
                <w:color w:val="auto"/>
              </w:rPr>
            </w:pPr>
            <w:r>
              <w:rPr>
                <w:rFonts w:ascii="Arial" w:cs="Arial" w:eastAsia="Arial" w:hAnsi="Arial"/>
                <w:sz w:val="14"/>
                <w:szCs w:val="14"/>
                <w:color w:val="auto"/>
              </w:rPr>
              <w:t>Total other comprehensive income before</w:t>
            </w:r>
          </w:p>
        </w:tc>
        <w:tc>
          <w:tcPr>
            <w:tcW w:w="8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reclassifications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207,802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187,765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395,567</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(103,999)</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291,568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line="137" w:lineRule="exact"/>
              <w:rPr>
                <w:sz w:val="20"/>
                <w:szCs w:val="20"/>
                <w:color w:val="auto"/>
              </w:rPr>
            </w:pPr>
            <w:r>
              <w:rPr>
                <w:rFonts w:ascii="Arial" w:cs="Arial" w:eastAsia="Arial" w:hAnsi="Arial"/>
                <w:sz w:val="14"/>
                <w:szCs w:val="14"/>
                <w:color w:val="auto"/>
              </w:rPr>
              <w:t>Amounts reclassified from accumulated other</w:t>
            </w: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40" w:type="dxa"/>
            <w:vAlign w:val="bottom"/>
          </w:tcPr>
          <w:p>
            <w:pPr>
              <w:ind w:left="120"/>
              <w:spacing w:after="0"/>
              <w:rPr>
                <w:sz w:val="20"/>
                <w:szCs w:val="20"/>
                <w:color w:val="auto"/>
              </w:rPr>
            </w:pPr>
            <w:r>
              <w:rPr>
                <w:rFonts w:ascii="Arial" w:cs="Arial" w:eastAsia="Arial" w:hAnsi="Arial"/>
                <w:sz w:val="14"/>
                <w:szCs w:val="14"/>
                <w:color w:val="auto"/>
              </w:rPr>
              <w:t>comprehensive income that (increase) decrease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7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HTM securities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w:t>
            </w: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(a)</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Losses realized in net income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(b)</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Accretion of net gain on terminated cash flow hedges</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(c)</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Net yield adjustment from cash flow hedges currently in effect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11,176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11,176</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(a)</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(2,938)</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prior service credit</w:t>
            </w: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(2,086)</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(2,086)</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(1,538)</w:t>
            </w:r>
          </w:p>
        </w:tc>
        <w:tc>
          <w:tcPr>
            <w:tcW w:w="0" w:type="dxa"/>
            <w:vAlign w:val="bottom"/>
          </w:tcPr>
          <w:p>
            <w:pPr>
              <w:spacing w:after="0"/>
              <w:rPr>
                <w:sz w:val="1"/>
                <w:szCs w:val="1"/>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Amortization of actuarial losses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10,373</w:t>
            </w:r>
          </w:p>
        </w:tc>
        <w:tc>
          <w:tcPr>
            <w:tcW w:w="2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10,373</w:t>
            </w:r>
          </w:p>
        </w:tc>
        <w:tc>
          <w:tcPr>
            <w:tcW w:w="8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(d)</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(2,727)</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comprehensive income</w:t>
            </w:r>
          </w:p>
        </w:tc>
        <w:tc>
          <w:tcPr>
            <w:tcW w:w="8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209,500</w:t>
            </w:r>
          </w:p>
        </w:tc>
        <w:tc>
          <w:tcPr>
            <w:tcW w:w="1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8,287</w:t>
            </w:r>
          </w:p>
        </w:tc>
        <w:tc>
          <w:tcPr>
            <w:tcW w:w="2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198,885</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416,672</w:t>
            </w:r>
          </w:p>
        </w:tc>
        <w:tc>
          <w:tcPr>
            <w:tcW w:w="8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(109,549)</w:t>
            </w: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307,123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20"/>
                <w:szCs w:val="20"/>
                <w:color w:val="auto"/>
              </w:rPr>
            </w:pPr>
            <w:r>
              <w:rPr>
                <w:rFonts w:ascii="Arial" w:cs="Arial" w:eastAsia="Arial" w:hAnsi="Arial"/>
                <w:sz w:val="14"/>
                <w:szCs w:val="14"/>
                <w:color w:val="auto"/>
              </w:rPr>
              <w:t>Balance — June 30, 2019</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9,393</w:t>
            </w:r>
          </w:p>
        </w:tc>
        <w:tc>
          <w:tcPr>
            <w:tcW w:w="120" w:type="dxa"/>
            <w:vAlign w:val="bottom"/>
          </w:tcPr>
          <w:p>
            <w:pPr>
              <w:spacing w:after="0"/>
              <w:rPr>
                <w:sz w:val="14"/>
                <w:szCs w:val="14"/>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(346,215)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184,166</w:t>
            </w:r>
          </w:p>
        </w:tc>
        <w:tc>
          <w:tcPr>
            <w:tcW w:w="220" w:type="dxa"/>
            <w:vAlign w:val="bottom"/>
          </w:tcPr>
          <w:p>
            <w:pPr>
              <w:spacing w:after="0"/>
              <w:rPr>
                <w:sz w:val="14"/>
                <w:szCs w:val="14"/>
                <w:color w:val="auto"/>
              </w:rPr>
            </w:pP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(152,656)</w:t>
            </w:r>
          </w:p>
        </w:tc>
        <w:tc>
          <w:tcPr>
            <w:tcW w:w="3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39,698</w:t>
            </w:r>
          </w:p>
        </w:tc>
        <w:tc>
          <w:tcPr>
            <w:tcW w:w="260" w:type="dxa"/>
            <w:vAlign w:val="bottom"/>
          </w:tcPr>
          <w:p>
            <w:pPr>
              <w:spacing w:after="0"/>
              <w:rPr>
                <w:sz w:val="14"/>
                <w:szCs w:val="14"/>
                <w:color w:val="auto"/>
              </w:rPr>
            </w:pPr>
          </w:p>
        </w:tc>
        <w:tc>
          <w:tcPr>
            <w:tcW w:w="100" w:type="dxa"/>
            <w:vAlign w:val="bottom"/>
            <w:vMerge w:val="restart"/>
          </w:tcPr>
          <w:p>
            <w:pPr>
              <w:jc w:val="right"/>
              <w:ind w:right="34"/>
              <w:spacing w:after="0"/>
              <w:rPr>
                <w:sz w:val="20"/>
                <w:szCs w:val="20"/>
                <w:color w:val="auto"/>
              </w:rPr>
            </w:pPr>
            <w:r>
              <w:rPr>
                <w:rFonts w:ascii="Arial" w:cs="Arial" w:eastAsia="Arial" w:hAnsi="Arial"/>
                <w:sz w:val="5"/>
                <w:szCs w:val="5"/>
                <w:color w:val="auto"/>
                <w:w w:val="70"/>
              </w:rPr>
              <w:t>$</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(112,958)</w:t>
            </w:r>
          </w:p>
        </w:tc>
        <w:tc>
          <w:tcPr>
            <w:tcW w:w="0" w:type="dxa"/>
            <w:vAlign w:val="bottom"/>
          </w:tcPr>
          <w:p>
            <w:pPr>
              <w:spacing w:after="0"/>
              <w:rPr>
                <w:sz w:val="1"/>
                <w:szCs w:val="1"/>
                <w:color w:val="auto"/>
              </w:rPr>
            </w:pPr>
          </w:p>
        </w:tc>
      </w:tr>
      <w:tr>
        <w:trPr>
          <w:trHeight w:val="53"/>
        </w:trPr>
        <w:tc>
          <w:tcPr>
            <w:tcW w:w="47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0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00" w:hanging="492"/>
        <w:spacing w:after="0" w:line="221" w:lineRule="auto"/>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00" w:hanging="492"/>
        <w:spacing w:after="0"/>
        <w:tabs>
          <w:tab w:leader="none" w:pos="50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-388620</wp:posOffset>
            </wp:positionV>
            <wp:extent cx="3505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6"/>
              </w:rPr>
              <w:t>Defined</w:t>
            </w:r>
          </w:p>
        </w:tc>
        <w:tc>
          <w:tcPr>
            <w:tcW w:w="1020" w:type="dxa"/>
            <w:vAlign w:val="bottom"/>
          </w:tcPr>
          <w:p>
            <w:pPr>
              <w:jc w:val="center"/>
              <w:ind w:right="250"/>
              <w:spacing w:after="0"/>
              <w:rPr>
                <w:sz w:val="20"/>
                <w:szCs w:val="20"/>
                <w:color w:val="auto"/>
              </w:rPr>
            </w:pPr>
            <w:r>
              <w:rPr>
                <w:rFonts w:ascii="Arial" w:cs="Arial" w:eastAsia="Arial" w:hAnsi="Arial"/>
                <w:sz w:val="13"/>
                <w:szCs w:val="13"/>
                <w:b w:val="1"/>
                <w:bCs w:val="1"/>
                <w:color w:val="auto"/>
                <w:w w:val="95"/>
              </w:rPr>
              <w:t>Cash Flow</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Investment</w:t>
            </w:r>
          </w:p>
        </w:tc>
        <w:tc>
          <w:tcPr>
            <w:tcW w:w="19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95"/>
              </w:rPr>
              <w:t>Benefit</w:t>
            </w:r>
          </w:p>
        </w:tc>
        <w:tc>
          <w:tcPr>
            <w:tcW w:w="1020" w:type="dxa"/>
            <w:vAlign w:val="bottom"/>
          </w:tcPr>
          <w:p>
            <w:pPr>
              <w:jc w:val="center"/>
              <w:ind w:right="250"/>
              <w:spacing w:after="0"/>
              <w:rPr>
                <w:sz w:val="20"/>
                <w:szCs w:val="20"/>
                <w:color w:val="auto"/>
              </w:rPr>
            </w:pPr>
            <w:r>
              <w:rPr>
                <w:rFonts w:ascii="Arial" w:cs="Arial" w:eastAsia="Arial" w:hAnsi="Arial"/>
                <w:sz w:val="13"/>
                <w:szCs w:val="13"/>
                <w:b w:val="1"/>
                <w:bCs w:val="1"/>
                <w:color w:val="auto"/>
                <w:w w:val="89"/>
              </w:rPr>
              <w:t>Hedges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0"/>
              </w:rPr>
              <w:t>Securities</w:t>
            </w:r>
          </w:p>
        </w:tc>
        <w:tc>
          <w:tcPr>
            <w:tcW w:w="1960" w:type="dxa"/>
            <w:vAlign w:val="bottom"/>
            <w:gridSpan w:val="3"/>
          </w:tcPr>
          <w:p>
            <w:pPr>
              <w:jc w:val="center"/>
              <w:ind w:right="660"/>
              <w:spacing w:after="0"/>
              <w:rPr>
                <w:sz w:val="20"/>
                <w:szCs w:val="20"/>
                <w:color w:val="auto"/>
              </w:rPr>
            </w:pPr>
            <w:r>
              <w:rPr>
                <w:rFonts w:ascii="Arial" w:cs="Arial" w:eastAsia="Arial" w:hAnsi="Arial"/>
                <w:sz w:val="13"/>
                <w:szCs w:val="13"/>
                <w:b w:val="1"/>
                <w:bCs w:val="1"/>
                <w:color w:val="auto"/>
                <w:w w:val="86"/>
              </w:rPr>
              <w:t>Plans</w:t>
            </w:r>
          </w:p>
        </w:tc>
        <w:tc>
          <w:tcPr>
            <w:tcW w:w="1020" w:type="dxa"/>
            <w:vAlign w:val="bottom"/>
          </w:tcPr>
          <w:p>
            <w:pPr>
              <w:jc w:val="center"/>
              <w:ind w:right="250"/>
              <w:spacing w:after="0"/>
              <w:rPr>
                <w:sz w:val="20"/>
                <w:szCs w:val="20"/>
                <w:color w:val="auto"/>
              </w:rPr>
            </w:pPr>
            <w:r>
              <w:rPr>
                <w:rFonts w:ascii="Arial" w:cs="Arial" w:eastAsia="Arial" w:hAnsi="Arial"/>
                <w:sz w:val="13"/>
                <w:szCs w:val="13"/>
                <w:b w:val="1"/>
                <w:bCs w:val="1"/>
                <w:color w:val="auto"/>
                <w:w w:val="94"/>
              </w:rPr>
              <w:t>and Other</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Total</w:t>
            </w:r>
          </w:p>
        </w:tc>
      </w:tr>
      <w:tr>
        <w:trPr>
          <w:trHeight w:val="169"/>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w w:val="98"/>
              </w:rPr>
              <w:t>(In thousands)</w:t>
            </w: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4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170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37,380</w:t>
            </w:r>
          </w:p>
        </w:tc>
        <w:tc>
          <w:tcPr>
            <w:tcW w:w="34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(342,419)</w:t>
            </w: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98,359</w:t>
            </w:r>
          </w:p>
        </w:tc>
        <w:tc>
          <w:tcPr>
            <w:tcW w:w="6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(206,680)</w:t>
            </w:r>
          </w:p>
        </w:tc>
      </w:tr>
      <w:tr>
        <w:trPr>
          <w:trHeight w:val="162"/>
        </w:trPr>
        <w:tc>
          <w:tcPr>
            <w:tcW w:w="33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gain during period</w:t>
            </w:r>
          </w:p>
        </w:tc>
        <w:tc>
          <w:tcPr>
            <w:tcW w:w="15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132,399</w:t>
            </w:r>
          </w:p>
        </w:tc>
        <w:tc>
          <w:tcPr>
            <w:tcW w:w="3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18,144</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300,767</w:t>
            </w:r>
          </w:p>
        </w:tc>
        <w:tc>
          <w:tcPr>
            <w:tcW w:w="3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451,310</w:t>
            </w:r>
          </w:p>
        </w:tc>
        <w:tc>
          <w:tcPr>
            <w:tcW w:w="100" w:type="dxa"/>
            <w:vAlign w:val="bottom"/>
            <w:tcBorders>
              <w:bottom w:val="single" w:sz="8" w:color="CFF0FC"/>
            </w:tcBorders>
          </w:tcPr>
          <w:p>
            <w:pPr>
              <w:spacing w:after="0"/>
              <w:rPr>
                <w:sz w:val="14"/>
                <w:szCs w:val="14"/>
                <w:color w:val="auto"/>
              </w:rPr>
            </w:pPr>
          </w:p>
        </w:tc>
      </w:tr>
      <w:tr>
        <w:trPr>
          <w:trHeight w:val="156"/>
        </w:trPr>
        <w:tc>
          <w:tcPr>
            <w:tcW w:w="33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2020</w:t>
            </w:r>
          </w:p>
        </w:tc>
        <w:tc>
          <w:tcPr>
            <w:tcW w:w="15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169,779</w:t>
            </w:r>
          </w:p>
        </w:tc>
        <w:tc>
          <w:tcPr>
            <w:tcW w:w="340" w:type="dxa"/>
            <w:vAlign w:val="bottom"/>
            <w:tcBorders>
              <w:bottom w:val="single" w:sz="8" w:color="CFF0FC"/>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(324,275)</w:t>
            </w:r>
          </w:p>
        </w:tc>
        <w:tc>
          <w:tcPr>
            <w:tcW w:w="34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399,126</w:t>
            </w:r>
          </w:p>
        </w:tc>
        <w:tc>
          <w:tcPr>
            <w:tcW w:w="34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244,630</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2020.</w:t>
      </w:r>
    </w:p>
    <w:p>
      <w:pPr>
        <w:spacing w:after="0" w:line="7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net effect of interest rate swap agreements was to increase net interest income by $81 million and $117 million during the three-month and six-month periods ended June 30, 2020, respectively, and to decrease net interest income by $11 million and $24 million during the three-month and six-month periods ended June 30, 2019, respectively.</w:t>
      </w:r>
    </w:p>
    <w:p>
      <w:pPr>
        <w:spacing w:after="0" w:line="7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Estimated</w:t>
            </w:r>
          </w:p>
        </w:tc>
      </w:t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Notional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4"/>
                <w:szCs w:val="14"/>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Average Rate</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36"/>
        </w:trPr>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20"/>
                <w:szCs w:val="20"/>
                <w:color w:val="auto"/>
              </w:rPr>
            </w:pP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Fixed</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Variable</w:t>
            </w:r>
          </w:p>
        </w:tc>
        <w:tc>
          <w:tcPr>
            <w:tcW w:w="40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Gain (Loss) (a)</w:t>
            </w:r>
          </w:p>
        </w:tc>
      </w:tr>
      <w:tr>
        <w:trPr>
          <w:trHeight w:val="237"/>
        </w:trPr>
        <w:tc>
          <w:tcPr>
            <w:tcW w:w="47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3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0"/>
                <w:szCs w:val="20"/>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54,250,000</w:t>
            </w:r>
          </w:p>
        </w:tc>
        <w:tc>
          <w:tcPr>
            <w:tcW w:w="320" w:type="dxa"/>
            <w:vAlign w:val="bottom"/>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20"/>
                <w:szCs w:val="20"/>
                <w:color w:val="auto"/>
              </w:rPr>
            </w:pPr>
          </w:p>
        </w:tc>
      </w:tr>
      <w:tr>
        <w:trPr>
          <w:trHeight w:val="263"/>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57,300,000</w:t>
            </w:r>
          </w:p>
        </w:tc>
        <w:tc>
          <w:tcPr>
            <w:tcW w:w="3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CFF0FC"/>
            </w:tcBorders>
          </w:tcPr>
          <w:p>
            <w:pPr>
              <w:spacing w:after="0"/>
              <w:rPr>
                <w:sz w:val="22"/>
                <w:szCs w:val="22"/>
                <w:color w:val="auto"/>
              </w:rPr>
            </w:pPr>
          </w:p>
        </w:tc>
        <w:tc>
          <w:tcPr>
            <w:tcW w:w="4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FF0FC"/>
            </w:tcBorders>
          </w:tcPr>
          <w:p>
            <w:pPr>
              <w:spacing w:after="0"/>
              <w:rPr>
                <w:sz w:val="22"/>
                <w:szCs w:val="22"/>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3,800,000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2.51%</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2.27%</w:t>
            </w:r>
          </w:p>
        </w:tc>
        <w:tc>
          <w:tcPr>
            <w:tcW w:w="1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(567)</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Cash flow hedges: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53,750,000</w:t>
            </w: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2.44%</w:t>
            </w: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(1,195)</w:t>
            </w: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57,550,000</w:t>
            </w: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520" w:right="80" w:hanging="512"/>
        <w:spacing w:after="0" w:line="244" w:lineRule="auto"/>
        <w:tabs>
          <w:tab w:leader="none" w:pos="5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Certain clearinghouse exchanges consider payments by counterparties for variation margin on derivative instruments to be settlements of those positions. The impact of such treatment at June 30, 2020 and December 31, 2019 was a reduction of the estimated fair value gains on interest rate swap agreements designated as fair value hedges of $133.8 million and $45.1 million, respectively, and on interest rate swap agreements designated as cash flow hedges of $549.3 million and $140.7 million, respectively.</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terms of these agreements, the Company receives settlement amounts at a fixed rate and pays at a variable rate.</w:t>
      </w:r>
    </w:p>
    <w:p>
      <w:pPr>
        <w:ind w:left="520" w:hanging="512"/>
        <w:spacing w:after="0"/>
        <w:tabs>
          <w:tab w:leader="none" w:pos="5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notional amount and terms of $40.9 billion of forward-starting interest rate swap agreements that become effective in 2020 - 2022.</w:t>
      </w:r>
    </w:p>
    <w:p>
      <w:pPr>
        <w:spacing w:after="0" w:line="9" w:lineRule="exact"/>
        <w:rPr>
          <w:rFonts w:ascii="Arial" w:cs="Arial" w:eastAsia="Arial" w:hAnsi="Arial"/>
          <w:sz w:val="14"/>
          <w:szCs w:val="14"/>
          <w:i w:val="1"/>
          <w:iCs w:val="1"/>
          <w:color w:val="auto"/>
        </w:rPr>
      </w:pPr>
    </w:p>
    <w:p>
      <w:pPr>
        <w:ind w:left="520" w:hanging="512"/>
        <w:spacing w:after="0" w:line="189" w:lineRule="auto"/>
        <w:tabs>
          <w:tab w:leader="none" w:pos="520" w:val="left"/>
        </w:tabs>
        <w:numPr>
          <w:ilvl w:val="0"/>
          <w:numId w:val="8"/>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Includes notional amount and terms of $40.4 billion of forward-starting interest rate swap agreements that become effective in 2020 - 2022</w:t>
      </w:r>
      <w:r>
        <w:rPr>
          <w:rFonts w:ascii="Arial" w:cs="Arial" w:eastAsia="Arial" w:hAnsi="Arial"/>
          <w:sz w:val="13"/>
          <w:szCs w:val="13"/>
          <w:i w:val="1"/>
          <w:iCs w:val="1"/>
          <w:color w:val="auto"/>
        </w:rPr>
        <w:t>.</w:t>
      </w:r>
    </w:p>
    <w:p>
      <w:pPr>
        <w:spacing w:after="0" w:line="208" w:lineRule="exact"/>
        <w:rPr>
          <w:rFonts w:ascii="Arial" w:cs="Arial" w:eastAsia="Arial" w:hAnsi="Arial"/>
          <w:sz w:val="20"/>
          <w:szCs w:val="20"/>
          <w:i w:val="1"/>
          <w:iCs w:val="1"/>
          <w:color w:val="auto"/>
          <w:vertAlign w:val="superscript"/>
        </w:rPr>
      </w:pPr>
    </w:p>
    <w:p>
      <w:pPr>
        <w:ind w:left="5540" w:hanging="111"/>
        <w:spacing w:after="0"/>
        <w:tabs>
          <w:tab w:leader="none" w:pos="5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$37.1 billion and $48.6 billion at June 30, 2020 and December 31, 2019, respectively. The notional amounts of foreign currency and other option and futures contracts entered into for trading account purposes aggregated $1.0 billion and $1.2 billion at June 30, 2020 and December 31, 2019, respectively.</w:t>
      </w:r>
    </w:p>
    <w:p>
      <w:pPr>
        <w:spacing w:after="0" w:line="68"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0"/>
              </w:rPr>
              <w:t>Asset Derivatives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Liability Derivatives</w:t>
            </w:r>
          </w:p>
        </w:tc>
        <w:tc>
          <w:tcPr>
            <w:tcW w:w="0" w:type="dxa"/>
            <w:vAlign w:val="bottom"/>
          </w:tcPr>
          <w:p>
            <w:pPr>
              <w:spacing w:after="0"/>
              <w:rPr>
                <w:sz w:val="1"/>
                <w:szCs w:val="1"/>
                <w:color w:val="auto"/>
              </w:rPr>
            </w:pPr>
          </w:p>
        </w:tc>
      </w:tr>
      <w:tr>
        <w:trPr>
          <w:trHeight w:val="146"/>
        </w:trPr>
        <w:tc>
          <w:tcPr>
            <w:tcW w:w="5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396"/>
              <w:spacing w:after="0" w:line="147" w:lineRule="exact"/>
              <w:rPr>
                <w:sz w:val="20"/>
                <w:szCs w:val="20"/>
                <w:color w:val="auto"/>
              </w:rPr>
            </w:pPr>
            <w:r>
              <w:rPr>
                <w:rFonts w:ascii="Arial" w:cs="Arial" w:eastAsia="Arial" w:hAnsi="Arial"/>
                <w:sz w:val="14"/>
                <w:szCs w:val="14"/>
                <w:b w:val="1"/>
                <w:bCs w:val="1"/>
                <w:color w:val="auto"/>
                <w:w w:val="95"/>
              </w:rPr>
              <w:t>Fair Value</w:t>
            </w: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center"/>
              <w:ind w:left="376"/>
              <w:spacing w:after="0" w:line="147" w:lineRule="exact"/>
              <w:rPr>
                <w:sz w:val="20"/>
                <w:szCs w:val="20"/>
                <w:color w:val="auto"/>
              </w:rPr>
            </w:pPr>
            <w:r>
              <w:rPr>
                <w:rFonts w:ascii="Arial" w:cs="Arial" w:eastAsia="Arial" w:hAnsi="Arial"/>
                <w:sz w:val="14"/>
                <w:szCs w:val="14"/>
                <w:b w:val="1"/>
                <w:bCs w:val="1"/>
                <w:color w:val="auto"/>
                <w:w w:val="98"/>
              </w:rPr>
              <w:t>Fair Value</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Interest rate swap agreements (a)</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w:t>
            </w:r>
          </w:p>
        </w:tc>
        <w:tc>
          <w:tcPr>
            <w:tcW w:w="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20" w:type="dxa"/>
            <w:vAlign w:val="bottom"/>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Mortgage-related commitments to originate real estate loans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40,727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 sale (a)</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6"/>
                <w:szCs w:val="16"/>
                <w:color w:val="auto"/>
              </w:rPr>
              <w:t>Commitments to sell real estate loans (a)</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7,526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Trading:</w:t>
            </w: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6"/>
                <w:szCs w:val="16"/>
                <w:color w:val="auto"/>
              </w:rPr>
              <w:t>Interest rate contracts (b)</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1,231,484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398,295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127,008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7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1,287,389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425,840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146,141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derivatives</w:t>
            </w:r>
          </w:p>
        </w:tc>
        <w:tc>
          <w:tcPr>
            <w:tcW w:w="7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1,290,680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427,267</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154,971</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other assets and liability derivatives are reported in other liabilities.</w:t>
      </w:r>
    </w:p>
    <w:p>
      <w:pPr>
        <w:spacing w:after="0" w:line="1" w:lineRule="exact"/>
        <w:rPr>
          <w:rFonts w:ascii="Arial" w:cs="Arial" w:eastAsia="Arial" w:hAnsi="Arial"/>
          <w:sz w:val="15"/>
          <w:szCs w:val="15"/>
          <w:i w:val="1"/>
          <w:iCs w:val="1"/>
          <w:color w:val="auto"/>
        </w:rPr>
      </w:pPr>
    </w:p>
    <w:p>
      <w:pPr>
        <w:jc w:val="both"/>
        <w:ind w:left="500" w:hanging="492"/>
        <w:spacing w:after="0" w:line="234" w:lineRule="auto"/>
        <w:tabs>
          <w:tab w:leader="none" w:pos="50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Asset derivatives are reported in trading account assets and liability derivatives are reported in other liabilities. The impact of variation margin payments at June 30, 2020 and December 31, 2019 was a reduction of the estimated fair value of interest rate contracts in the trading account in an asset position of $3.1 million and $43.3 million, respectively, and in a liability position of $1.0 billion and $281.3 million,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w w:val="91"/>
              </w:rPr>
              <w:t>Amount of Gain (Loss) Recognized</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4"/>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4"/>
          </w:tcPr>
          <w:p>
            <w:pPr>
              <w:jc w:val="center"/>
              <w:ind w:right="39"/>
              <w:spacing w:after="0" w:line="133" w:lineRule="exact"/>
              <w:rPr>
                <w:sz w:val="20"/>
                <w:szCs w:val="20"/>
                <w:color w:val="auto"/>
              </w:rPr>
            </w:pPr>
            <w:r>
              <w:rPr>
                <w:rFonts w:ascii="Arial" w:cs="Arial" w:eastAsia="Arial" w:hAnsi="Arial"/>
                <w:sz w:val="14"/>
                <w:szCs w:val="14"/>
                <w:b w:val="1"/>
                <w:bCs w:val="1"/>
                <w:color w:val="auto"/>
                <w:w w:val="92"/>
              </w:rPr>
              <w:t>Three Months Ended 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82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Derivative</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9"/>
              </w:rPr>
              <w:t>Hedged Item</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tcPr>
          <w:p>
            <w:pPr>
              <w:ind w:left="80"/>
              <w:spacing w:after="0" w:line="155" w:lineRule="exact"/>
              <w:rPr>
                <w:sz w:val="20"/>
                <w:szCs w:val="20"/>
                <w:color w:val="auto"/>
              </w:rPr>
            </w:pPr>
            <w:r>
              <w:rPr>
                <w:rFonts w:ascii="Arial" w:cs="Arial" w:eastAsia="Arial" w:hAnsi="Arial"/>
                <w:sz w:val="14"/>
                <w:szCs w:val="14"/>
                <w:b w:val="1"/>
                <w:bCs w:val="1"/>
                <w:color w:val="auto"/>
              </w:rPr>
              <w:t>Derivative</w:t>
            </w:r>
          </w:p>
        </w:tc>
        <w:tc>
          <w:tcPr>
            <w:tcW w:w="9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0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 agreements:</w:t>
            </w: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260"/>
              <w:spacing w:after="0"/>
              <w:rPr>
                <w:sz w:val="20"/>
                <w:szCs w:val="20"/>
                <w:color w:val="auto"/>
              </w:rPr>
            </w:pPr>
            <w:r>
              <w:rPr>
                <w:rFonts w:ascii="Arial" w:cs="Arial" w:eastAsia="Arial" w:hAnsi="Arial"/>
                <w:sz w:val="18"/>
                <w:szCs w:val="18"/>
                <w:color w:val="auto"/>
              </w:rPr>
              <w:t>Fixed rate long-term borrowings (a)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(605)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56,679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Trading:</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contracts (b)</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8"/>
              </w:rPr>
              <w:t>Foreign exchange and other option and futures contracts (b)</w:t>
            </w:r>
          </w:p>
        </w:tc>
        <w:tc>
          <w:tcPr>
            <w:tcW w:w="16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3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10,972</w:t>
            </w:r>
          </w:p>
        </w:tc>
        <w:tc>
          <w:tcPr>
            <w:tcW w:w="3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vMerge w:val="restart"/>
          </w:tcPr>
          <w:p>
            <w:pPr>
              <w:jc w:val="right"/>
              <w:ind w:right="7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Amount of Gain (Loss) Recognized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gridSpan w:val="4"/>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20" w:type="dxa"/>
            <w:vAlign w:val="bottom"/>
            <w:gridSpan w:val="3"/>
          </w:tcPr>
          <w:p>
            <w:pPr>
              <w:jc w:val="center"/>
              <w:ind w:right="219"/>
              <w:spacing w:after="0" w:line="133" w:lineRule="exact"/>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Derivative</w:t>
            </w:r>
          </w:p>
        </w:tc>
        <w:tc>
          <w:tcPr>
            <w:tcW w:w="3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w w:val="99"/>
              </w:rPr>
              <w:t>Hedged Item</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Derivative</w:t>
            </w:r>
          </w:p>
        </w:tc>
        <w:tc>
          <w:tcPr>
            <w:tcW w:w="9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62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 agreements: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20" w:type="dxa"/>
            <w:vAlign w:val="bottom"/>
          </w:tcPr>
          <w:p>
            <w:pPr>
              <w:ind w:left="260"/>
              <w:spacing w:after="0"/>
              <w:rPr>
                <w:sz w:val="20"/>
                <w:szCs w:val="20"/>
                <w:color w:val="auto"/>
              </w:rPr>
            </w:pPr>
            <w:r>
              <w:rPr>
                <w:rFonts w:ascii="Arial" w:cs="Arial" w:eastAsia="Arial" w:hAnsi="Arial"/>
                <w:sz w:val="18"/>
                <w:szCs w:val="18"/>
                <w:color w:val="auto"/>
              </w:rPr>
              <w:t>Fixed rate long-term borrowings (a)</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88,827</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(88,429)</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90,859</w:t>
            </w:r>
          </w:p>
        </w:tc>
        <w:tc>
          <w:tcPr>
            <w:tcW w:w="38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(90,472)</w:t>
            </w: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Trading:</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contracts (b)</w:t>
            </w: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13,764</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11,204</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3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3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18,833</w:t>
            </w:r>
          </w:p>
        </w:tc>
        <w:tc>
          <w:tcPr>
            <w:tcW w:w="3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15,296</w:t>
            </w:r>
          </w:p>
        </w:tc>
        <w:tc>
          <w:tcPr>
            <w:tcW w:w="3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500" w:hanging="452"/>
        <w:spacing w:after="0"/>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adjustment to interest expense.</w:t>
      </w:r>
    </w:p>
    <w:p>
      <w:pPr>
        <w:spacing w:after="0" w:line="22" w:lineRule="exact"/>
        <w:rPr>
          <w:rFonts w:ascii="Arial" w:cs="Arial" w:eastAsia="Arial" w:hAnsi="Arial"/>
          <w:sz w:val="16"/>
          <w:szCs w:val="16"/>
          <w:i w:val="1"/>
          <w:iCs w:val="1"/>
          <w:color w:val="auto"/>
        </w:rPr>
      </w:pPr>
    </w:p>
    <w:p>
      <w:pPr>
        <w:ind w:left="500" w:hanging="452"/>
        <w:spacing w:after="0"/>
        <w:tabs>
          <w:tab w:leader="none" w:pos="50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trading account and foreign exchange gains.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Cumulative Amount of Fair Value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 Adjustment Increasing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(Decreasing) the Carrying 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Carrying Amount of the Hedged Item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ind w:right="242"/>
              <w:spacing w:after="0" w:line="149" w:lineRule="exact"/>
              <w:rPr>
                <w:sz w:val="20"/>
                <w:szCs w:val="20"/>
                <w:color w:val="auto"/>
              </w:rPr>
            </w:pPr>
            <w:r>
              <w:rPr>
                <w:rFonts w:ascii="Arial" w:cs="Arial" w:eastAsia="Arial" w:hAnsi="Arial"/>
                <w:sz w:val="14"/>
                <w:szCs w:val="14"/>
                <w:b w:val="1"/>
                <w:bCs w:val="1"/>
                <w:color w:val="auto"/>
                <w:w w:val="95"/>
              </w:rPr>
              <w:t>the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60" w:type="dxa"/>
            <w:vAlign w:val="bottom"/>
            <w:tcBorders>
              <w:bottom w:val="single" w:sz="8" w:color="auto"/>
            </w:tcBorders>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5"/>
              </w:rPr>
              <w:t>Hedged Item</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June 30, 2020</w:t>
            </w:r>
          </w:p>
        </w:tc>
        <w:tc>
          <w:tcPr>
            <w:tcW w:w="1180" w:type="dxa"/>
            <w:vAlign w:val="bottom"/>
          </w:tcPr>
          <w:p>
            <w:pPr>
              <w:ind w:left="280"/>
              <w:spacing w:after="0" w:line="133"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tcPr>
          <w:p>
            <w:pPr>
              <w:spacing w:after="0"/>
              <w:rPr>
                <w:sz w:val="11"/>
                <w:szCs w:val="11"/>
                <w:color w:val="auto"/>
              </w:rPr>
            </w:pPr>
          </w:p>
        </w:tc>
        <w:tc>
          <w:tcPr>
            <w:tcW w:w="102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w w:val="96"/>
              </w:rPr>
              <w:t>June 30, 2020</w:t>
            </w:r>
          </w:p>
        </w:tc>
        <w:tc>
          <w:tcPr>
            <w:tcW w:w="1360" w:type="dxa"/>
            <w:vAlign w:val="bottom"/>
            <w:gridSpan w:val="2"/>
          </w:tcPr>
          <w:p>
            <w:pPr>
              <w:jc w:val="center"/>
              <w:ind w:left="282"/>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20" w:type="dxa"/>
            <w:vAlign w:val="bottom"/>
            <w:gridSpan w:val="4"/>
          </w:tcPr>
          <w:p>
            <w:pPr>
              <w:jc w:val="right"/>
              <w:ind w:right="704"/>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Location in the Consolidated Balance Sheet</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the Hedged Items in Fair Value Hedges</w:t>
            </w:r>
          </w:p>
        </w:tc>
        <w:tc>
          <w:tcPr>
            <w:tcW w:w="1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8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  3,180,022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3,840,775</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132,069</w:t>
            </w:r>
          </w:p>
        </w:tc>
        <w:tc>
          <w:tcPr>
            <w:tcW w:w="64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The amount of gain (loss) recognized in the consolidated statement of income associated with derivatives designated as cash flow hedges was not material.</w:t>
      </w:r>
    </w:p>
    <w:p>
      <w:pPr>
        <w:spacing w:after="0" w:line="63"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8"/>
          <w:szCs w:val="18"/>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$57 million and $18 million at June 30, 2020 and December 31, 2019, respectively. Changes in unrealized gains and losses are included in mortgage banking revenues and, in general, are realized in subsequent periods as the related loans are sold and commitments satisfied.</w:t>
      </w:r>
    </w:p>
    <w:p>
      <w:pPr>
        <w:spacing w:after="0" w:line="4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6"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The aggregate fair value of derivative financial instruments in a liability position and the net liability positions with counterparties, which are subject to enforceable master netting arrangements, was $143 million and $51 million at June 30, 2020 and December 31, 2019, respectively. The Company was required to post collateral relating to those positions of $139 million and $50 million at June 30, 2020 and December 31, 2019,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2020 was not significant.</w:t>
      </w:r>
    </w:p>
    <w:p>
      <w:pPr>
        <w:spacing w:after="0" w:line="8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$1 million and $6 million at June 30, 2020 and December 31, 2019, respectively. Counterparties posted collateral relating to those positions of $81 thousand and $5 million at June 30, 2020 and December 31, 2019, respectively. Trading account interest rate swap agreements entered into with customers are subject to the Company’s credit risk standards and often contain collateral provisions.</w:t>
      </w:r>
    </w:p>
    <w:p>
      <w:pPr>
        <w:spacing w:after="0" w:line="8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$124 million and $84 million at June 30, 2020 and December 31, 2019,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securitization activity has consisted of securitizing loans originated for sale into government issued or guaranteed mortgage-backed securities. The amounts of those securitizations during the six-month periods ended June 30, 2020 and 2019 are presented in the Company’s consolidated statement of cash flows. The Company has not recognized any losses as a result of having securitized assets.</w:t>
      </w:r>
    </w:p>
    <w:p>
      <w:pPr>
        <w:spacing w:after="0" w:line="7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2020 and December 31, 2019,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 continued</w:t>
      </w:r>
    </w:p>
    <w:p>
      <w:pPr>
        <w:spacing w:after="0" w:line="116"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8"/>
          <w:szCs w:val="18"/>
          <w:color w:val="auto"/>
        </w:rPr>
        <w:t>The Company has invested as a limited partner in various partnerships that collectively had total assets of approximately $2.0 billion at June 30, 2020 and $1.5 billion at December 31, 2019.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$745 million, including $363 million of unfunded commitments, at June 30, 2020 and $748 million, including $414 million of unfunded commitments, at December 31, 2019. Contingent commitments to provide additional capital contributions to these partnerships were not material at June 30, 2020. The Company has not provided financial or other support to the partnerships that was not contractually required. The Company’s maximum exposure to loss from its investments in such partnerships as of June 30, 2020 was $957 million,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$22 million and $43 million of its investments in qualified affordable housing projects to income tax expense during the three-month and six-month periods ended June 30, 2020, respectively, and recognized $26 million and $52 million of tax credits and other tax benefits during those periods. Similarly, for the three-month and six-month periods ended June 30, 2019, the Company amortized $17 million and $34 million, respectively, of its investments in qualified affordable housing projects to income tax expense and recognized $21 million and $41 million of tax credits and other tax benefits during those respective periods.</w:t>
      </w:r>
    </w:p>
    <w:p>
      <w:pPr>
        <w:spacing w:after="0" w:line="292"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7"/>
          <w:szCs w:val="17"/>
          <w:color w:val="auto"/>
        </w:rPr>
        <w: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June 30, 2020.</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6"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6" w:lineRule="exact"/>
        <w:rPr>
          <w:rFonts w:ascii="Arial" w:cs="Arial" w:eastAsia="Arial" w:hAnsi="Arial"/>
          <w:sz w:val="21"/>
          <w:szCs w:val="21"/>
          <w:color w:val="auto"/>
        </w:rPr>
      </w:pPr>
    </w:p>
    <w:p>
      <w:pPr>
        <w:jc w:val="both"/>
        <w:ind w:left="1000" w:hanging="493"/>
        <w:spacing w:after="0" w:line="252" w:lineRule="auto"/>
        <w:tabs>
          <w:tab w:leader="none" w:pos="100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4"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valuation. The following is a description of the valuation methodologies used for the Company's assets and liabilities that are measured on a recurring basis at estimated fair value.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considered counterparty credit risk in the valuation of its interest rate swap agreement assets and has considered its own credit risk in the valuation of its interest rate swap agreement liabilities.</w:t>
      </w:r>
    </w:p>
    <w:p>
      <w:pPr>
        <w:spacing w:after="0" w:line="63"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following tables present assets and liabilities at June 30, 2020 and December 31, 2019 measured at estimated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Measurements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June 30, 2020</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1,293,534</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48,741</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1,244,793</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5,690,161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5,690,161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120,693</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120,693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5,821,274</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5,821,258</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93,611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67,888</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25,723</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695,969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695,969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46,271</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7,950,659</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116,629</w:t>
            </w:r>
          </w:p>
        </w:tc>
        <w:tc>
          <w:tcPr>
            <w:tcW w:w="3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7,793,287</w:t>
            </w:r>
          </w:p>
        </w:tc>
        <w:tc>
          <w:tcPr>
            <w:tcW w:w="3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137,994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137,994</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16,977</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154,971</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154,350</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470,129</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49,040</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421,089</w:t>
            </w:r>
          </w:p>
        </w:tc>
        <w:tc>
          <w:tcPr>
            <w:tcW w:w="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9,767</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Government issued or guaranteed</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6,180,940</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Privately issued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debt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127,278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6,318,776</w:t>
            </w:r>
          </w:p>
        </w:tc>
        <w:tc>
          <w:tcPr>
            <w:tcW w:w="3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6,318,760</w:t>
            </w:r>
          </w:p>
        </w:tc>
        <w:tc>
          <w:tcPr>
            <w:tcW w:w="3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100,637</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39,404</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442,079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442,079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Other assets (a)</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16,466</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7,387,491</w:t>
            </w:r>
          </w:p>
        </w:tc>
        <w:tc>
          <w:tcPr>
            <w:tcW w:w="3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149,677</w:t>
            </w:r>
          </w:p>
        </w:tc>
        <w:tc>
          <w:tcPr>
            <w:tcW w:w="3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7,225,833</w:t>
            </w:r>
          </w:p>
        </w:tc>
        <w:tc>
          <w:tcPr>
            <w:tcW w:w="3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79,903</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 (a)</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87,091</w:t>
            </w:r>
          </w:p>
        </w:tc>
        <w:tc>
          <w:tcPr>
            <w:tcW w:w="3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85,866</w:t>
            </w:r>
          </w:p>
        </w:tc>
        <w:tc>
          <w:tcPr>
            <w:tcW w:w="3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20" w:hanging="447"/>
        <w:spacing w:after="0" w:line="277" w:lineRule="auto"/>
        <w:tabs>
          <w:tab w:leader="none" w:pos="5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7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June 30, 2020 and 2019 were as follows:</w:t>
      </w:r>
    </w:p>
    <w:p>
      <w:pPr>
        <w:spacing w:after="0" w:line="231"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Investment</w:t>
      </w:r>
    </w:p>
    <w:p>
      <w:pPr>
        <w:jc w:val="center"/>
        <w:ind w:left="680"/>
        <w:spacing w:after="0" w:line="226" w:lineRule="auto"/>
        <w:rPr>
          <w:sz w:val="20"/>
          <w:szCs w:val="20"/>
          <w:color w:val="auto"/>
        </w:rPr>
      </w:pPr>
      <w:r>
        <w:rPr>
          <w:rFonts w:ascii="Arial" w:cs="Arial" w:eastAsia="Arial" w:hAnsi="Arial"/>
          <w:sz w:val="14"/>
          <w:szCs w:val="14"/>
          <w:b w:val="1"/>
          <w:bCs w:val="1"/>
          <w:color w:val="auto"/>
        </w:rPr>
        <w:t>Securities</w:t>
      </w:r>
    </w:p>
    <w:p>
      <w:pPr>
        <w:jc w:val="center"/>
        <w:ind w:left="680"/>
        <w:spacing w:after="0" w:line="231" w:lineRule="auto"/>
        <w:rPr>
          <w:sz w:val="20"/>
          <w:szCs w:val="20"/>
          <w:color w:val="auto"/>
        </w:rPr>
      </w:pPr>
      <w:r>
        <w:rPr>
          <w:rFonts w:ascii="Arial" w:cs="Arial" w:eastAsia="Arial" w:hAnsi="Arial"/>
          <w:sz w:val="14"/>
          <w:szCs w:val="14"/>
          <w:b w:val="1"/>
          <w:bCs w:val="1"/>
          <w:color w:val="auto"/>
        </w:rPr>
        <w:t>Available for 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tcBorders>
              <w:top w:val="single" w:sz="8" w:color="auto"/>
            </w:tcBorders>
          </w:tcPr>
          <w:p>
            <w:pPr>
              <w:jc w:val="center"/>
              <w:ind w:left="148"/>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2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 Assets and</w:t>
            </w:r>
          </w:p>
        </w:tc>
        <w:tc>
          <w:tcPr>
            <w:tcW w:w="3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7"/>
              </w:rPr>
              <w:t>Mortgage-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1"/>
              </w:rPr>
              <w:t>Backed Securities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Other Liabilities</w:t>
            </w:r>
          </w:p>
        </w:tc>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2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4360" w:type="dxa"/>
            <w:vAlign w:val="bottom"/>
            <w:gridSpan w:val="2"/>
          </w:tcPr>
          <w:p>
            <w:pPr>
              <w:spacing w:after="0"/>
              <w:rPr>
                <w:sz w:val="20"/>
                <w:szCs w:val="20"/>
                <w:color w:val="auto"/>
              </w:rPr>
            </w:pPr>
            <w:r>
              <w:rPr>
                <w:rFonts w:ascii="Arial" w:cs="Arial" w:eastAsia="Arial" w:hAnsi="Arial"/>
                <w:sz w:val="18"/>
                <w:szCs w:val="18"/>
                <w:color w:val="auto"/>
              </w:rPr>
              <w:t>Balance — March 31, 2020</w:t>
            </w:r>
          </w:p>
        </w:tc>
        <w:tc>
          <w:tcPr>
            <w:tcW w:w="21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35,027</w:t>
            </w: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8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48,732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tcPr>
          <w:p>
            <w:pPr>
              <w:ind w:left="1020"/>
              <w:spacing w:after="0"/>
              <w:rPr>
                <w:sz w:val="20"/>
                <w:szCs w:val="20"/>
                <w:color w:val="auto"/>
              </w:rPr>
            </w:pPr>
            <w:r>
              <w:rPr>
                <w:rFonts w:ascii="Arial" w:cs="Arial" w:eastAsia="Arial" w:hAnsi="Arial"/>
                <w:sz w:val="18"/>
                <w:szCs w:val="18"/>
                <w:color w:val="auto"/>
                <w:w w:val="97"/>
              </w:rPr>
              <w:t>(43,653)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2020</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ind w:right="12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2020</w:t>
            </w:r>
          </w:p>
        </w:tc>
        <w:tc>
          <w:tcPr>
            <w:tcW w:w="21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33,725</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2019</w:t>
            </w:r>
          </w:p>
        </w:tc>
        <w:tc>
          <w:tcPr>
            <w:tcW w:w="4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60" w:type="dxa"/>
            <w:vAlign w:val="bottom"/>
            <w:tcBorders>
              <w:bottom w:val="single" w:sz="8" w:color="auto"/>
            </w:tcBorders>
            <w:vMerge w:val="continue"/>
          </w:tcPr>
          <w:p>
            <w:pPr>
              <w:spacing w:after="0"/>
              <w:rPr>
                <w:sz w:val="24"/>
                <w:szCs w:val="24"/>
                <w:color w:val="auto"/>
              </w:rPr>
            </w:pP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 March 31, 2019</w:t>
            </w:r>
          </w:p>
        </w:tc>
        <w:tc>
          <w:tcPr>
            <w:tcW w:w="2180" w:type="dxa"/>
            <w:vAlign w:val="bottom"/>
            <w:gridSpan w:val="2"/>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7,433</w:t>
            </w:r>
          </w:p>
        </w:tc>
        <w:tc>
          <w:tcPr>
            <w:tcW w:w="3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Total gains realized/unrealized:</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earnings</w:t>
            </w:r>
          </w:p>
        </w:tc>
        <w:tc>
          <w:tcPr>
            <w:tcW w:w="8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36,463</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8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w w:val="97"/>
              </w:rPr>
              <w:t>(26,696) (b)</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June 30, 2019</w:t>
            </w:r>
          </w:p>
        </w:tc>
        <w:tc>
          <w:tcPr>
            <w:tcW w:w="820" w:type="dxa"/>
            <w:vAlign w:val="bottom"/>
            <w:tcBorders>
              <w:bottom w:val="single" w:sz="8" w:color="CFF0FC"/>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120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Borders>
              <w:bottom w:val="single" w:sz="8" w:color="CFF0FC"/>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17,200</w:t>
            </w:r>
          </w:p>
        </w:tc>
        <w:tc>
          <w:tcPr>
            <w:tcW w:w="380" w:type="dxa"/>
            <w:vAlign w:val="bottom"/>
            <w:tcBorders>
              <w:bottom w:val="single" w:sz="8" w:color="CFF0FC"/>
            </w:tcBorders>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360" w:type="dxa"/>
            <w:vAlign w:val="bottom"/>
            <w:gridSpan w:val="2"/>
            <w:shd w:val="clear" w:color="auto" w:fill="CFF0FC"/>
          </w:tcPr>
          <w:p>
            <w:pPr>
              <w:spacing w:after="0" w:line="195" w:lineRule="exact"/>
              <w:rPr>
                <w:sz w:val="20"/>
                <w:szCs w:val="20"/>
                <w:color w:val="auto"/>
              </w:rPr>
            </w:pPr>
            <w:r>
              <w:rPr>
                <w:rFonts w:ascii="Arial" w:cs="Arial" w:eastAsia="Arial" w:hAnsi="Arial"/>
                <w:sz w:val="18"/>
                <w:szCs w:val="18"/>
                <w:color w:val="auto"/>
              </w:rPr>
              <w:t>Changes in unrealized gains included in earnings</w:t>
            </w:r>
          </w:p>
        </w:tc>
        <w:tc>
          <w:tcPr>
            <w:tcW w:w="8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related to assets still held at June 30, 2019</w:t>
            </w:r>
          </w:p>
        </w:tc>
        <w:tc>
          <w:tcPr>
            <w:tcW w:w="2180" w:type="dxa"/>
            <w:vAlign w:val="bottom"/>
            <w:gridSpan w:val="2"/>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17,464</w:t>
            </w:r>
          </w:p>
        </w:tc>
        <w:tc>
          <w:tcPr>
            <w:tcW w:w="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0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180" w:type="dxa"/>
            <w:vAlign w:val="bottom"/>
            <w:gridSpan w:val="2"/>
          </w:tcPr>
          <w:p>
            <w:pPr>
              <w:jc w:val="right"/>
              <w:ind w:right="648"/>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June 30, 2020 and 2019 were as follows:</w:t>
      </w:r>
    </w:p>
    <w:p>
      <w:pPr>
        <w:jc w:val="center"/>
        <w:ind w:left="840"/>
        <w:spacing w:after="0" w:line="226" w:lineRule="auto"/>
        <w:rPr>
          <w:sz w:val="20"/>
          <w:szCs w:val="20"/>
          <w:color w:val="auto"/>
        </w:rPr>
      </w:pPr>
      <w:r>
        <w:rPr>
          <w:rFonts w:ascii="Arial" w:cs="Arial" w:eastAsia="Arial" w:hAnsi="Arial"/>
          <w:sz w:val="14"/>
          <w:szCs w:val="14"/>
          <w:b w:val="1"/>
          <w:bCs w:val="1"/>
          <w:color w:val="auto"/>
        </w:rPr>
        <w:t>Investment</w:t>
      </w:r>
    </w:p>
    <w:p>
      <w:pPr>
        <w:jc w:val="center"/>
        <w:ind w:left="840"/>
        <w:spacing w:after="0" w:line="222" w:lineRule="auto"/>
        <w:rPr>
          <w:sz w:val="20"/>
          <w:szCs w:val="20"/>
          <w:color w:val="auto"/>
        </w:rPr>
      </w:pPr>
      <w:r>
        <w:rPr>
          <w:rFonts w:ascii="Arial" w:cs="Arial" w:eastAsia="Arial" w:hAnsi="Arial"/>
          <w:sz w:val="14"/>
          <w:szCs w:val="14"/>
          <w:b w:val="1"/>
          <w:bCs w:val="1"/>
          <w:color w:val="auto"/>
        </w:rPr>
        <w:t>Securities</w:t>
      </w:r>
    </w:p>
    <w:p>
      <w:pPr>
        <w:jc w:val="center"/>
        <w:ind w:left="840"/>
        <w:spacing w:after="0" w:line="231" w:lineRule="auto"/>
        <w:rPr>
          <w:sz w:val="20"/>
          <w:szCs w:val="20"/>
          <w:color w:val="auto"/>
        </w:rPr>
      </w:pPr>
      <w:r>
        <w:rPr>
          <w:rFonts w:ascii="Arial" w:cs="Arial" w:eastAsia="Arial" w:hAnsi="Arial"/>
          <w:sz w:val="14"/>
          <w:szCs w:val="14"/>
          <w:b w:val="1"/>
          <w:bCs w:val="1"/>
          <w:color w:val="auto"/>
        </w:rPr>
        <w:t>Available for Sale</w:t>
      </w:r>
    </w:p>
    <w:tbl>
      <w:tblPr>
        <w:tblLayout w:type="fixed"/>
        <w:tblInd w:w="0" w:type="dxa"/>
        <w:tblCellMar>
          <w:top w:w="0" w:type="dxa"/>
          <w:left w:w="0" w:type="dxa"/>
          <w:bottom w:w="0" w:type="dxa"/>
          <w:right w:w="0" w:type="dxa"/>
        </w:tblCellMar>
      </w:tblPr>
      <w:tr>
        <w:trPr>
          <w:trHeight w:val="133"/>
        </w:trPr>
        <w:tc>
          <w:tcPr>
            <w:tcW w:w="36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1"/>
              </w:rPr>
              <w:t>Privately Issued</w:t>
            </w:r>
          </w:p>
        </w:tc>
        <w:tc>
          <w:tcPr>
            <w:tcW w:w="520" w:type="dxa"/>
            <w:vAlign w:val="bottom"/>
            <w:gridSpan w:val="2"/>
          </w:tcPr>
          <w:p>
            <w:pPr>
              <w:spacing w:after="0"/>
              <w:rPr>
                <w:sz w:val="11"/>
                <w:szCs w:val="11"/>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89"/>
              </w:rPr>
              <w:t>Other Assets and</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7"/>
              </w:rPr>
              <w:t>Mortgage-</w:t>
            </w:r>
          </w:p>
        </w:tc>
        <w:tc>
          <w:tcPr>
            <w:tcW w:w="1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2020</w:t>
            </w:r>
          </w:p>
        </w:tc>
        <w:tc>
          <w:tcPr>
            <w:tcW w:w="4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b w:val="1"/>
                <w:bCs w:val="1"/>
                <w:color w:val="auto"/>
                <w:w w:val="91"/>
              </w:rPr>
              <w:t>Backed Securities</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Other Liabilities</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60"/>
              <w:spacing w:after="0"/>
              <w:rPr>
                <w:sz w:val="20"/>
                <w:szCs w:val="20"/>
                <w:color w:val="auto"/>
              </w:rPr>
            </w:pPr>
            <w:r>
              <w:rPr>
                <w:rFonts w:ascii="Arial" w:cs="Arial" w:eastAsia="Arial" w:hAnsi="Arial"/>
                <w:sz w:val="14"/>
                <w:szCs w:val="14"/>
                <w:b w:val="1"/>
                <w:bCs w:val="1"/>
                <w:color w:val="auto"/>
                <w:w w:val="91"/>
              </w:rPr>
              <w:t>(In thousands)</w:t>
            </w: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10,740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60"/>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92,813</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FF0FC"/>
          </w:tcPr>
          <w:p>
            <w:pPr>
              <w:spacing w:after="0"/>
              <w:rPr>
                <w:sz w:val="19"/>
                <w:szCs w:val="19"/>
                <w:color w:val="auto"/>
              </w:rPr>
            </w:pPr>
          </w:p>
        </w:tc>
        <w:tc>
          <w:tcPr>
            <w:tcW w:w="196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w w:val="97"/>
              </w:rPr>
              <w:t>(63,447)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2020</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38,514</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2019</w:t>
            </w: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360" w:type="dxa"/>
            <w:vAlign w:val="bottom"/>
            <w:tcBorders>
              <w:bottom w:val="single" w:sz="8" w:color="auto"/>
            </w:tcBorders>
            <w:vMerge w:val="continue"/>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240" w:type="dxa"/>
            <w:vAlign w:val="bottom"/>
            <w:gridSpan w:val="2"/>
          </w:tcPr>
          <w:p>
            <w:pPr>
              <w:spacing w:after="0"/>
              <w:rPr>
                <w:sz w:val="20"/>
                <w:szCs w:val="20"/>
                <w:color w:val="auto"/>
              </w:rPr>
            </w:pPr>
            <w:r>
              <w:rPr>
                <w:rFonts w:ascii="Arial" w:cs="Arial" w:eastAsia="Arial" w:hAnsi="Arial"/>
                <w:sz w:val="18"/>
                <w:szCs w:val="18"/>
                <w:color w:val="auto"/>
              </w:rPr>
              <w:t>Balance — January 1,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gains realized/unrealized:</w:t>
            </w: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Included in earnings</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53,009</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Transfers out of Level 3</w:t>
            </w:r>
          </w:p>
        </w:tc>
        <w:tc>
          <w:tcPr>
            <w:tcW w:w="180" w:type="dxa"/>
            <w:vAlign w:val="bottom"/>
          </w:tcPr>
          <w:p>
            <w:pPr>
              <w:spacing w:after="0"/>
              <w:rPr>
                <w:sz w:val="19"/>
                <w:szCs w:val="19"/>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w w:val="97"/>
              </w:rPr>
              <w:t>(43,521) (b)</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2019</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Arial" w:cs="Arial" w:eastAsia="Arial" w:hAnsi="Arial"/>
                <w:sz w:val="18"/>
                <w:szCs w:val="18"/>
                <w:color w:val="auto"/>
              </w:rPr>
              <w:t>related to assets still held at June 30, 2019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17,372</w:t>
            </w:r>
          </w:p>
        </w:tc>
        <w:tc>
          <w:tcPr>
            <w:tcW w:w="380" w:type="dxa"/>
            <w:vAlign w:val="bottom"/>
          </w:tcPr>
          <w:p>
            <w:pPr>
              <w:ind w:left="8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500" w:hanging="492"/>
        <w:spacing w:after="0" w:line="258" w:lineRule="auto"/>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mortgage banking revenues in the consolidated statement of income and includes the fair value of commitment issuances and expirations.</w:t>
      </w:r>
    </w:p>
    <w:p>
      <w:pPr>
        <w:spacing w:after="0" w:line="1" w:lineRule="exact"/>
        <w:rPr>
          <w:rFonts w:ascii="Arial" w:cs="Arial" w:eastAsia="Arial" w:hAnsi="Arial"/>
          <w:sz w:val="18"/>
          <w:szCs w:val="18"/>
          <w:i w:val="1"/>
          <w:iCs w:val="1"/>
          <w:color w:val="auto"/>
        </w:rPr>
      </w:pPr>
    </w:p>
    <w:p>
      <w:pPr>
        <w:ind w:left="500" w:hanging="492"/>
        <w:spacing w:after="0"/>
        <w:tabs>
          <w:tab w:leader="none" w:pos="5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117" w:lineRule="exact"/>
        <w:rPr>
          <w:sz w:val="20"/>
          <w:szCs w:val="20"/>
          <w:color w:val="auto"/>
        </w:rPr>
      </w:pPr>
    </w:p>
    <w:p>
      <w:pPr>
        <w:ind w:right="880" w:firstLine="738"/>
        <w:spacing w:after="0" w:line="317" w:lineRule="auto"/>
        <w:rPr>
          <w:sz w:val="20"/>
          <w:szCs w:val="20"/>
          <w:color w:val="auto"/>
        </w:rPr>
      </w:pPr>
      <w:r>
        <w:rPr>
          <w:rFonts w:ascii="Arial" w:cs="Arial" w:eastAsia="Arial" w:hAnsi="Arial"/>
          <w:sz w:val="19"/>
          <w:szCs w:val="19"/>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range of 15% to 90% with a weighted-average of 56% at June 30, 2020.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which at June 30, 2020 was 49%. As these recovery rates are not readily observable by market participants, such valuation adjustments have been classified as Level 3. Loans subject to nonrecurring fair value measurement were $248 million at June 30, 2020 ($145 million and $103 million of which were classified as Level 2 and Level 3, respectively), $305 million at December 31, 2019 ($115 million and $190 million of which were classified as Level 2 and Level 3, respectively) and $212 million at June 30, 2019 ($155 million and $57 million of which were classified as Level 2 and Level 3, respectively). Changes in fair value recognized for partial charge-offs of loans and loan impairment reserves on loans held by the Company on June 30, 2020 were decreases of $50 million for the three-month and six-month periods ended June 30, 2020. Changes in fair value recognized for partial charge-offs of loans and loan impairment reserves on loans held by the Company on June 30, 2019 were decreases of $20 million and $36 million for the three-month and six-month periods ended June 30, 2019,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$31 million and $17 million at June 30, 2020 and 2019, respectively. Changes in fair value recognized for those foreclosed assets held by the Company were not material during the three-month and six-month periods ended June 30, 2020 and 2019.</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Capitalized servicing rights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of $177 million and $188 million at June 30, 2020 and December 31, 2019, respectively, required a valuation allowance of $27 million and $7 million, respectively. Significant unobservable inputs used in this Level 3 valuation included weighted-average prepayment speeds of 18.03% and 18.50% at June 30, 2020 and December 31, 2019, respectively, and a weighted-average option-adjusted spread of 900 basis points at each date. Changes in fair value recognized for impairment of capitalized servicing rights were $10 million and $20 million during the three months and six months ended June 30, 2020, respetively. Changes in fair value recognized for impairment of capitalized servicing rights were $9 million during the three months and six months ended June 30,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204" w:lineRule="exact"/>
        <w:rPr>
          <w:sz w:val="20"/>
          <w:szCs w:val="20"/>
          <w:color w:val="auto"/>
        </w:rPr>
      </w:pPr>
    </w:p>
    <w:p>
      <w:pPr>
        <w:ind w:right="34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June 30, 2020 and December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Valuation</w:t>
            </w:r>
          </w:p>
        </w:tc>
        <w:tc>
          <w:tcPr>
            <w:tcW w:w="300" w:type="dxa"/>
            <w:vAlign w:val="bottom"/>
          </w:tcPr>
          <w:p>
            <w:pPr>
              <w:spacing w:after="0"/>
              <w:rPr>
                <w:sz w:val="14"/>
                <w:szCs w:val="14"/>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Unobservable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8"/>
              </w:rPr>
              <w:t>Fair Value</w:t>
            </w:r>
          </w:p>
        </w:tc>
        <w:tc>
          <w:tcPr>
            <w:tcW w:w="400" w:type="dxa"/>
            <w:vAlign w:val="bottom"/>
            <w:vMerge w:val="restart"/>
          </w:tcPr>
          <w:p>
            <w:pPr>
              <w:spacing w:after="0"/>
              <w:rPr>
                <w:sz w:val="12"/>
                <w:szCs w:val="12"/>
                <w:color w:val="auto"/>
              </w:rPr>
            </w:pPr>
          </w:p>
        </w:tc>
        <w:tc>
          <w:tcPr>
            <w:tcW w:w="1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(Weighted-</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7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Technique</w:t>
            </w: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Inputs/Assumptions</w:t>
            </w:r>
          </w:p>
        </w:tc>
        <w:tc>
          <w:tcPr>
            <w:tcW w:w="40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 thousands)</w:t>
            </w: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2020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Two independent</w:t>
            </w: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pricing quotes</w:t>
            </w:r>
          </w:p>
        </w:tc>
        <w:tc>
          <w:tcPr>
            <w:tcW w:w="3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40,106</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tcPr>
          <w:p>
            <w:pPr>
              <w:jc w:val="right"/>
              <w:ind w:right="278"/>
              <w:spacing w:after="0"/>
              <w:rPr>
                <w:sz w:val="20"/>
                <w:szCs w:val="20"/>
                <w:color w:val="auto"/>
              </w:rPr>
            </w:pPr>
            <w:r>
              <w:rPr>
                <w:rFonts w:ascii="Arial" w:cs="Arial" w:eastAsia="Arial" w:hAnsi="Arial"/>
                <w:sz w:val="18"/>
                <w:szCs w:val="18"/>
                <w:color w:val="auto"/>
              </w:rPr>
              <w:t>0%-100%(19%)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Recurring fair value measurements</w:t>
            </w: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8"/>
                <w:szCs w:val="18"/>
                <w:color w:val="auto"/>
              </w:rPr>
              <w:t>Privately issued mortgage-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Two independent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ind w:left="140"/>
              <w:spacing w:after="0"/>
              <w:rPr>
                <w:sz w:val="20"/>
                <w:szCs w:val="20"/>
                <w:color w:val="auto"/>
              </w:rPr>
            </w:pPr>
            <w:r>
              <w:rPr>
                <w:rFonts w:ascii="Arial" w:cs="Arial" w:eastAsia="Arial" w:hAnsi="Arial"/>
                <w:sz w:val="18"/>
                <w:szCs w:val="18"/>
                <w:color w:val="auto"/>
              </w:rPr>
              <w:t>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pricing quotes</w:t>
            </w:r>
          </w:p>
        </w:tc>
        <w:tc>
          <w:tcPr>
            <w:tcW w:w="300" w:type="dxa"/>
            <w:vAlign w:val="bottom"/>
          </w:tcPr>
          <w:p>
            <w:pPr>
              <w:spacing w:after="0"/>
              <w:rPr>
                <w:sz w:val="20"/>
                <w:szCs w:val="20"/>
                <w:color w:val="auto"/>
              </w:rPr>
            </w:pPr>
          </w:p>
        </w:tc>
        <w:tc>
          <w:tcPr>
            <w:tcW w:w="1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5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Commitment</w:t>
            </w: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40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rPr>
              <w:t>expirations</w:t>
            </w:r>
          </w:p>
        </w:tc>
        <w:tc>
          <w:tcPr>
            <w:tcW w:w="1900" w:type="dxa"/>
            <w:vAlign w:val="bottom"/>
            <w:shd w:val="clear" w:color="auto" w:fill="CFF0FC"/>
          </w:tcPr>
          <w:p>
            <w:pPr>
              <w:jc w:val="right"/>
              <w:ind w:right="318"/>
              <w:spacing w:after="0"/>
              <w:rPr>
                <w:sz w:val="20"/>
                <w:szCs w:val="20"/>
                <w:color w:val="auto"/>
              </w:rPr>
            </w:pPr>
            <w:r>
              <w:rPr>
                <w:rFonts w:ascii="Arial" w:cs="Arial" w:eastAsia="Arial" w:hAnsi="Arial"/>
                <w:sz w:val="18"/>
                <w:szCs w:val="18"/>
                <w:color w:val="auto"/>
              </w:rPr>
              <w:t>0%-99% (13%)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191" w:lineRule="exact"/>
        <w:rPr>
          <w:sz w:val="20"/>
          <w:szCs w:val="20"/>
          <w:color w:val="auto"/>
        </w:rPr>
      </w:pPr>
    </w:p>
    <w:p>
      <w:pPr>
        <w:jc w:val="both"/>
        <w:ind w:left="40"/>
        <w:spacing w:after="0" w:line="235"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040" w:firstLine="8"/>
        <w:spacing w:after="0" w:line="410" w:lineRule="auto"/>
        <w:tabs>
          <w:tab w:leader="none" w:pos="29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2020</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1"/>
                <w:szCs w:val="1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1,354,815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1,354,815</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1,307,683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47,132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20,888,341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20,888,341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20,888,341</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1,293,534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1,293,534</w:t>
            </w: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48,741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1,244,793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8,454,344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8,561,449</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67,888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8,417,724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29,203,862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28,736,876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28,736,876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37,159,451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35,781,888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255,442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35,526,446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15,611,462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15,812,617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4,010,171</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11,802,446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15,782,773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15,207,433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15,207,433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(1,638,236)</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96,119,312</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95,538,814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4,265,613</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91,273,201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380,859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380,859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380,859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(45,397,843)</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(45,397,843)</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(45,397,843)</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(63,623,406)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(63,623,406)</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(63,623,406)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(5,078,426)</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(5,118,204)</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(5,118,204)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(868,284)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(868,284)</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(868,284)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(52,298)</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(52,298)</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(52,298)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(6,321,291)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(6,366,011)</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(6,366,011)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(104,301)</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(104,301)</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(104,301)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(137,994)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(137,994)</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(137,994)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40,106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(10,563)</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(10,563)</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(10,563)</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(136,840)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(136,840)</w:t>
            </w:r>
          </w:p>
        </w:tc>
        <w:tc>
          <w:tcPr>
            <w:tcW w:w="1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(136,840)</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rate risk management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(249)</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540"/>
              <w:spacing w:after="0" w:line="133"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1</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Level 2</w:t>
            </w: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1,432,805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1,432,805</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1,394,984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37,821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7,190,154</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assets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470,129</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49,040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421,089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9,497,251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9,539,540</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100,637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9,351,793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Loans and leases: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Commercial loans and leases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23,838,168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23,510,908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23,510,908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real estate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35,541,914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35,517,180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35,488,842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500"/>
              <w:spacing w:after="0"/>
              <w:rPr>
                <w:sz w:val="20"/>
                <w:szCs w:val="20"/>
                <w:color w:val="auto"/>
              </w:rPr>
            </w:pPr>
            <w:r>
              <w:rPr>
                <w:rFonts w:ascii="Arial" w:cs="Arial" w:eastAsia="Arial" w:hAnsi="Arial"/>
                <w:sz w:val="18"/>
                <w:szCs w:val="18"/>
                <w:color w:val="auto"/>
              </w:rPr>
              <w:t>Residential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16,156,094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16,227,274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3,990,848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12,236,426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Consumer loans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15,386,693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15,413,262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15,413,262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00"/>
              <w:spacing w:after="0"/>
              <w:rPr>
                <w:sz w:val="20"/>
                <w:szCs w:val="20"/>
                <w:color w:val="auto"/>
              </w:rPr>
            </w:pPr>
            <w:r>
              <w:rPr>
                <w:rFonts w:ascii="Arial" w:cs="Arial" w:eastAsia="Arial" w:hAnsi="Arial"/>
                <w:sz w:val="18"/>
                <w:szCs w:val="18"/>
                <w:color w:val="auto"/>
              </w:rPr>
              <w:t>Allowance for credit losses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(1,051,071)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89,871,798</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90,668,624</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4,019,186</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86,649,438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333,142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333,142</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Noninterest-bearing 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(32,396,407)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(32,396,407)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(32,396,407)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2"/>
              </w:rPr>
              <w:t>(54,932,162)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(54,932,162)</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(54,932,162)</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(5,757,456)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(5,829,347)</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(5,829,347)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(1,684,044)</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(1,684,044)</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(1,684,044)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(62,363)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(62,363)</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(62,363)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(6,986,186)</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(7,063,165)</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(7,063,165)</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(105,374)</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(105,374)</w:t>
            </w: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(105,374)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(79,903)</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(79,903)</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(79,903)</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originate real estate</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loans for sale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(136,470)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(136,470)</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5"/>
        </w:trPr>
        <w:tc>
          <w:tcPr>
            <w:tcW w:w="5060" w:type="dxa"/>
            <w:vAlign w:val="bottom"/>
          </w:tcPr>
          <w:p>
            <w:pPr>
              <w:ind w:left="260"/>
              <w:spacing w:after="0"/>
              <w:rPr>
                <w:sz w:val="20"/>
                <w:szCs w:val="20"/>
                <w:color w:val="auto"/>
              </w:rPr>
            </w:pPr>
            <w:r>
              <w:rPr>
                <w:rFonts w:ascii="Arial" w:cs="Arial" w:eastAsia="Arial" w:hAnsi="Arial"/>
                <w:sz w:val="18"/>
                <w:szCs w:val="18"/>
                <w:color w:val="auto"/>
              </w:rPr>
              <w:t>Interest rate swap agreements used for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interest rate risk management</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72"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60" w:type="dxa"/>
            <w:vAlign w:val="bottom"/>
          </w:tcPr>
          <w:p>
            <w:pPr>
              <w:spacing w:after="0"/>
              <w:rPr>
                <w:sz w:val="14"/>
                <w:szCs w:val="14"/>
                <w:color w:val="auto"/>
              </w:rPr>
            </w:pPr>
          </w:p>
        </w:tc>
        <w:tc>
          <w:tcPr>
            <w:tcW w:w="26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Borders>
              <w:top w:val="single" w:sz="8" w:color="auto"/>
            </w:tcBorders>
            <w:gridSpan w:val="2"/>
          </w:tcPr>
          <w:p>
            <w:pPr>
              <w:jc w:val="right"/>
              <w:ind w:right="61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4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  5,556,034</w:t>
            </w:r>
          </w:p>
        </w:tc>
        <w:tc>
          <w:tcPr>
            <w:tcW w:w="1140" w:type="dxa"/>
            <w:vAlign w:val="bottom"/>
          </w:tcPr>
          <w:p>
            <w:pPr>
              <w:jc w:val="right"/>
              <w:spacing w:after="0"/>
              <w:rPr>
                <w:sz w:val="20"/>
                <w:szCs w:val="20"/>
                <w:color w:val="auto"/>
              </w:rPr>
            </w:pPr>
            <w:r>
              <w:rPr>
                <w:rFonts w:ascii="Arial" w:cs="Arial" w:eastAsia="Arial" w:hAnsi="Arial"/>
                <w:sz w:val="18"/>
                <w:szCs w:val="18"/>
                <w:color w:val="auto"/>
              </w:rPr>
              <w:t>$  5,442,160</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236,832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164,076</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8,640,169</w:t>
            </w:r>
          </w:p>
        </w:tc>
        <w:tc>
          <w:tcPr>
            <w:tcW w:w="1140" w:type="dxa"/>
            <w:vAlign w:val="bottom"/>
          </w:tcPr>
          <w:p>
            <w:pPr>
              <w:jc w:val="right"/>
              <w:spacing w:after="0"/>
              <w:rPr>
                <w:sz w:val="20"/>
                <w:szCs w:val="20"/>
                <w:color w:val="auto"/>
              </w:rPr>
            </w:pPr>
            <w:r>
              <w:rPr>
                <w:rFonts w:ascii="Arial" w:cs="Arial" w:eastAsia="Arial" w:hAnsi="Arial"/>
                <w:sz w:val="18"/>
                <w:szCs w:val="18"/>
                <w:color w:val="auto"/>
              </w:rPr>
              <w:t>9,029,608</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1,030,144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423,056</w:t>
            </w:r>
          </w:p>
        </w:tc>
        <w:tc>
          <w:tcPr>
            <w:tcW w:w="80" w:type="dxa"/>
            <w:vAlign w:val="bottom"/>
            <w:shd w:val="clear" w:color="auto" w:fill="CFF0FC"/>
          </w:tcPr>
          <w:p>
            <w:pPr>
              <w:spacing w:after="0"/>
              <w:rPr>
                <w:sz w:val="19"/>
                <w:szCs w:val="19"/>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713,200</w:t>
            </w:r>
          </w:p>
        </w:tc>
        <w:tc>
          <w:tcPr>
            <w:tcW w:w="1140" w:type="dxa"/>
            <w:vAlign w:val="bottom"/>
          </w:tcPr>
          <w:p>
            <w:pPr>
              <w:jc w:val="right"/>
              <w:spacing w:after="0"/>
              <w:rPr>
                <w:sz w:val="20"/>
                <w:szCs w:val="20"/>
                <w:color w:val="auto"/>
              </w:rPr>
            </w:pPr>
            <w:r>
              <w:rPr>
                <w:rFonts w:ascii="Arial" w:cs="Arial" w:eastAsia="Arial" w:hAnsi="Arial"/>
                <w:sz w:val="18"/>
                <w:szCs w:val="18"/>
                <w:color w:val="auto"/>
              </w:rPr>
              <w:t>448,375</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18,256,994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16,170,731</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2,394,261</w:t>
            </w:r>
          </w:p>
        </w:tc>
        <w:tc>
          <w:tcPr>
            <w:tcW w:w="1140" w:type="dxa"/>
            <w:vAlign w:val="bottom"/>
          </w:tcPr>
          <w:p>
            <w:pPr>
              <w:jc w:val="right"/>
              <w:spacing w:after="0"/>
              <w:rPr>
                <w:sz w:val="20"/>
                <w:szCs w:val="20"/>
                <w:color w:val="auto"/>
              </w:rPr>
            </w:pPr>
            <w:r>
              <w:rPr>
                <w:rFonts w:ascii="Arial" w:cs="Arial" w:eastAsia="Arial" w:hAnsi="Arial"/>
                <w:sz w:val="18"/>
                <w:szCs w:val="18"/>
                <w:color w:val="auto"/>
              </w:rPr>
              <w:t>2,441,432</w:t>
            </w:r>
          </w:p>
        </w:tc>
        <w:tc>
          <w:tcPr>
            <w:tcW w:w="8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37,859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41,059</w:t>
            </w:r>
          </w:p>
        </w:tc>
        <w:tc>
          <w:tcPr>
            <w:tcW w:w="8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600" w:type="dxa"/>
            <w:vAlign w:val="bottom"/>
            <w:gridSpan w:val="2"/>
          </w:tcPr>
          <w:p>
            <w:pPr>
              <w:jc w:val="right"/>
              <w:ind w:right="88"/>
              <w:spacing w:after="0"/>
              <w:rPr>
                <w:sz w:val="20"/>
                <w:szCs w:val="20"/>
                <w:color w:val="auto"/>
              </w:rPr>
            </w:pPr>
            <w:r>
              <w:rPr>
                <w:rFonts w:ascii="Arial" w:cs="Arial" w:eastAsia="Arial" w:hAnsi="Arial"/>
                <w:sz w:val="18"/>
                <w:szCs w:val="18"/>
                <w:color w:val="auto"/>
              </w:rPr>
              <w:t>4,306,209</w:t>
            </w:r>
          </w:p>
        </w:tc>
        <w:tc>
          <w:tcPr>
            <w:tcW w:w="1140" w:type="dxa"/>
            <w:vAlign w:val="bottom"/>
          </w:tcPr>
          <w:p>
            <w:pPr>
              <w:jc w:val="right"/>
              <w:spacing w:after="0"/>
              <w:rPr>
                <w:sz w:val="20"/>
                <w:szCs w:val="20"/>
                <w:color w:val="auto"/>
              </w:rPr>
            </w:pPr>
            <w:r>
              <w:rPr>
                <w:rFonts w:ascii="Arial" w:cs="Arial" w:eastAsia="Arial" w:hAnsi="Arial"/>
                <w:sz w:val="18"/>
                <w:szCs w:val="18"/>
                <w:color w:val="auto"/>
              </w:rPr>
              <w:t>4,108,572</w:t>
            </w:r>
          </w:p>
        </w:tc>
        <w:tc>
          <w:tcPr>
            <w:tcW w:w="8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6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1,478,551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906,037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$10.0 billion and $9.1 billion at June 30, 2020 and December 31, 2019,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6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$3.9 billion at each of June 30, 2020 and December 31, 2019.</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63"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76"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Commitments and contingencies, continued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amount of those charges is based on the volume of loans sold, the level of reimbursement requests received from loan purchasers and estimates of losses that may be associated with previously sold loans. At June 30, 2020, the Company believes that its obligation to loan purchasers was not material to the Company’s consolidated financial position.</w:t>
      </w:r>
    </w:p>
    <w:p>
      <w:pPr>
        <w:spacing w:after="0" w:line="58"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8"/>
          <w:szCs w:val="18"/>
          <w:color w:val="auto"/>
        </w:rPr>
        <w:t>Wilmington Trust, N.A., a wholly owned subsidiary of M&amp;T, provides retirement services, including serving in certain trustee roles relating to Employee 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commenced three lawsuits against Wilmington Trust, N.A. relating to its role as trustee of three ESOP transactions. In July 2019, Wilmington Trust, N.A. reached a settlement in principle with the DOL to resolve certain pending DOL ESOP matters. On April 28, 2020, Wilmington Trust N.A. and the DOL executed a formal settlement agreement. The total amount of the settlement was $88 million, which included $80 million in payments to 21 ESOPs. The settlement amount was within the Company’s reserve for litigation matters and substantially all was paid in the second quarter of 2020. Wilmington Trust, N.A. has also been named as a defendant in five private party lawsuits relating to its role as trustee for five ESOP transactions. Three of the five private party lawsuits relating to ESOP transactions have been resolved through settlements, two of which have been preliminarily approved by Courts, and are in the process of administration. The third settled ESOP private action was settled on an individual basis and, therefore, does not require Court approval. None of those three settlements are material.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50"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the recorded liability, the amount of such excess is not currently estimable. Although not considered probable, the range of reasonably possible losses for such matters in the aggregate, beyond the existing recorded liability, was estimated to be between $0 and $25 million as of June 30, 2020.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80"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The financial information of the Company's segments was compiled utilizing the accounting policies described in note 22 of Notes to Financial Statements in the 2019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 continued</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Furthermore, changes in management structure or allocation methodologies and procedures may result in changes in reported segment financial data.</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Inter-</w:t>
            </w:r>
          </w:p>
        </w:tc>
        <w:tc>
          <w:tcPr>
            <w:tcW w:w="1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Inter-</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segment</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Revenues(a)</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Revenues(a)</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3820" w:type="dxa"/>
            <w:vAlign w:val="bottom"/>
          </w:tcPr>
          <w:p>
            <w:pPr>
              <w:spacing w:after="0"/>
              <w:rPr>
                <w:sz w:val="20"/>
                <w:szCs w:val="20"/>
                <w:color w:val="auto"/>
              </w:rPr>
            </w:pPr>
            <w:r>
              <w:rPr>
                <w:rFonts w:ascii="Arial" w:cs="Arial" w:eastAsia="Arial" w:hAnsi="Arial"/>
                <w:sz w:val="18"/>
                <w:szCs w:val="18"/>
                <w:color w:val="auto"/>
              </w:rPr>
              <w:t>Business Banking</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138,086</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37,563</w:t>
            </w:r>
          </w:p>
        </w:tc>
        <w:tc>
          <w:tcPr>
            <w:tcW w:w="1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140,767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1,004</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287,525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111,030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278,110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227,113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107,083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225,442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138,827</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(9,861)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60,976</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(9,291)</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142,045</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21,016</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96,449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17,150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353,521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86,498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436,593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All Other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157,293</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(11,875)</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(234,211)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315,239</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(12,943)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6"/>
              </w:rPr>
              <w:t>$ 1,444,410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$ 1,553,576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473,260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2"/>
              </w:rPr>
              <w:t>Six Months Ended June 30</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89"/>
              </w:rPr>
              <w:t>Total</w:t>
            </w:r>
          </w:p>
        </w:tc>
        <w:tc>
          <w:tcPr>
            <w:tcW w:w="80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rPr>
              <w:t>Inter-</w:t>
            </w:r>
          </w:p>
        </w:tc>
        <w:tc>
          <w:tcPr>
            <w:tcW w:w="1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9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7"/>
              </w:rPr>
              <w:t>Inter-</w:t>
            </w: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segment</w:t>
            </w: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Revenues(a)</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Revenues(a)</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3820" w:type="dxa"/>
            <w:vAlign w:val="bottom"/>
          </w:tcPr>
          <w:p>
            <w:pPr>
              <w:spacing w:after="0"/>
              <w:rPr>
                <w:sz w:val="20"/>
                <w:szCs w:val="20"/>
                <w:color w:val="auto"/>
              </w:rPr>
            </w:pPr>
            <w:r>
              <w:rPr>
                <w:rFonts w:ascii="Arial" w:cs="Arial" w:eastAsia="Arial" w:hAnsi="Arial"/>
                <w:sz w:val="18"/>
                <w:szCs w:val="18"/>
                <w:color w:val="auto"/>
              </w:rPr>
              <w:t>Business Banking</w:t>
            </w:r>
          </w:p>
        </w:tc>
        <w:tc>
          <w:tcPr>
            <w:tcW w:w="1840" w:type="dxa"/>
            <w:vAlign w:val="bottom"/>
            <w:gridSpan w:val="3"/>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275,919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70,489</w:t>
            </w:r>
          </w:p>
        </w:tc>
        <w:tc>
          <w:tcPr>
            <w:tcW w:w="1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280,089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579,301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254,762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545,600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450,418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224,491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444,615</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188,046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(22,898)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121,359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124,893</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(18,590)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267,606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42,433</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180,210</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31,664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756,204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196,744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867,484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All Other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433,081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(22,869)</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(419,985)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661,510</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(22,719)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6"/>
              </w:rPr>
              <w:t>$ 2,950,575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509,876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$ 3,104,401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956,002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20" w:type="dxa"/>
            <w:vAlign w:val="bottom"/>
          </w:tcPr>
          <w:p>
            <w:pPr>
              <w:spacing w:after="0"/>
              <w:rPr>
                <w:sz w:val="24"/>
                <w:szCs w:val="24"/>
                <w:color w:val="auto"/>
              </w:rPr>
            </w:pPr>
          </w:p>
        </w:tc>
        <w:tc>
          <w:tcPr>
            <w:tcW w:w="2520" w:type="dxa"/>
            <w:vAlign w:val="bottom"/>
            <w:gridSpan w:val="4"/>
          </w:tcPr>
          <w:p>
            <w:pPr>
              <w:jc w:val="right"/>
              <w:ind w:right="43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 continued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Average Total Assets</w:t>
            </w:r>
          </w:p>
        </w:tc>
        <w:tc>
          <w:tcPr>
            <w:tcW w:w="0" w:type="dxa"/>
            <w:vAlign w:val="bottom"/>
          </w:tcPr>
          <w:p>
            <w:pPr>
              <w:spacing w:after="0"/>
              <w:rPr>
                <w:sz w:val="1"/>
                <w:szCs w:val="1"/>
                <w:color w:val="auto"/>
              </w:rPr>
            </w:pPr>
          </w:p>
        </w:tc>
      </w:tr>
      <w:tr>
        <w:trPr>
          <w:trHeight w:val="133"/>
        </w:trPr>
        <w:tc>
          <w:tcPr>
            <w:tcW w:w="6060" w:type="dxa"/>
            <w:vAlign w:val="bottom"/>
          </w:tcPr>
          <w:p>
            <w:pPr>
              <w:spacing w:after="0"/>
              <w:rPr>
                <w:sz w:val="11"/>
                <w:szCs w:val="11"/>
                <w:color w:val="auto"/>
              </w:rPr>
            </w:pPr>
          </w:p>
        </w:tc>
        <w:tc>
          <w:tcPr>
            <w:tcW w:w="1960" w:type="dxa"/>
            <w:vAlign w:val="bottom"/>
            <w:tcBorders>
              <w:top w:val="single" w:sz="8" w:color="auto"/>
            </w:tcBorders>
            <w:gridSpan w:val="5"/>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8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8"/>
                <w:szCs w:val="18"/>
                <w:color w:val="auto"/>
              </w:rPr>
              <w:t>Business Banking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7,235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5,724</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30,603</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27,981</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25,340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23,720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26,821</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29,888</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3,113</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2,173</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19,362</w:t>
            </w:r>
          </w:p>
        </w:tc>
        <w:tc>
          <w:tcPr>
            <w:tcW w:w="1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13,601</w:t>
            </w:r>
          </w:p>
        </w:tc>
        <w:tc>
          <w:tcPr>
            <w:tcW w:w="2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128,513</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117,667</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119,584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00" w:hanging="492"/>
        <w:spacing w:after="0" w:line="288" w:lineRule="auto"/>
        <w:tabs>
          <w:tab w:leader="none" w:pos="50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$4,234,000 and $5,925,000 for the three-month periods ended June 30, 2020 and 2019, respectively, and $9,297,000 and $11,892,000 for the six-month periods ended June 30, 2020 and 2019, respectively, and is eliminated in "All Other" total revenues. Intersegment revenues are included in total revenues of the reportable segments. The elimination of intersegment revenues is included in the determination of "All Other" total revenues</w:t>
      </w:r>
      <w:r>
        <w:rPr>
          <w:rFonts w:ascii="Arial" w:cs="Arial" w:eastAsia="Arial" w:hAnsi="Arial"/>
          <w:sz w:val="13"/>
          <w:szCs w:val="13"/>
          <w:i w:val="1"/>
          <w:iCs w:val="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Relationship with Bayview Lending Group LLC and Bayview Financial Holdings, L.P.</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M&amp;T holds a minority interest in Bayview Lending Group LLC ("BLG"), a privately-held commercial mortgage company. That investment had no remaining carrying value at June 30, 2020 as a result of cumulative losses recognized and cash distributions received in prior years. Income recognized by M&amp;T is included in other revenues from operations and totaled $23 million and $37 million for the three-month periods ended March 31, 2020 and 2019, respectively. There was no similar income recognized during the three-month periods ended June 30, 2020 and 2019.</w:t>
      </w:r>
    </w:p>
    <w:p>
      <w:pPr>
        <w:spacing w:after="0" w:line="80"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$2.1 billion and $2.2 billion at June 30, 2020 and December 31, 2019, respectively. Revenues from those servicing rights were $2 million and $3 million for the three-month periods ended June 30, 2020 and 2019, respectively, and $5 million and $6 million for the six-month periods ended June 30, 2020 and 2019, respectively. The Company sub-services residential mortgage loans for Bayview Financial having outstanding principal balances of $64.7 billion and $62.8 billion at June 30, 2020 and December 31, 2019, respectively. Revenues earned for sub-servicing loans for Bayview Financial were $34 million and $29 million for the three-month periods ended June 30, 2020 and 2019, respectively and $71 million and $57 million for the six-month periods ended June 30, 2020 and 2019, respectively. In addition, the Company held $86 million and $93 million of mortgage-backed securities in its held-to-maturity portfolio at June 30, 2020 and December 31, 2019, respectively, that were securitized by Bayview Financial. At June 30, 2020, the Company held $168 million of Bayview Financial’s $1.0 billion syndicated loan facility. Also, in the second quarter the Company extended two $100 million secured loan facilities to certain funds managed by Bayview Financial which had an outstanding balance of $199 million at June 30,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2020 as well as standards that are not effective that could have an impact to M&amp;T’s consolidated financial statements upon adoption.</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640" w:type="dxa"/>
            <w:vAlign w:val="bottom"/>
            <w:tcBorders>
              <w:top w:val="single" w:sz="8" w:color="auto"/>
              <w:left w:val="single" w:sz="8" w:color="auto"/>
              <w:right w:val="single" w:sz="8" w:color="auto"/>
            </w:tcBorders>
          </w:tcPr>
          <w:p>
            <w:pPr>
              <w:spacing w:after="0"/>
              <w:rPr>
                <w:sz w:val="11"/>
                <w:szCs w:val="11"/>
                <w:color w:val="auto"/>
              </w:rPr>
            </w:pPr>
          </w:p>
        </w:tc>
        <w:tc>
          <w:tcPr>
            <w:tcW w:w="3840" w:type="dxa"/>
            <w:vAlign w:val="bottom"/>
            <w:tcBorders>
              <w:top w:val="single" w:sz="8" w:color="auto"/>
              <w:right w:val="single" w:sz="8" w:color="auto"/>
            </w:tcBorders>
          </w:tcPr>
          <w:p>
            <w:pPr>
              <w:spacing w:after="0"/>
              <w:rPr>
                <w:sz w:val="11"/>
                <w:szCs w:val="11"/>
                <w:color w:val="auto"/>
              </w:rPr>
            </w:pPr>
          </w:p>
        </w:tc>
        <w:tc>
          <w:tcPr>
            <w:tcW w:w="14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Required date</w:t>
            </w:r>
          </w:p>
        </w:tc>
        <w:tc>
          <w:tcPr>
            <w:tcW w:w="4280" w:type="dxa"/>
            <w:vAlign w:val="bottom"/>
            <w:tcBorders>
              <w:top w:val="single" w:sz="8" w:color="auto"/>
              <w:right w:val="single" w:sz="8" w:color="auto"/>
            </w:tcBorders>
          </w:tcPr>
          <w:p>
            <w:pPr>
              <w:spacing w:after="0"/>
              <w:rPr>
                <w:sz w:val="11"/>
                <w:szCs w:val="11"/>
                <w:color w:val="auto"/>
              </w:rPr>
            </w:pPr>
          </w:p>
        </w:tc>
      </w:tr>
      <w:tr>
        <w:trPr>
          <w:trHeight w:val="153"/>
        </w:trPr>
        <w:tc>
          <w:tcPr>
            <w:tcW w:w="164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3"/>
                <w:szCs w:val="13"/>
                <w:b w:val="1"/>
                <w:bCs w:val="1"/>
                <w:color w:val="auto"/>
              </w:rPr>
              <w:t>Standard</w:t>
            </w:r>
          </w:p>
        </w:tc>
        <w:tc>
          <w:tcPr>
            <w:tcW w:w="3840" w:type="dxa"/>
            <w:vAlign w:val="bottom"/>
            <w:tcBorders>
              <w:bottom w:val="single" w:sz="8" w:color="auto"/>
              <w:right w:val="single" w:sz="8" w:color="auto"/>
            </w:tcBorders>
          </w:tcPr>
          <w:p>
            <w:pPr>
              <w:ind w:left="1580"/>
              <w:spacing w:after="0"/>
              <w:rPr>
                <w:sz w:val="20"/>
                <w:szCs w:val="20"/>
                <w:color w:val="auto"/>
              </w:rPr>
            </w:pPr>
            <w:r>
              <w:rPr>
                <w:rFonts w:ascii="Arial" w:cs="Arial" w:eastAsia="Arial" w:hAnsi="Arial"/>
                <w:sz w:val="13"/>
                <w:szCs w:val="13"/>
                <w:b w:val="1"/>
                <w:bCs w:val="1"/>
                <w:color w:val="auto"/>
              </w:rPr>
              <w:t>Description</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of adoption</w:t>
            </w:r>
          </w:p>
        </w:tc>
        <w:tc>
          <w:tcPr>
            <w:tcW w:w="428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3"/>
                <w:szCs w:val="13"/>
                <w:b w:val="1"/>
                <w:bCs w:val="1"/>
                <w:color w:val="auto"/>
              </w:rPr>
              <w:t>Effect on consolidated financial statements</w:t>
            </w:r>
          </w:p>
        </w:tc>
      </w:tr>
      <w:tr>
        <w:trPr>
          <w:trHeight w:val="263"/>
        </w:trPr>
        <w:tc>
          <w:tcPr>
            <w:tcW w:w="164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w w:val="87"/>
              </w:rPr>
              <w:t>Standards Adopted in 2020</w:t>
            </w:r>
          </w:p>
        </w:tc>
        <w:tc>
          <w:tcPr>
            <w:tcW w:w="38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4280" w:type="dxa"/>
            <w:vAlign w:val="bottom"/>
            <w:tcBorders>
              <w:bottom w:val="single" w:sz="8" w:color="auto"/>
              <w:right w:val="single" w:sz="8" w:color="auto"/>
            </w:tcBorders>
          </w:tcPr>
          <w:p>
            <w:pPr>
              <w:spacing w:after="0"/>
              <w:rPr>
                <w:sz w:val="22"/>
                <w:szCs w:val="22"/>
                <w:color w:val="auto"/>
              </w:rPr>
            </w:pPr>
          </w:p>
        </w:tc>
      </w:tr>
      <w:tr>
        <w:trPr>
          <w:trHeight w:val="249"/>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rPr>
              <w:t>Measurement of Credit</w:t>
            </w:r>
          </w:p>
        </w:tc>
        <w:tc>
          <w:tcPr>
            <w:tcW w:w="38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The amended guidance replaces the incurred loss model for</w:t>
            </w:r>
          </w:p>
        </w:tc>
        <w:tc>
          <w:tcPr>
            <w:tcW w:w="148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85"/>
              </w:rPr>
              <w:t>January 1, 2020</w:t>
            </w:r>
          </w:p>
        </w:tc>
        <w:tc>
          <w:tcPr>
            <w:tcW w:w="428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w w:val="97"/>
              </w:rPr>
              <w:t>The Company adopted the guidance on January 1, 2020. The Company’s</w:t>
            </w:r>
          </w:p>
        </w:tc>
      </w:tr>
      <w:tr>
        <w:trPr>
          <w:trHeight w:val="135"/>
        </w:trPr>
        <w:tc>
          <w:tcPr>
            <w:tcW w:w="1640" w:type="dxa"/>
            <w:vAlign w:val="bottom"/>
            <w:tcBorders>
              <w:left w:val="single" w:sz="8" w:color="auto"/>
              <w:right w:val="single" w:sz="8" w:color="auto"/>
            </w:tcBorders>
            <w:shd w:val="clear" w:color="auto" w:fill="CFF0FC"/>
          </w:tcPr>
          <w:p>
            <w:pPr>
              <w:ind w:left="140"/>
              <w:spacing w:after="0" w:line="135" w:lineRule="exact"/>
              <w:rPr>
                <w:sz w:val="20"/>
                <w:szCs w:val="20"/>
                <w:color w:val="auto"/>
              </w:rPr>
            </w:pPr>
            <w:r>
              <w:rPr>
                <w:rFonts w:ascii="Arial" w:cs="Arial" w:eastAsia="Arial" w:hAnsi="Arial"/>
                <w:sz w:val="13"/>
                <w:szCs w:val="13"/>
                <w:color w:val="auto"/>
              </w:rPr>
              <w:t>Losses on Financial</w:t>
            </w: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6"/>
              </w:rPr>
              <w:t>determining the allowance for credit losses. The guidance requires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approach for estimating current expected credit losses for loans includes</w:t>
            </w:r>
          </w:p>
        </w:tc>
      </w:tr>
      <w:tr>
        <w:trPr>
          <w:trHeight w:val="135"/>
        </w:trPr>
        <w:tc>
          <w:tcPr>
            <w:tcW w:w="1640" w:type="dxa"/>
            <w:vAlign w:val="bottom"/>
            <w:tcBorders>
              <w:left w:val="single" w:sz="8" w:color="auto"/>
              <w:right w:val="single" w:sz="8" w:color="auto"/>
            </w:tcBorders>
            <w:shd w:val="clear" w:color="auto" w:fill="CFF0FC"/>
          </w:tcPr>
          <w:p>
            <w:pPr>
              <w:ind w:left="140"/>
              <w:spacing w:after="0" w:line="135" w:lineRule="exact"/>
              <w:rPr>
                <w:sz w:val="20"/>
                <w:szCs w:val="20"/>
                <w:color w:val="auto"/>
              </w:rPr>
            </w:pPr>
            <w:r>
              <w:rPr>
                <w:rFonts w:ascii="Arial" w:cs="Arial" w:eastAsia="Arial" w:hAnsi="Arial"/>
                <w:sz w:val="13"/>
                <w:szCs w:val="13"/>
                <w:color w:val="auto"/>
              </w:rPr>
              <w:t>Instruments</w:t>
            </w: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financial assets measured at amortized cost to be presented at the net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utilizing macro-economic assumptions to project losses over a two-year</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3"/>
              </w:rPr>
              <w:t>amount expected to be collected. The allowance for credit losses will</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reasonable and supportable forecast period. Subsequent to the forecast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represent a valuation account that is deducted from the amortized cost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period, the Company reverts to longer term historical loss experience to</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4"/>
              </w:rPr>
              <w:t>basis of the financial assets to present their net carrying value at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estimate expected credit losses over the remaining contractual life.</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amount expected to be collected. The income statement will reflect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measurement of credit losses for newly recognized financial assets as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Based on portfolio composition, then current economic conditions, and</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well as expected increases or decreases of expected credit losses that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reasonable and supportable forecasts of future conditions, the Company</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2"/>
              </w:rPr>
              <w:t>have taken place during the period. When determining the allowance,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recognized an increase to the allowance for credit losses of $132 million</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expected credit losses over the contractual term of the financial</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6"/>
              </w:rPr>
              <w:t>upon adoption of the standard as of January 1, 2020 as compared with the</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asset(s) (taking into account prepayments) will be estimated</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6"/>
              </w:rPr>
              <w:t>allowance for credit losses recognized on its consolidated balance sheet at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considering relevant information about past events, current conditions,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December 31, 2019. The $132 million increase was recognized as a</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3"/>
              </w:rPr>
              <w:t>and reasonable and supportable forecasts that affect the collectibility</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cumulative-effect adjustment to retained earnings as of January 1, 2020.</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of the reported amount. The amended guidance also requires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recording an allowance for credit losses for purchased financial assets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The effect on the allowance for credit losses was primarily attributable to</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8"/>
              </w:rPr>
              <w:t>with a more-than-insignificant amount of credit deterioration since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8"/>
              </w:rPr>
              <w:t>increases in reserves for residential mortgage loans and consumer loans,</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3"/>
              </w:rPr>
              <w:t>origination. The initial allowance for these assets will be added to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7"/>
              </w:rPr>
              <w:t>which generally have longer estimated lives as compared with commercial</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purchase price at acquisition rather than being reported as an</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3"/>
              </w:rPr>
              <w:t>and commercial real estate loans. The adoption did not have a material effect</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1"/>
              </w:rPr>
              <w:t>expense. Subsequent changes in the allowance will be recorded in the</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on the allowance for credit losses for debt securities.</w:t>
            </w: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9"/>
              </w:rPr>
              <w:t>income statement as an adjustment the to the provision for credit</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rPr>
              <w:t>losses. In addition, the amended guidance requires credit losses</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35"/>
        </w:trPr>
        <w:tc>
          <w:tcPr>
            <w:tcW w:w="1640" w:type="dxa"/>
            <w:vAlign w:val="bottom"/>
            <w:tcBorders>
              <w:left w:val="single" w:sz="8" w:color="auto"/>
              <w:right w:val="single" w:sz="8" w:color="auto"/>
            </w:tcBorders>
            <w:shd w:val="clear" w:color="auto" w:fill="CFF0FC"/>
          </w:tcPr>
          <w:p>
            <w:pPr>
              <w:spacing w:after="0"/>
              <w:rPr>
                <w:sz w:val="11"/>
                <w:szCs w:val="11"/>
                <w:color w:val="auto"/>
              </w:rPr>
            </w:pPr>
          </w:p>
        </w:tc>
        <w:tc>
          <w:tcPr>
            <w:tcW w:w="3840" w:type="dxa"/>
            <w:vAlign w:val="bottom"/>
            <w:tcBorders>
              <w:right w:val="single" w:sz="8" w:color="auto"/>
            </w:tcBorders>
            <w:shd w:val="clear" w:color="auto" w:fill="CFF0FC"/>
          </w:tcPr>
          <w:p>
            <w:pPr>
              <w:ind w:left="100"/>
              <w:spacing w:after="0" w:line="135" w:lineRule="exact"/>
              <w:rPr>
                <w:sz w:val="20"/>
                <w:szCs w:val="20"/>
                <w:color w:val="auto"/>
              </w:rPr>
            </w:pPr>
            <w:r>
              <w:rPr>
                <w:rFonts w:ascii="Arial" w:cs="Arial" w:eastAsia="Arial" w:hAnsi="Arial"/>
                <w:sz w:val="13"/>
                <w:szCs w:val="13"/>
                <w:color w:val="auto"/>
                <w:w w:val="97"/>
              </w:rPr>
              <w:t>relating to debt securities to be recorded through an allowance for</w:t>
            </w:r>
          </w:p>
        </w:tc>
        <w:tc>
          <w:tcPr>
            <w:tcW w:w="1480" w:type="dxa"/>
            <w:vAlign w:val="bottom"/>
            <w:tcBorders>
              <w:right w:val="single" w:sz="8" w:color="auto"/>
            </w:tcBorders>
            <w:shd w:val="clear" w:color="auto" w:fill="CFF0FC"/>
          </w:tcPr>
          <w:p>
            <w:pPr>
              <w:spacing w:after="0"/>
              <w:rPr>
                <w:sz w:val="11"/>
                <w:szCs w:val="11"/>
                <w:color w:val="auto"/>
              </w:rPr>
            </w:pPr>
          </w:p>
        </w:tc>
        <w:tc>
          <w:tcPr>
            <w:tcW w:w="4280" w:type="dxa"/>
            <w:vAlign w:val="bottom"/>
            <w:tcBorders>
              <w:right w:val="single" w:sz="8" w:color="auto"/>
            </w:tcBorders>
            <w:shd w:val="clear" w:color="auto" w:fill="CFF0FC"/>
          </w:tcPr>
          <w:p>
            <w:pPr>
              <w:spacing w:after="0"/>
              <w:rPr>
                <w:sz w:val="11"/>
                <w:szCs w:val="11"/>
                <w:color w:val="auto"/>
              </w:rPr>
            </w:pPr>
          </w:p>
        </w:tc>
      </w:tr>
      <w:tr>
        <w:trPr>
          <w:trHeight w:val="149"/>
        </w:trPr>
        <w:tc>
          <w:tcPr>
            <w:tcW w:w="164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38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credit losses.</w:t>
            </w:r>
          </w:p>
        </w:tc>
        <w:tc>
          <w:tcPr>
            <w:tcW w:w="1480" w:type="dxa"/>
            <w:vAlign w:val="bottom"/>
            <w:tcBorders>
              <w:bottom w:val="single" w:sz="8" w:color="auto"/>
              <w:right w:val="single" w:sz="8" w:color="auto"/>
            </w:tcBorders>
            <w:shd w:val="clear" w:color="auto" w:fill="CFF0FC"/>
          </w:tcPr>
          <w:p>
            <w:pPr>
              <w:spacing w:after="0"/>
              <w:rPr>
                <w:sz w:val="12"/>
                <w:szCs w:val="12"/>
                <w:color w:val="auto"/>
              </w:rPr>
            </w:pPr>
          </w:p>
        </w:tc>
        <w:tc>
          <w:tcPr>
            <w:tcW w:w="4280" w:type="dxa"/>
            <w:vAlign w:val="bottom"/>
            <w:tcBorders>
              <w:bottom w:val="single" w:sz="8" w:color="auto"/>
              <w:right w:val="single" w:sz="8" w:color="auto"/>
            </w:tcBorders>
            <w:shd w:val="clear" w:color="auto" w:fill="CFF0FC"/>
          </w:tcPr>
          <w:p>
            <w:pPr>
              <w:spacing w:after="0"/>
              <w:rPr>
                <w:sz w:val="12"/>
                <w:szCs w:val="12"/>
                <w:color w:val="auto"/>
              </w:rPr>
            </w:pPr>
          </w:p>
        </w:tc>
      </w:tr>
      <w:tr>
        <w:trPr>
          <w:trHeight w:val="249"/>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3"/>
                <w:szCs w:val="13"/>
                <w:color w:val="auto"/>
              </w:rPr>
              <w:t>Simplifying the Test for</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The amended guidance eliminates step 2 from the goodwill</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5"/>
              </w:rPr>
              <w:t>January 1, 2020</w:t>
            </w:r>
          </w:p>
        </w:tc>
        <w:tc>
          <w:tcPr>
            <w:tcW w:w="42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w w:val="91"/>
              </w:rPr>
              <w:t>The Company adopted the amended guidance effective January 1, 2020 using</w:t>
            </w:r>
          </w:p>
        </w:tc>
      </w:tr>
      <w:tr>
        <w:trPr>
          <w:trHeight w:val="135"/>
        </w:trPr>
        <w:tc>
          <w:tcPr>
            <w:tcW w:w="1640" w:type="dxa"/>
            <w:vAlign w:val="bottom"/>
            <w:tcBorders>
              <w:left w:val="single" w:sz="8" w:color="auto"/>
              <w:right w:val="single" w:sz="8" w:color="auto"/>
            </w:tcBorders>
          </w:tcPr>
          <w:p>
            <w:pPr>
              <w:ind w:left="140"/>
              <w:spacing w:after="0" w:line="135" w:lineRule="exact"/>
              <w:rPr>
                <w:sz w:val="20"/>
                <w:szCs w:val="20"/>
                <w:color w:val="auto"/>
              </w:rPr>
            </w:pPr>
            <w:r>
              <w:rPr>
                <w:rFonts w:ascii="Arial" w:cs="Arial" w:eastAsia="Arial" w:hAnsi="Arial"/>
                <w:sz w:val="13"/>
                <w:szCs w:val="13"/>
                <w:color w:val="auto"/>
              </w:rPr>
              <w:t>Goodwill Impairment</w:t>
            </w:r>
          </w:p>
        </w:tc>
        <w:tc>
          <w:tcPr>
            <w:tcW w:w="38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impairment test.</w:t>
            </w: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a prospective transition method and will incorporate the guidance as</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9"/>
              </w:rPr>
              <w:t>necessary when circumstances arise for the guidance to be utilized. The</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8"/>
              </w:rPr>
              <w:t>Company does not expect the guidance will have a material impact on its</w:t>
            </w: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38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428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w w:val="92"/>
              </w:rPr>
              <w:t>consolidated financial statements, unless at some point in the future one of its</w:t>
            </w:r>
          </w:p>
        </w:tc>
      </w:tr>
      <w:tr>
        <w:trPr>
          <w:trHeight w:val="149"/>
        </w:trPr>
        <w:tc>
          <w:tcPr>
            <w:tcW w:w="1640" w:type="dxa"/>
            <w:vAlign w:val="bottom"/>
            <w:tcBorders>
              <w:left w:val="single" w:sz="8" w:color="auto"/>
              <w:bottom w:val="single" w:sz="8" w:color="auto"/>
              <w:right w:val="single" w:sz="8" w:color="auto"/>
            </w:tcBorders>
          </w:tcPr>
          <w:p>
            <w:pPr>
              <w:spacing w:after="0"/>
              <w:rPr>
                <w:sz w:val="12"/>
                <w:szCs w:val="12"/>
                <w:color w:val="auto"/>
              </w:rPr>
            </w:pPr>
          </w:p>
        </w:tc>
        <w:tc>
          <w:tcPr>
            <w:tcW w:w="384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reporting units were to fail step 1 of the goodwill impairment test.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spacing w:after="0"/>
              <w:rPr>
                <w:sz w:val="10"/>
                <w:szCs w:val="10"/>
                <w:color w:val="auto"/>
              </w:rPr>
            </w:pPr>
          </w:p>
        </w:tc>
        <w:tc>
          <w:tcPr>
            <w:tcW w:w="3880" w:type="dxa"/>
            <w:vAlign w:val="bottom"/>
            <w:tcBorders>
              <w:right w:val="single" w:sz="8" w:color="auto"/>
            </w:tcBorders>
            <w:shd w:val="clear" w:color="auto" w:fill="CFF0FC"/>
          </w:tcPr>
          <w:p>
            <w:pPr>
              <w:ind w:left="120"/>
              <w:spacing w:after="0" w:line="123" w:lineRule="exact"/>
              <w:rPr>
                <w:sz w:val="20"/>
                <w:szCs w:val="20"/>
                <w:color w:val="auto"/>
              </w:rPr>
            </w:pPr>
            <w:r>
              <w:rPr>
                <w:rFonts w:ascii="Arial" w:cs="Arial" w:eastAsia="Arial" w:hAnsi="Arial"/>
                <w:sz w:val="14"/>
                <w:szCs w:val="14"/>
                <w:color w:val="auto"/>
              </w:rPr>
              <w:t>The amended guidance modifies the disclosure</w:t>
            </w:r>
          </w:p>
        </w:tc>
        <w:tc>
          <w:tcPr>
            <w:tcW w:w="1500" w:type="dxa"/>
            <w:vAlign w:val="bottom"/>
            <w:tcBorders>
              <w:right w:val="single" w:sz="8" w:color="auto"/>
            </w:tcBorders>
            <w:shd w:val="clear" w:color="auto" w:fill="CFF0FC"/>
          </w:tcPr>
          <w:p>
            <w:pPr>
              <w:spacing w:after="0"/>
              <w:rPr>
                <w:sz w:val="10"/>
                <w:szCs w:val="10"/>
                <w:color w:val="auto"/>
              </w:rPr>
            </w:pPr>
          </w:p>
        </w:tc>
        <w:tc>
          <w:tcPr>
            <w:tcW w:w="4200" w:type="dxa"/>
            <w:vAlign w:val="bottom"/>
            <w:tcBorders>
              <w:right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Changes to the</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requirements on fair value measurements in Topic 820, Fair</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1"/>
              </w:rPr>
              <w:t>January 1, 2020</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The Company adopted the amended guidance effective January 1,</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Disclosure</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Value Measurements. The amendments are a result of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2020. A prospective transition method is being used for the</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Requirements for Fair</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disclosure framework project that focuses on improvements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amendments relating to disclosures being added under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Value Measurements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the effectiveness of disclosures in the notes to financial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guidance. Such disclosures relate to changes in unrealized gains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statements. The amendments remove, modify, and add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and losses, the range and weighted average of significant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certain disclosure requirements. The disclosure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unobservable inputs used to develop Level 3 fair value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requirements removed relating to public companies are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measurements, and the narrative description of measurement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amount and reason for transfers between Level 1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uncertainty. All other amendments relating to removing or</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Level 2 of the fair value hierarchy, (2) the policy for timing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modifying certain disclosures are applied retrospectively.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transfers between levels, and (3) the valuation process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adoption of the guidance did not have a material impact on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 Level 3 fair value measurements. The disclosure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Company’s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requirements modified relating to public companies are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 investments in certain entities that calculate net asset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value, an entity is required to disclose the timing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liquidation of an investee’s asset and the date when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restrictions from redemption might lapse only if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investee has communicated the timing to the entity 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announced the timing publicly, and (2) the measurement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uncertainty disclosure is to communicate information about</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uncertainty in measurement as a result of the use of</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unobservable inputs. The disclosure requirements added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relating to public companies are (1) to disclose the changes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 unrealized gains and losses for the period for recurring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Level 3 fair value measurements, and (2) to disclose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range and weighted average of significant unobservable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inputs used to develop Level 3 fair value measurements.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Customer’s</w:t>
            </w: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9"/>
              </w:rPr>
              <w:t>The amended guidance requires a hosting arrangement that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2020</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The Company adopted the amended guidance effective January 1,</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Accounting for</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is a service contract to follow the guidance in Subtopic 350-</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2020 using a prospective transition method. The impact of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Implementation Costs</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40 to determine which implementation costs to capitalize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guidance on the Company’s consolidated financial statements is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Incurred in a Cloud</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and which costs to expense.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8"/>
              </w:rPr>
              <w:t>dependent on the nature and amount of actual expenditures, but is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Computing</w:t>
            </w:r>
          </w:p>
        </w:tc>
        <w:tc>
          <w:tcPr>
            <w:tcW w:w="3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not expected to be material.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Arrangement That Is a</w:t>
            </w:r>
          </w:p>
        </w:tc>
        <w:tc>
          <w:tcPr>
            <w:tcW w:w="38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Service Contract</w:t>
            </w:r>
          </w:p>
        </w:tc>
        <w:tc>
          <w:tcPr>
            <w:tcW w:w="388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3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Improvements to</w:t>
            </w:r>
          </w:p>
        </w:tc>
        <w:tc>
          <w:tcPr>
            <w:tcW w:w="3880" w:type="dxa"/>
            <w:vAlign w:val="bottom"/>
            <w:tcBorders>
              <w:right w:val="single" w:sz="8" w:color="auto"/>
            </w:tcBorders>
            <w:shd w:val="clear" w:color="auto" w:fill="CFF0FC"/>
          </w:tcPr>
          <w:p>
            <w:pPr>
              <w:ind w:left="120"/>
              <w:spacing w:after="0" w:line="123" w:lineRule="exact"/>
              <w:rPr>
                <w:sz w:val="20"/>
                <w:szCs w:val="20"/>
                <w:color w:val="auto"/>
              </w:rPr>
            </w:pPr>
            <w:r>
              <w:rPr>
                <w:rFonts w:ascii="Arial" w:cs="Arial" w:eastAsia="Arial" w:hAnsi="Arial"/>
                <w:sz w:val="14"/>
                <w:szCs w:val="14"/>
                <w:color w:val="auto"/>
              </w:rPr>
              <w:t>The amended guidance requires that indirect interests held</w:t>
            </w: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91"/>
              </w:rPr>
              <w:t>January 1, 2020</w:t>
            </w:r>
          </w:p>
        </w:tc>
        <w:tc>
          <w:tcPr>
            <w:tcW w:w="4200" w:type="dxa"/>
            <w:vAlign w:val="bottom"/>
            <w:tcBorders>
              <w:right w:val="single" w:sz="8" w:color="auto"/>
            </w:tcBorders>
            <w:shd w:val="clear" w:color="auto" w:fill="CFF0FC"/>
          </w:tcPr>
          <w:p>
            <w:pPr>
              <w:ind w:left="100"/>
              <w:spacing w:after="0" w:line="123" w:lineRule="exact"/>
              <w:rPr>
                <w:sz w:val="20"/>
                <w:szCs w:val="20"/>
                <w:color w:val="auto"/>
              </w:rPr>
            </w:pPr>
            <w:r>
              <w:rPr>
                <w:rFonts w:ascii="Arial" w:cs="Arial" w:eastAsia="Arial" w:hAnsi="Arial"/>
                <w:sz w:val="14"/>
                <w:szCs w:val="14"/>
                <w:color w:val="auto"/>
              </w:rPr>
              <w:t>The guidance did not have a material impact on the Company’s</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Related Party</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through related parties in common control arrangements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Guidance for VIEs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should be considered on a proportional basis for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determining whether fees paid to decision makers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service providers are variable interests.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June 30,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Changes to the</w:t>
            </w:r>
          </w:p>
        </w:tc>
        <w:tc>
          <w:tcPr>
            <w:tcW w:w="38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modifies the disclosure</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2021</w:t>
            </w:r>
          </w:p>
        </w:tc>
        <w:tc>
          <w:tcPr>
            <w:tcW w:w="42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The amendments should be applied retrospectively. The Company</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Disclosure</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requirements for employers that sponsor defined benefit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does not expect the guidance to have a material impact on its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Requirements for</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pension or other postretirement plans. The disclosure</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Defined Benefit Plans</w:t>
            </w: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requirements being removed relating to public companies</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are (1) the amounts in accumulated other comprehensive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income expected to be recognized as components of net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periodic benefit cost over the next fiscal year, (2) the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9"/>
              </w:rPr>
              <w:t>amount and timing of plan assets expected to be returned to</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the employer, (3) the 2001 disclosure requirement relating</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to Japanese Welfare Pension Insurance Law, (4) related</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9"/>
              </w:rPr>
              <w:t>party disclosures about the amount of future annual benefits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covered by insurance, and (5) the effects of a one-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8"/>
              </w:rPr>
              <w:t>percentage-point change in assumed health care cost trends</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on the benefit cost and obligation. The disclosure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requirements being added relating to public companies are</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(1) the weighted-average interest crediting rates for cash</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balance plans , and (2) an explanation of the reasons for</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tcPr>
          <w:p>
            <w:pPr>
              <w:spacing w:after="0"/>
              <w:rPr>
                <w:sz w:val="12"/>
                <w:szCs w:val="12"/>
                <w:color w:val="auto"/>
              </w:rPr>
            </w:pPr>
          </w:p>
        </w:tc>
        <w:tc>
          <w:tcPr>
            <w:tcW w:w="38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9"/>
              </w:rPr>
              <w:t>significant gains and losses related to changes in the benefit</w:t>
            </w:r>
          </w:p>
        </w:tc>
        <w:tc>
          <w:tcPr>
            <w:tcW w:w="150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obligation for the period.</w:t>
            </w:r>
          </w:p>
        </w:tc>
        <w:tc>
          <w:tcPr>
            <w:tcW w:w="150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6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Clarifying the</w:t>
            </w:r>
          </w:p>
        </w:tc>
        <w:tc>
          <w:tcPr>
            <w:tcW w:w="388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The amendments clarify the following guidance:</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2021</w:t>
            </w:r>
          </w:p>
        </w:tc>
        <w:tc>
          <w:tcPr>
            <w:tcW w:w="420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amendments should be applied on a prospective basis.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Interactions Between</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1. That an entity should consider observable transactions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Company does not expect the guidance will have a material impact</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Equity Securities,</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require it to either apply or discontinue the equity</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on its consolidated financial 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Equity Method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method of accounting for the purposes of applying the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Joint Ventures,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measurement alternative in the equity securities investments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Derivatives and</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guidance immediately before applying or upon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Hedging</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discontinuing the equity method of accounting.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2. For the purpose of applying the derivatives and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guidance an entity should not consider whether, upon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settlement of a forward contract or exercise of a purchased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option, individually or with existing investments,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underlying securities would be accounted for under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equity method of accounting or the fair value option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accordance with the financial instruments guidance. An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entity also would evaluate the remaining characteristics in</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the derivatives and hedging guidance to determine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for those forward contracts and purchased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options.</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40" w:type="dxa"/>
            <w:vAlign w:val="bottom"/>
            <w:tcBorders>
              <w:top w:val="single" w:sz="8" w:color="auto"/>
              <w:left w:val="single" w:sz="8" w:color="auto"/>
              <w:right w:val="single" w:sz="8" w:color="auto"/>
            </w:tcBorders>
            <w:vMerge w:val="restart"/>
          </w:tcPr>
          <w:p>
            <w:pPr>
              <w:ind w:left="52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top w:val="single" w:sz="8" w:color="auto"/>
              <w:right w:val="single" w:sz="8" w:color="auto"/>
            </w:tcBorders>
            <w:vMerge w:val="restart"/>
          </w:tcPr>
          <w:p>
            <w:pPr>
              <w:ind w:left="148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36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June 30, 2020</w:t>
            </w:r>
          </w:p>
        </w:tc>
        <w:tc>
          <w:tcPr>
            <w:tcW w:w="1500" w:type="dxa"/>
            <w:vAlign w:val="bottom"/>
            <w:tcBorders>
              <w:bottom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40" w:type="dxa"/>
            <w:vAlign w:val="bottom"/>
            <w:tcBorders>
              <w:left w:val="single" w:sz="8" w:color="auto"/>
              <w:right w:val="single" w:sz="8" w:color="auto"/>
            </w:tcBorders>
          </w:tcPr>
          <w:p>
            <w:pPr>
              <w:ind w:left="140"/>
              <w:spacing w:after="0" w:line="123" w:lineRule="exact"/>
              <w:rPr>
                <w:sz w:val="20"/>
                <w:szCs w:val="20"/>
                <w:color w:val="auto"/>
              </w:rPr>
            </w:pPr>
            <w:r>
              <w:rPr>
                <w:rFonts w:ascii="Arial" w:cs="Arial" w:eastAsia="Arial" w:hAnsi="Arial"/>
                <w:sz w:val="14"/>
                <w:szCs w:val="14"/>
                <w:color w:val="auto"/>
              </w:rPr>
              <w:t>Simplifying the</w:t>
            </w:r>
          </w:p>
        </w:tc>
        <w:tc>
          <w:tcPr>
            <w:tcW w:w="38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January 1, 2021</w:t>
            </w:r>
          </w:p>
        </w:tc>
        <w:tc>
          <w:tcPr>
            <w:tcW w:w="436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The amendments related to separate financial statements of legal</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Accounting for</w:t>
            </w: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 remove the following exceptions for</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entities that are not subject to tax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Income Taxes</w:t>
            </w: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accounting for income taxes:</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Early adoption</w:t>
            </w: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retrospective basis for all periods presented. The amendments related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1. Exception to the incremental approach for intraperiod tax</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to changes in ownership of foreign equity method investments or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allocation when there is a loss from continuing operations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foreign subsidiaries should be applied on a modified retrospective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and income or a gain from other items (for example,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basis through a cumulative-effect adjustment to retained earnings as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discontinued operations or other comprehensive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of the beginning of the fiscal year of adoption. The amendments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 Exception to the requirement to recognize a deferred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related to franchise taxes that are partially based on income should</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liability for equity method investments when a foreign</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be applied on either a retrospective basis for all periods presented or</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subsidiary becomes an equity method investment</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 modified retrospective basis through a cumulative-effect</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3. Exception to the ability not to recognize a deferred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9"/>
              </w:rPr>
              <w:t>adjustment to retained earnings as of the beginning of the fiscal year</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liability for a foreign subsidiary when a foreign equity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of adoption. All other amendments should be applied on a</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method investment becomes a subsidiary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prospective basis.</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4. Exception to the general methodology for calculating</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Early adoption of the amendments in an interim period would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income taxes in an interim period when a year-to-date loss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require recognition of any adjustments as of the beginning of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exceeds the anticipated loss for the year.</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annual period that includes that interim period. Additionally, an early</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adoption election would require adoption of all the amendments in</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amendments also simplify the accounting for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the same period. The Company is evaluating the impact that the</w:t>
            </w: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taxes by doing the following:</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guidance will have on its consolidated financial statements.</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1. Requiring that an entity recognize a franchise tax (or</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similar tax) that is partially based on income as an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based tax and account for any incremental amount incurred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as a non-income-based tax.</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2. Requiring that an entity evaluate when a step up in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 basis of goodwill should be considered part of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business combination in which the book goodwill was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originally recognized and when it should be considered a</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separate transaction.</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3. Specifying that an entity is not required to allocate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consolidated amount of current and deferred tax expense to</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 legal entity that is not subject to tax in its separate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financial statements. However, an entity may elect to do so</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(on an entity-by-entity basis) for a legal entity that is both</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not subject to tax and disregarded by the taxing authority.</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4. Requiring that an entity reflect the effect of an enacted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change in tax laws or rates in the annual effective tax rate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computation in the interim period that includes the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enactment date.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5. Making minor Codification improvements for income</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taxes related to employee stock ownership plans and</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8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investments in qualified affordable housing projects</w:t>
            </w:r>
          </w:p>
        </w:tc>
        <w:tc>
          <w:tcPr>
            <w:tcW w:w="1500" w:type="dxa"/>
            <w:vAlign w:val="bottom"/>
            <w:tcBorders>
              <w:right w:val="single" w:sz="8" w:color="auto"/>
            </w:tcBorders>
          </w:tcPr>
          <w:p>
            <w:pPr>
              <w:spacing w:after="0"/>
              <w:rPr>
                <w:sz w:val="12"/>
                <w:szCs w:val="12"/>
                <w:color w:val="auto"/>
              </w:rPr>
            </w:pPr>
          </w:p>
        </w:tc>
        <w:tc>
          <w:tcPr>
            <w:tcW w:w="4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accounted for using the equity method.</w:t>
            </w:r>
          </w:p>
        </w:tc>
        <w:tc>
          <w:tcPr>
            <w:tcW w:w="1500" w:type="dxa"/>
            <w:vAlign w:val="bottom"/>
            <w:tcBorders>
              <w:bottom w:val="single" w:sz="8" w:color="auto"/>
              <w:right w:val="single" w:sz="8" w:color="auto"/>
            </w:tcBorders>
          </w:tcPr>
          <w:p>
            <w:pPr>
              <w:spacing w:after="0"/>
              <w:rPr>
                <w:sz w:val="14"/>
                <w:szCs w:val="14"/>
                <w:color w:val="auto"/>
              </w:rPr>
            </w:pPr>
          </w:p>
        </w:tc>
        <w:tc>
          <w:tcPr>
            <w:tcW w:w="43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6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top w:val="single" w:sz="8" w:color="auto"/>
              <w:right w:val="single" w:sz="8" w:color="auto"/>
            </w:tcBorders>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00" w:type="dxa"/>
            <w:vAlign w:val="bottom"/>
            <w:tcBorders>
              <w:top w:val="single" w:sz="8" w:color="auto"/>
              <w:right w:val="single" w:sz="8" w:color="auto"/>
            </w:tcBorders>
            <w:vMerge w:val="restart"/>
          </w:tcPr>
          <w:p>
            <w:pPr>
              <w:ind w:left="76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88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4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June 30, 2020</w:t>
            </w:r>
          </w:p>
        </w:tc>
        <w:tc>
          <w:tcPr>
            <w:tcW w:w="1500" w:type="dxa"/>
            <w:vAlign w:val="bottom"/>
            <w:tcBorders>
              <w:bottom w:val="single" w:sz="8" w:color="auto"/>
            </w:tcBorders>
          </w:tcPr>
          <w:p>
            <w:pPr>
              <w:spacing w:after="0"/>
              <w:rPr>
                <w:sz w:val="19"/>
                <w:szCs w:val="19"/>
                <w:color w:val="auto"/>
              </w:rPr>
            </w:pPr>
          </w:p>
        </w:tc>
        <w:tc>
          <w:tcPr>
            <w:tcW w:w="4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3"/>
        </w:trPr>
        <w:tc>
          <w:tcPr>
            <w:tcW w:w="1660" w:type="dxa"/>
            <w:vAlign w:val="bottom"/>
            <w:tcBorders>
              <w:left w:val="single" w:sz="8" w:color="auto"/>
              <w:right w:val="single" w:sz="8" w:color="auto"/>
            </w:tcBorders>
            <w:shd w:val="clear" w:color="auto" w:fill="CFF0FC"/>
          </w:tcPr>
          <w:p>
            <w:pPr>
              <w:ind w:left="140"/>
              <w:spacing w:after="0" w:line="123" w:lineRule="exact"/>
              <w:rPr>
                <w:sz w:val="20"/>
                <w:szCs w:val="20"/>
                <w:color w:val="auto"/>
              </w:rPr>
            </w:pPr>
            <w:r>
              <w:rPr>
                <w:rFonts w:ascii="Arial" w:cs="Arial" w:eastAsia="Arial" w:hAnsi="Arial"/>
                <w:sz w:val="14"/>
                <w:szCs w:val="14"/>
                <w:color w:val="auto"/>
              </w:rPr>
              <w:t>Reference Rate</w:t>
            </w:r>
          </w:p>
        </w:tc>
        <w:tc>
          <w:tcPr>
            <w:tcW w:w="3880" w:type="dxa"/>
            <w:vAlign w:val="bottom"/>
            <w:tcBorders>
              <w:right w:val="single" w:sz="8" w:color="auto"/>
            </w:tcBorders>
            <w:shd w:val="clear" w:color="auto" w:fill="CFF0FC"/>
          </w:tcPr>
          <w:p>
            <w:pPr>
              <w:ind w:left="120"/>
              <w:spacing w:after="0" w:line="123" w:lineRule="exact"/>
              <w:rPr>
                <w:sz w:val="20"/>
                <w:szCs w:val="20"/>
                <w:color w:val="auto"/>
              </w:rPr>
            </w:pPr>
            <w:r>
              <w:rPr>
                <w:rFonts w:ascii="Arial" w:cs="Arial" w:eastAsia="Arial" w:hAnsi="Arial"/>
                <w:sz w:val="14"/>
                <w:szCs w:val="14"/>
                <w:color w:val="auto"/>
              </w:rPr>
              <w:t>The amendments provide optional expedients and</w:t>
            </w:r>
          </w:p>
        </w:tc>
        <w:tc>
          <w:tcPr>
            <w:tcW w:w="1500" w:type="dxa"/>
            <w:vAlign w:val="bottom"/>
            <w:tcBorders>
              <w:right w:val="single" w:sz="8" w:color="auto"/>
            </w:tcBorders>
            <w:shd w:val="clear" w:color="auto" w:fill="CFF0FC"/>
          </w:tcPr>
          <w:p>
            <w:pPr>
              <w:jc w:val="center"/>
              <w:spacing w:after="0" w:line="123" w:lineRule="exact"/>
              <w:rPr>
                <w:sz w:val="20"/>
                <w:szCs w:val="20"/>
                <w:color w:val="auto"/>
              </w:rPr>
            </w:pPr>
            <w:r>
              <w:rPr>
                <w:rFonts w:ascii="Arial" w:cs="Arial" w:eastAsia="Arial" w:hAnsi="Arial"/>
                <w:sz w:val="14"/>
                <w:szCs w:val="14"/>
                <w:color w:val="auto"/>
                <w:w w:val="96"/>
              </w:rPr>
              <w:t>Beginning</w:t>
            </w:r>
          </w:p>
        </w:tc>
        <w:tc>
          <w:tcPr>
            <w:tcW w:w="4200" w:type="dxa"/>
            <w:vAlign w:val="bottom"/>
            <w:tcBorders>
              <w:right w:val="single" w:sz="8" w:color="auto"/>
            </w:tcBorders>
            <w:shd w:val="clear" w:color="auto" w:fill="CFF0FC"/>
          </w:tcPr>
          <w:p>
            <w:pPr>
              <w:ind w:left="100"/>
              <w:spacing w:after="0" w:line="123" w:lineRule="exact"/>
              <w:rPr>
                <w:sz w:val="20"/>
                <w:szCs w:val="20"/>
                <w:color w:val="auto"/>
              </w:rPr>
            </w:pPr>
            <w:r>
              <w:rPr>
                <w:rFonts w:ascii="Arial" w:cs="Arial" w:eastAsia="Arial" w:hAnsi="Arial"/>
                <w:sz w:val="14"/>
                <w:szCs w:val="14"/>
                <w:color w:val="auto"/>
              </w:rPr>
              <w:t>The amendments for contract modifications can be elected to be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Reform</w:t>
            </w: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exceptions for applying GAAP to contracts,hedging</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4"/>
              </w:rPr>
              <w:t>March 12, 2020</w:t>
            </w: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applied as of any date from the beginning of an interim period that</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relationships, and other transactions affected by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includes or is subsequent to March 12, 2020, or prospectively from</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rate reform. The amendments apply only to contracts,</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 date within an interim period that includes or is subsequent to</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hedging relationships, and other transactions that reference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March 12, 2020. The amendments for existing hedging relationships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LIBOR or another reference rate expected to be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can be elected to be applied as of the beginning of the interim period</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discontinued because of reference rate reform. The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that includes March 12, 2020 and to new eligible hedging</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amendments (1) apply to contract modifications that replace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relationships entered into after the beginning of the interim period</w:t>
            </w: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 reference rate affected by reference rate reform,</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that includes March 12, 2020. The Company is evaluating the</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(2) provide exceptions to existing guidance related to</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impact that the guidance will have on its consolidated financial</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changes to the critical terms of a hedging relationship due</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statements.</w:t>
            </w: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to reference rate reform (3) provide optional expedients for</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fair value hedging relationships, cash flow hedging</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relationships, and net investment hedging relationships,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(4) provide a onetime election to sell, transfer, or both sell</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and transfer debt securities classified as held to maturity</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reference a rate affected by reference rate reform and</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shd w:val="clear" w:color="auto" w:fill="CFF0FC"/>
          </w:tcPr>
          <w:p>
            <w:pPr>
              <w:spacing w:after="0"/>
              <w:rPr>
                <w:sz w:val="12"/>
                <w:szCs w:val="12"/>
                <w:color w:val="auto"/>
              </w:rPr>
            </w:pPr>
          </w:p>
        </w:tc>
        <w:tc>
          <w:tcPr>
            <w:tcW w:w="388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are classified as held to maturity before January 1,</w:t>
            </w:r>
          </w:p>
        </w:tc>
        <w:tc>
          <w:tcPr>
            <w:tcW w:w="1500" w:type="dxa"/>
            <w:vAlign w:val="bottom"/>
            <w:tcBorders>
              <w:right w:val="single" w:sz="8" w:color="auto"/>
            </w:tcBorders>
            <w:shd w:val="clear" w:color="auto" w:fill="CFF0FC"/>
          </w:tcPr>
          <w:p>
            <w:pPr>
              <w:spacing w:after="0"/>
              <w:rPr>
                <w:sz w:val="12"/>
                <w:szCs w:val="12"/>
                <w:color w:val="auto"/>
              </w:rPr>
            </w:pPr>
          </w:p>
        </w:tc>
        <w:tc>
          <w:tcPr>
            <w:tcW w:w="420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88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2020.</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20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M&amp;T Bank Corporation (“M&amp;T”) recorded net income in the second quarter of 2020 of $241 million or $1.74 of diluted earnings per common share, compared with $473 million or $3.34 of diluted earnings per common share in the year-earlier quarter. Net income and diluted earnings per common share during the first quarter of 2020 were $269 million and $1.93, respectively. Basic earnings per common share were $1.74 in the recent quarter, compared with $3.34 in the year earlier quarter and $1.93 in the initial quarter of 2020. Net income totaled $510 million or $3.67 of diluted and basic earnings per common share in the first half of 2020, compared with $956 million or $6.69 of diluted and basic earnings per common share in the corresponding period of 2019.</w:t>
      </w:r>
    </w:p>
    <w:p>
      <w:pPr>
        <w:spacing w:after="0" w:line="5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the second quarter of 2020 was .71%, compared with 1.60% in the year-earlier quarter and .90% in the first quarter of 2020. The annualized rate of return on average common shareholders’ equity was 6.13% in the recent quarter, compared with 12.68% in the second quarter of 2019 and 7.00% in 2020’s initial quarter. During the six-month period ended June 30, 2020, the annualized rates of return on average assets and average common shareholders’ equity were .80% and 6.56%, respectively, compared with 1.64% and 12.91%, respectively, in the similar period of 2019.</w:t>
      </w:r>
    </w:p>
    <w:p>
      <w:pPr>
        <w:spacing w:after="0" w:line="81"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Effective January 1, 2020, M&amp;T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accounting guidance replaces the previous incurred loss model for determining the allowance for credit losses. The adoption of the amended guidance resulted in a $132 million increase in the allowance for credit losses as of January 1, 2020. Additional information on the new accounting guidance is provided under the heading “Provision for Credit Losses” and in note 3 of Notes to Financial Statements.</w:t>
      </w:r>
    </w:p>
    <w:p>
      <w:pPr>
        <w:spacing w:after="0" w:line="88"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Financial results for the second quarter of 2020 were adversely impacted by the Coronavirus Disease 2019 (“COVID-19”) pandemic. The economic outlook at June 30 deteriorated as compared with what had been assumed by the Company as of the end of the first quarter of 2020, with considerable uncertainty existing about the length and extent of the pandemic’s impact on the nation’s economy. Due to higher expected credit losses that reflect the worsening outlook, the provision for credit losses in the recent quarter rose to $325 million from $250 million in the initial 2020 quarter and $55 million in the second quarter of 2019. The 2020 periods reflect the adoption of the new accounting guidance for the measurement of expected credit losses on financial instruments. Spurred by the COVID-19 pandemic, the low interest rate environment has resulted in decreased taxable-equivalent net interest income in the recent quarter, while waivers and reduced customer transaction activity led to lower fees earned on deposit accounts.</w:t>
      </w:r>
    </w:p>
    <w:p>
      <w:pPr>
        <w:spacing w:after="0" w:line="5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On March 27, 2020, the Coronavirus Aid, Relief, and Economic Security Act (“CARES Act”) was signed into law. Among other things, the CARES Act provides relief to borrowers, including the opportunity to defer loan payments while not negatively affecting their credit standing, and also provides funding opportunities for small businesses under the Paycheck Protection Program (“PPP”) from approved Small Business Administration (“SBA”) lenders, including M&amp;T Bank. For commercial and consumer customers, the Company has provided a host of relief options, including loan maturity extensions, payment deferrals, fee waivers and low interest rate loan products. During the second quarter of 2020, M&amp;T Bank funded PPP loans that totaled $6.5 billion at June 30, 2020.</w:t>
      </w:r>
    </w:p>
    <w:p>
      <w:pPr>
        <w:spacing w:after="0" w:line="53"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Updated economic forecasts at June 30, 2020 and at March 31, 2020 resulted in higher estimates of expected credit losses in the Company’s loan portfolio than at January 1, 2020, resulting in significant increases in the provision for credit losses in the first two quarters of 2020. The Company expects that it will continue to be negatively impacted by the COVID-19 pandemic after June 30, 2020 and believes that the pandemic could have a material impact on its future financial results. Specifically, the Company expects the following balance sheet and income statement categories to be affected: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2" w:name="page53"/>
    <w:bookmarkEnd w:id="52"/>
    <w:p>
      <w:pPr>
        <w:ind w:left="800" w:right="40" w:hanging="360"/>
        <w:spacing w:after="0" w:line="250" w:lineRule="auto"/>
        <w:tabs>
          <w:tab w:leader="none" w:pos="8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M&amp;T Bank is an approved lender in the Main Street Lending Program, a provision of the CARES Act. Customer demand for this borrowing opportunity is not fully known, so that potential impact is not determinable;</w:t>
      </w:r>
    </w:p>
    <w:p>
      <w:pPr>
        <w:ind w:left="800" w:right="860" w:hanging="360"/>
        <w:spacing w:after="0" w:line="241" w:lineRule="auto"/>
        <w:tabs>
          <w:tab w:leader="none" w:pos="8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Net interest income and net interest margin –the low interest rate environment will continue to negatively affect the Company’s net interest margin;</w:t>
      </w:r>
    </w:p>
    <w:p>
      <w:pPr>
        <w:spacing w:after="0" w:line="1" w:lineRule="exact"/>
        <w:rPr>
          <w:rFonts w:ascii="Arial" w:cs="Arial" w:eastAsia="Arial" w:hAnsi="Arial"/>
          <w:sz w:val="21"/>
          <w:szCs w:val="21"/>
          <w:color w:val="auto"/>
        </w:rPr>
      </w:pPr>
    </w:p>
    <w:p>
      <w:pPr>
        <w:ind w:left="800" w:hanging="360"/>
        <w:spacing w:after="0" w:line="241" w:lineRule="auto"/>
        <w:tabs>
          <w:tab w:leader="none" w:pos="8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Provision for credit losses – deteriorating economic assumptions used to calculate the allowance for credit losses at the end of future reporting periods could result in higher levels of the provision and allowance for credit losses than have been historically experienced. In addition, the impact on borrowers’ ability to repay loans could be negatively affected, potentially leading to increased charge-offs;</w:t>
      </w:r>
    </w:p>
    <w:p>
      <w:pPr>
        <w:spacing w:after="0" w:line="2" w:lineRule="exact"/>
        <w:rPr>
          <w:rFonts w:ascii="Arial" w:cs="Arial" w:eastAsia="Arial" w:hAnsi="Arial"/>
          <w:sz w:val="21"/>
          <w:szCs w:val="21"/>
          <w:color w:val="auto"/>
        </w:rPr>
      </w:pPr>
    </w:p>
    <w:p>
      <w:pPr>
        <w:ind w:left="800" w:right="60" w:hanging="360"/>
        <w:spacing w:after="0" w:line="266" w:lineRule="auto"/>
        <w:tabs>
          <w:tab w:leader="none" w:pos="8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Noninterest income will likely be lower as it relates to the trust businesses, as it is likely that fee waivers will increase for proprietary money market mutual fund management fees, and some of trust income is derived from equity market performance, which could be volatile. The potential for a prolonged slowdown in debt capital market activities also exists. Consumer deposit service charge fees may continue to be lower than historical levels due to fee waivers and lower debit card transactions. Credit card interchange volumes are also expected to be lower than historical norms, resulting in lower</w:t>
      </w:r>
    </w:p>
    <w:p>
      <w:pPr>
        <w:spacing w:after="0" w:line="4" w:lineRule="exact"/>
        <w:rPr>
          <w:rFonts w:ascii="Arial" w:cs="Arial" w:eastAsia="Arial" w:hAnsi="Arial"/>
          <w:sz w:val="19"/>
          <w:szCs w:val="19"/>
          <w:color w:val="auto"/>
        </w:rPr>
      </w:pPr>
    </w:p>
    <w:p>
      <w:pPr>
        <w:ind w:left="800"/>
        <w:spacing w:after="0"/>
        <w:rPr>
          <w:rFonts w:ascii="Arial" w:cs="Arial" w:eastAsia="Arial" w:hAnsi="Arial"/>
          <w:sz w:val="19"/>
          <w:szCs w:val="19"/>
          <w:color w:val="auto"/>
        </w:rPr>
      </w:pPr>
      <w:r>
        <w:rPr>
          <w:rFonts w:ascii="Arial" w:cs="Arial" w:eastAsia="Arial" w:hAnsi="Arial"/>
          <w:sz w:val="19"/>
          <w:szCs w:val="19"/>
          <w:color w:val="auto"/>
        </w:rPr>
        <w:t>fees. Residential mortgage applications are expected to continue to be strong given the low interest rate environment; and</w:t>
      </w:r>
    </w:p>
    <w:p>
      <w:pPr>
        <w:spacing w:after="0" w:line="24" w:lineRule="exact"/>
        <w:rPr>
          <w:rFonts w:ascii="Arial" w:cs="Arial" w:eastAsia="Arial" w:hAnsi="Arial"/>
          <w:sz w:val="19"/>
          <w:szCs w:val="19"/>
          <w:color w:val="auto"/>
        </w:rPr>
      </w:pPr>
    </w:p>
    <w:p>
      <w:pPr>
        <w:ind w:left="800" w:right="340" w:hanging="360"/>
        <w:spacing w:after="0" w:line="259" w:lineRule="auto"/>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resurgence of the epidemic in many parts of the country has resulted in certain government mandates that will impact aspects of the Company’s expense base, such as the use of contractors, travel and entertainment costs, and other types of discretionary expenditures. In addition, the Company has curtailed hiring and has redeployed employees to address the changing dynamics of the business given the current environment.</w:t>
      </w:r>
    </w:p>
    <w:p>
      <w:pPr>
        <w:spacing w:after="0" w:line="110" w:lineRule="exact"/>
        <w:rPr>
          <w:sz w:val="20"/>
          <w:szCs w:val="20"/>
          <w:color w:val="auto"/>
        </w:rPr>
      </w:pPr>
    </w:p>
    <w:p>
      <w:pPr>
        <w:ind w:right="180" w:firstLine="468"/>
        <w:spacing w:after="0" w:line="247" w:lineRule="auto"/>
        <w:rPr>
          <w:sz w:val="20"/>
          <w:szCs w:val="20"/>
          <w:color w:val="auto"/>
        </w:rPr>
      </w:pPr>
      <w:r>
        <w:rPr>
          <w:rFonts w:ascii="Arial" w:cs="Arial" w:eastAsia="Arial" w:hAnsi="Arial"/>
          <w:sz w:val="21"/>
          <w:szCs w:val="21"/>
          <w:color w:val="auto"/>
        </w:rPr>
        <w:t>The national effort to mitigate the pandemic has resulted in a challenging environment for businesses and their employees. The Company has taken actions to provide a safe environment for its customers and employees and to provide relief to customers in a variety of ways. Examples of those actions include:</w:t>
      </w:r>
    </w:p>
    <w:p>
      <w:pPr>
        <w:spacing w:after="0" w:line="1" w:lineRule="exact"/>
        <w:rPr>
          <w:sz w:val="20"/>
          <w:szCs w:val="20"/>
          <w:color w:val="auto"/>
        </w:rPr>
      </w:pPr>
    </w:p>
    <w:p>
      <w:pPr>
        <w:ind w:left="740" w:right="20" w:hanging="368"/>
        <w:spacing w:after="0" w:line="281"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deployment of a Pandemic Response Plan to manage the pandemic’s effects on operations, employees and customers, including seeking to ensure employee safety, maintain continuity of operations and service levels for customers, preserve the Company’s financial strength, and comply with applicable laws and regulations. Actions have included placing restrictions on travel, implementing a modified branch service model, implementing social distancing requirements, and mandating for all employees whose jobs can be performed remotely to work from home. The Company has formed a task force to develop a plan for employees to return to the office when deemed appropriate while ensuring a safe work environment;</w:t>
      </w:r>
    </w:p>
    <w:p>
      <w:pPr>
        <w:spacing w:after="0" w:line="3" w:lineRule="exact"/>
        <w:rPr>
          <w:rFonts w:ascii="Arial" w:cs="Arial" w:eastAsia="Arial" w:hAnsi="Arial"/>
          <w:sz w:val="18"/>
          <w:szCs w:val="18"/>
          <w:color w:val="auto"/>
        </w:rPr>
      </w:pPr>
    </w:p>
    <w:p>
      <w:pPr>
        <w:ind w:left="740" w:right="120" w:hanging="368"/>
        <w:spacing w:after="0" w:line="241" w:lineRule="auto"/>
        <w:tabs>
          <w:tab w:leader="none" w:pos="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Nearly all M&amp;T Bank branches remain open, with open lobbies or with in-person visits by appointment and normal access to drive-through windows and ATMs;</w:t>
      </w:r>
    </w:p>
    <w:p>
      <w:pPr>
        <w:spacing w:after="0" w:line="1" w:lineRule="exact"/>
        <w:rPr>
          <w:rFonts w:ascii="Arial" w:cs="Arial" w:eastAsia="Arial" w:hAnsi="Arial"/>
          <w:sz w:val="21"/>
          <w:szCs w:val="21"/>
          <w:color w:val="auto"/>
        </w:rPr>
      </w:pPr>
    </w:p>
    <w:p>
      <w:pPr>
        <w:ind w:left="740" w:hanging="368"/>
        <w:spacing w:after="0"/>
        <w:tabs>
          <w:tab w:leader="none" w:pos="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Nearly 90% of the Company’s non-branch employees continue to work remotely;</w:t>
      </w:r>
    </w:p>
    <w:p>
      <w:pPr>
        <w:spacing w:after="0" w:line="1" w:lineRule="exact"/>
        <w:rPr>
          <w:rFonts w:ascii="Arial" w:cs="Arial" w:eastAsia="Arial" w:hAnsi="Arial"/>
          <w:sz w:val="21"/>
          <w:szCs w:val="21"/>
          <w:color w:val="auto"/>
        </w:rPr>
      </w:pPr>
    </w:p>
    <w:p>
      <w:pPr>
        <w:ind w:left="740" w:hanging="368"/>
        <w:spacing w:after="0" w:line="241" w:lineRule="auto"/>
        <w:tabs>
          <w:tab w:leader="none" w:pos="7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Loan customers are receiving COVID-19 related relief in various forms, including modification and forbearance requests as of June 30, 2020 as follows:</w:t>
      </w:r>
    </w:p>
    <w:p>
      <w:pPr>
        <w:spacing w:after="0" w:line="1" w:lineRule="exact"/>
        <w:rPr>
          <w:rFonts w:ascii="Arial" w:cs="Arial" w:eastAsia="Arial" w:hAnsi="Arial"/>
          <w:sz w:val="21"/>
          <w:szCs w:val="21"/>
          <w:color w:val="auto"/>
        </w:rPr>
      </w:pPr>
    </w:p>
    <w:p>
      <w:pPr>
        <w:ind w:left="1500" w:right="80" w:hanging="372"/>
        <w:spacing w:after="0" w:line="241" w:lineRule="auto"/>
        <w:tabs>
          <w:tab w:leader="none" w:pos="1500" w:val="left"/>
        </w:tabs>
        <w:numPr>
          <w:ilvl w:val="1"/>
          <w:numId w:val="18"/>
        </w:numPr>
        <w:rPr>
          <w:rFonts w:ascii="Arial" w:cs="Arial" w:eastAsia="Arial" w:hAnsi="Arial"/>
          <w:sz w:val="21"/>
          <w:szCs w:val="21"/>
          <w:color w:val="auto"/>
        </w:rPr>
      </w:pPr>
      <w:r>
        <w:rPr>
          <w:rFonts w:ascii="Arial" w:cs="Arial" w:eastAsia="Arial" w:hAnsi="Arial"/>
          <w:sz w:val="21"/>
          <w:szCs w:val="21"/>
          <w:color w:val="auto"/>
        </w:rPr>
        <w:t>Commercial – 9,300 customers with balances of $14.0 billion, including $4.2 billion associated with automobile and recreation finance dealers;</w:t>
      </w:r>
    </w:p>
    <w:p>
      <w:pPr>
        <w:spacing w:after="0" w:line="1" w:lineRule="exact"/>
        <w:rPr>
          <w:rFonts w:ascii="Arial" w:cs="Arial" w:eastAsia="Arial" w:hAnsi="Arial"/>
          <w:sz w:val="21"/>
          <w:szCs w:val="21"/>
          <w:color w:val="auto"/>
        </w:rPr>
      </w:pPr>
    </w:p>
    <w:p>
      <w:pPr>
        <w:ind w:left="1500" w:right="60" w:hanging="372"/>
        <w:spacing w:after="0" w:line="281"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Residential real estate – 85,000 customers with balances of $15.4 billion (including approximately 77,000 customers with balances of $13.2 billion that are serviced for others and, therefore not included in the Company’s assets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500" w:hanging="372"/>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Consumer – including automobile, recreational finance, home equity lines and loans, credit cards and personal loans</w:t>
      </w:r>
    </w:p>
    <w:p>
      <w:pPr>
        <w:spacing w:after="0" w:line="3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21"/>
          <w:szCs w:val="21"/>
          <w:color w:val="auto"/>
        </w:rPr>
        <w:t>– 22,200 customers with balances of $685 million.</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Paycheck Protection Program – At June 30, 2020, 34,600 customers have outstanding loans totaling $6.5 billion; and</w:t>
      </w:r>
    </w:p>
    <w:p>
      <w:pPr>
        <w:spacing w:after="0" w:line="13" w:lineRule="exact"/>
        <w:rPr>
          <w:rFonts w:ascii="Arial" w:cs="Arial" w:eastAsia="Arial" w:hAnsi="Arial"/>
          <w:sz w:val="20"/>
          <w:szCs w:val="20"/>
          <w:color w:val="auto"/>
        </w:rPr>
      </w:pPr>
    </w:p>
    <w:p>
      <w:pPr>
        <w:ind w:left="740" w:hanging="368"/>
        <w:spacing w:after="0"/>
        <w:tabs>
          <w:tab w:leader="none" w:pos="7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Waiving certain types of transaction and maintenance fees for consumer and small business deposit account relationships.</w:t>
      </w:r>
    </w:p>
    <w:p>
      <w:pPr>
        <w:spacing w:after="0" w:line="370" w:lineRule="exact"/>
        <w:rPr>
          <w:rFonts w:ascii="Arial" w:cs="Arial" w:eastAsia="Arial" w:hAnsi="Arial"/>
          <w:sz w:val="19"/>
          <w:szCs w:val="19"/>
          <w:color w:val="auto"/>
        </w:rPr>
      </w:pPr>
    </w:p>
    <w:p>
      <w:pPr>
        <w:ind w:left="5540" w:hanging="111"/>
        <w:spacing w:after="0"/>
        <w:tabs>
          <w:tab w:leader="none" w:pos="5540" w:val="left"/>
        </w:tabs>
        <w:numPr>
          <w:ilvl w:val="3"/>
          <w:numId w:val="18"/>
        </w:numPr>
        <w:rPr>
          <w:rFonts w:ascii="Arial" w:cs="Arial" w:eastAsia="Arial" w:hAnsi="Arial"/>
          <w:sz w:val="18"/>
          <w:szCs w:val="18"/>
          <w:color w:val="auto"/>
        </w:rPr>
      </w:pPr>
      <w:r>
        <w:rPr>
          <w:rFonts w:ascii="Arial" w:cs="Arial" w:eastAsia="Arial" w:hAnsi="Arial"/>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53" w:name="page54"/>
    <w:bookmarkEnd w:id="53"/>
    <w:p>
      <w:pPr>
        <w:jc w:val="both"/>
        <w:ind w:firstLine="468"/>
        <w:spacing w:after="0" w:line="274" w:lineRule="auto"/>
        <w:rPr>
          <w:sz w:val="20"/>
          <w:szCs w:val="20"/>
          <w:color w:val="auto"/>
        </w:rPr>
      </w:pPr>
      <w:r>
        <w:rPr>
          <w:rFonts w:ascii="Arial" w:cs="Arial" w:eastAsia="Arial" w:hAnsi="Arial"/>
          <w:sz w:val="19"/>
          <w:szCs w:val="19"/>
          <w:color w:val="auto"/>
        </w:rPr>
        <w:t>In July 2019, M&amp;T agreed to sell its non-controlling interest in an asset manager obtained in the 2011 acquisition of Wilmington Trust Corporation that had been accounted for using the equity method of accounting and, as a result, as of June 30, 2019 recorded a $48 million charge (reflected in “other costs of operations”) to reduce the carrying value of the investment to its net realizable value. Similar to other active investment managers, the investee entity had experienced a decrease in assets under management and during the second quarter of 2019 the entity’s chief executive and investment officer announced his retirement. Following that announcement, successor management submitted a proposal to M&amp;T to restructure the organization of the entity. The after-tax impact of the charge was a reduction in net income of $36 million, or $.27 of diluted earnings per common share in the second quarter of 2019. The sale of M&amp;T’s interest in the asset manager was effective September 30, 2019.</w:t>
      </w:r>
    </w:p>
    <w:p>
      <w:pPr>
        <w:spacing w:after="0" w:line="56"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During the first quarter of 2019, the Company increased its reserve for legal matters by $50 million in conjunction with matters associated with a subsidiary’s role as trustee of Employee Stock Ownership Plans in its Institutional Client Services business. That increase, on an after-tax basis, reduced net income in that quarter by $37 million, or $.27 of diluted earnings per common share. Also during that quarter, M&amp;T realized $37 million of distributed income from Bayview Lending Group LLC (“BLG”), increasing net income by $28 million, or $.20 of diluted earnings per common share. A similar distribution of $23 million was received in the first quarter of 2020, increasing net income by $17 million, or $.13 of diluted earnings per common share.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(when incurred)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8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Net operating income totaled $244 million in the second quarter of 2020, compared with $477 million in the year-earlier quarter and $272 million in the initial 2020 quarter. Diluted net operating earnings per common share the recent quarter were $1.76, compared with $3.37 in the second quarter of 2019 and $1.95 in the first quarter of 2020. For the first six months of 2020, net operating income and diluted net operating earnings per common share were $516 million and $3.71, respectively, compared with $963 million and $6.74, respectively, in the first half of 2019.</w:t>
      </w:r>
    </w:p>
    <w:p>
      <w:pPr>
        <w:spacing w:after="0" w:line="8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20"/>
          <w:szCs w:val="20"/>
          <w:color w:val="auto"/>
        </w:rPr>
        <w:t>Net operating income in the recent quarter expressed as an annualized rate of return on average tangible assets was .74%, compared with 1.68% in the similar quarter of 2019 and .94% in the initial 2020 quarter. Net operating income represented an annualized return on average tangible common equity of 9.04% in the second quarter of 2020, compared with 18.83% and 10.39% for the quarters ended June 30, 2019 and March 31, 2020, respectively. For the first half of 2020, net operating income represented an annualized return on average tanglibe assets and average tanglible common shareholders’ equity of .84% and 9.71%, respectively, compared with 1.72% and 19.19%, respectively, in the corresponding 2019 period.</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Taxable-equivalent net interest income was $961 million in the second quarter of 2020, compared with $1.05 billion in the year-earlier quarter. That decline resulted predominantly from a 78 basis point (hundredths of one percent) narrowing of the net interest margin, or taxable-equivalent net interest income expressed as an annualized percentage of average earning assets, to 3.13% in the recent quarter from 3.91% in the second quarter of 2019. The narrowing of the net interest margin was largely the result of declines in rates on loans and deposits at the Federal Reserve Bank of New York, reflecting the lower interest rate environment due to actions initiated by the Federal Reserve to decrease its target Federal funds rate three times in the second half of 2019 (each by a .25% increment) and twice in March of 2020 (first by .50%, than another by 1.0%). The impact of the recent quarter’s lower net interest margin on net interest income was partially offset by an increase in average earning assets of $16.0 billion from the year-earlier quarter.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4" w:name="page55"/>
    <w:bookmarkEnd w:id="54"/>
    <w:p>
      <w:pPr>
        <w:jc w:val="both"/>
        <w:spacing w:after="0" w:line="262" w:lineRule="auto"/>
        <w:rPr>
          <w:sz w:val="20"/>
          <w:szCs w:val="20"/>
          <w:color w:val="auto"/>
        </w:rPr>
      </w:pPr>
      <w:r>
        <w:rPr>
          <w:rFonts w:ascii="Arial" w:cs="Arial" w:eastAsia="Arial" w:hAnsi="Arial"/>
          <w:sz w:val="20"/>
          <w:szCs w:val="20"/>
          <w:color w:val="auto"/>
        </w:rPr>
        <w:t>Taxable-equivalent net interest income in the recent quarter declined $20 million, or 2%, from the first quarter of 2020 primarily driven by a 52 basis point narrowing of the net interest margin from 3.65% in the prior quarter, partially offset by a $15.3 billion rise in average earning assets. The increase in average earning assets in the recent quarter as compared with the second quarter of 2019 and the initial quarter of 2020 resulted from higher average balances of loans and leases and interest-bearing deposits at the Federal Reserve Bank of New York, partially offset by lower average investment securities balances.</w:t>
      </w:r>
    </w:p>
    <w:p>
      <w:pPr>
        <w:spacing w:after="0" w:line="6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20"/>
          <w:szCs w:val="20"/>
          <w:color w:val="auto"/>
        </w:rPr>
        <w:t>For the first six months of 2020, taxable-equivalent net interest income was $1.94 billion, down 8% from $2.10 billion in the corresponding 2019 period. That decrease was primarily attributable to a 60 basis point narrowing of the margin to 3.37% in the 2020 period from 3.97% in the year-earlier period, partially offset by a $9.1 billion increase in average earning assets.</w:t>
      </w:r>
    </w:p>
    <w:p>
      <w:pPr>
        <w:spacing w:after="0" w:line="58"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Average loans and leases totaled $97.8 billion in the second quarter of 2020, up $8.6 billion or 10% from $89.2 billion in the similar quarter of 2019. Commercial loans and leases averaged $29.7 billion in the second quarter of 2020, $6.4 billion or 27% higher than in the year-earlier quarter. That increase was predominantly the result of average outstanding PPP loans of $4.8 billion that were funded in the recent quarter. Average commercial real estate loans were $36.9 billion in the recent quarter, up $2.2 billion, or 6%, from $34.8 billion in the similar 2019 quarter. Included in average commercial real estate loans in the second quarters of 2020 and 2019 were loans held for sale of $287 million and $245 million, respectively. Reflecting ongoing repayments of loans obtained in a 2015 acquisition, average residential real estate loans declined $1.1 billion or 7% to $15.6 billion in the second quarter of 2020 from $16.7 billion in the year-earlier quarter. Included in average residential real estate loans were loans held for sale of $406 million in the recent quarter and $227 million in the second quarter of 2019. Consumer loans averaged $15.5 billion in the second quarter of 2020, up $1.2 billion, or 8%, from $14.3 billion in the year-earlier quarter, due to growth in average recreational finance loans (consisting predominantly of loans secured by recreational vehicles and boats) and, to a lesser extent, automobile loans that was partially offset by declines in outstanding balances of home equity loans and lines of credit.</w:t>
      </w:r>
    </w:p>
    <w:p>
      <w:pPr>
        <w:spacing w:after="0" w:line="64"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Average loan and lease balances in the second quarter of 2020 increased $6.1 billion, or 7%, from $91.7 billion in the first quarter of 2020. Commercial loan and lease average balances in the recent quarter were up $5.4 billion, or 22%, from $24.3 billion in the first quarter of 2020. That rise resulted predominantly from average loan balances associated with the PPP loans originated during 2020’s second quarter. Average commercial real estate loans in the second quarter of 2020 increased $914 million, or 3%, from $36.0 billion in the first quarter of 2020. Commercial real estate loans held for sale averaged $185 million in the first quarter of 2020. Average balances of residential real estate loans in the recently completed quarter declined $332 million, or 2%, from $15.9 billion in 2020’s first quarter, reflecting the continued pay down of loans obtained in the 2015 acquisition. Residential real estate loans held for sale averaged $409 million in the first quarter of 2020. Average consumer loans in the recent quarter increased $67 million from $15.5 billion in 2020’s first quarter. The accompanying table summarizes quarterly changes in the major components of the loan and lease portfolio.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Percent Increase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2nd Qtr.</w:t>
            </w: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(Decrease) from</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2nd Qtr.</w:t>
            </w:r>
          </w:p>
        </w:tc>
        <w:tc>
          <w:tcPr>
            <w:tcW w:w="220" w:type="dxa"/>
            <w:vAlign w:val="bottom"/>
          </w:tcPr>
          <w:p>
            <w:pPr>
              <w:spacing w:after="0"/>
              <w:rPr>
                <w:sz w:val="12"/>
                <w:szCs w:val="12"/>
                <w:color w:val="auto"/>
              </w:rPr>
            </w:pPr>
          </w:p>
        </w:tc>
        <w:tc>
          <w:tcPr>
            <w:tcW w:w="760" w:type="dxa"/>
            <w:vAlign w:val="bottom"/>
          </w:tcPr>
          <w:p>
            <w:pPr>
              <w:jc w:val="right"/>
              <w:ind w:right="73"/>
              <w:spacing w:after="0" w:line="147" w:lineRule="exact"/>
              <w:rPr>
                <w:sz w:val="20"/>
                <w:szCs w:val="20"/>
                <w:color w:val="auto"/>
              </w:rPr>
            </w:pPr>
            <w:r>
              <w:rPr>
                <w:rFonts w:ascii="Arial" w:cs="Arial" w:eastAsia="Arial" w:hAnsi="Arial"/>
                <w:sz w:val="14"/>
                <w:szCs w:val="14"/>
                <w:b w:val="1"/>
                <w:bCs w:val="1"/>
                <w:color w:val="auto"/>
              </w:rPr>
              <w:t>1st Qtr.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6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36,947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15,599</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Recreational finance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4,297</w:t>
            </w: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consumer</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15,518</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ind w:left="7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97,797</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For the first six months of 2020, average loans and leases totaled $94.8 billion, up 7%, from $88.8 billion in the corresponding 2019 period. Contributing to the rise were a $3.8 billion increase in average commercial loan and lease balances (due largely to PPP loans), a $1.8 billion increase in average commercial real eastate loans and a $1.3 billion increase in average consumer loan balances, partially offset by a $1.1 billion decline in average residential real estate loan balances.</w:t>
      </w:r>
    </w:p>
    <w:p>
      <w:pPr>
        <w:spacing w:after="0" w:line="4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The investment securities portfolio averaged $8.5 billion in the second quarter of 2020, down $3.7 billion, or 30%, from $12.2 billion in the year-earlier quarter and $602 million lower than the $9.1 billion averaged in the first quarter of 2020. For the first six months of 2020 and 2019, investment securities averaged $8.8 billion and $12.6 billion, respectively. The lower average balances in the recent periods reflect maturities of U.S. Treasury notes and pay downs of mortgage-backed securities. There were no significant sales of investment securities during the first six months of 2020 or 2019. During the first quarter of 2019, the Company purchased $500 million of U.S. Treasury notes. There were no other significant purchases of investment securities during the first six months of 2020 or 2019. The Company routinely has increases and decreases in its holdings of capital stock of the Federal Home Loan Bank of New York and the Federal Reserve Bank of New York. Those holdings are accounted for at cost and are adjusted based on amounts of outstanding borrowings and available lines of credit with those entities.</w:t>
      </w:r>
    </w:p>
    <w:p>
      <w:pPr>
        <w:spacing w:after="0" w:line="58"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The investment securities portfolio is predominantly comprised of residential mortgage-backed securities, short term U.S. Treasury and federal agency notes, and certain other debt and marketable equity securities. Investment securities also include capital stock of the Federal Home Loan Bank of New York and the Federal Reserve Bank of New York.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amounts of investment securities held by the Company are influenced by factors such as demand for loans, which generally yield more than investment securities and other earning assets, ongoing repayments, the levels of deposits, and management of liquidity and balance sheet size and resulting capital ratios.</w:t>
      </w:r>
    </w:p>
    <w:p>
      <w:pPr>
        <w:spacing w:after="0" w:line="7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Fair value changes in equity securities with readily determinable fair values are recognized in the consolidated statement of income. Net unrealized gains on such equity securities were $7 million in the recent quarter, compared with net unrealized gains of $9 million in the second quarter of 2019 and net unrealized losses of $21 million in the initial 2020 quarter. Net unrealized losses on equity securities were $14 million during the first six months of 2020, compared with net unrealized gains of $21 million in the prior year period. Those gains and losses were predominantly related to the Company’s holdings of Fannie Mae and Freddie Mac preferred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6" w:name="page57"/>
    <w:bookmarkEnd w:id="56"/>
    <w:p>
      <w:pPr>
        <w:jc w:val="both"/>
        <w:ind w:firstLine="510"/>
        <w:spacing w:after="0" w:line="246" w:lineRule="auto"/>
        <w:rPr>
          <w:sz w:val="20"/>
          <w:szCs w:val="20"/>
          <w:color w:val="auto"/>
        </w:rPr>
      </w:pPr>
      <w:r>
        <w:rPr>
          <w:rFonts w:ascii="Arial" w:cs="Arial" w:eastAsia="Arial" w:hAnsi="Arial"/>
          <w:sz w:val="21"/>
          <w:szCs w:val="21"/>
          <w:color w:val="auto"/>
        </w:rPr>
        <w:t>The Company regularly reviews its debt investment securities for declines in value below amortized cost that might be indicative of credit-related losses. In light of such reviews, there were no credit-related losses on debt investment securities recognized in either of the six-month periods ended June 30, 2020 or 2019. Based on management’s assessment of future cash flows associated with individual investment securities as of June 30, 2020, the Company did not expect to incur any material credit-related losses in its portfolios of debt investment securities. Additional information about the investment securities portfolio is included in notes 2 and 11 of Notes to Financial Statements.</w:t>
      </w:r>
    </w:p>
    <w:p>
      <w:pPr>
        <w:spacing w:after="0" w:line="8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9"/>
          <w:szCs w:val="19"/>
          <w:color w:val="auto"/>
        </w:rPr>
        <w:t>Other earning assets include interest-bearing deposits at the Federal Reserve Bank of New York and other banks, trading account assets, federal funds sold and agreements to resell securities. Those other earning assets in the aggregate averaged $17.2 billion in the second quarter of 2020, compared with $6.2 billion in the year-earlier quarter and $7.4 billion in the first quarter of 2020. Interest-bearing deposits at banks averaged $16.5 billion for the three months ended June 30, 2020 and $6.1 billion for each of the three-month periods ended June 30, 2019 and March 31, 2020. The amounts of interest-bearing deposits at banks at the respective dates were predominantly comprised of deposits held at the Federal Reserve Bank of New York. The levels of those deposits often fluctuate due to changes in trust-related deposits and other deposits of commercial entities, purchases or maturities of investment securities, or borrowings to manage the Company’s liquidity. The higher amount at June 30, 2020 as compared with the earlier dates noted reflects the impact of increased commercial and consumer deposit balances.</w:t>
      </w:r>
    </w:p>
    <w:p>
      <w:pPr>
        <w:spacing w:after="0" w:line="58"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As a result of the changes described herein, average earning assets totaled $123.5 billion in the most recent quarter, compared with $107.5 billion in the second quarter of 2019 and $108.2 billion in the initial 2020 quarter. Average earning assets totaled $115.9 billion and $106.8 billion during the first six months of 2020 and 2019, respectively.</w:t>
      </w:r>
    </w:p>
    <w:p>
      <w:pPr>
        <w:spacing w:after="0" w:line="76"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$106.1 billion in the second quarter of 2020, compared with $86.2 billion in the similar 2019 quarter and $90.9 billion in the first quarter of 2020. The increase in average core deposits in the recent quarter as compared with the second quarter of 2019 and 2020’s initial quarter reflected higher balances of noninterest-bearing deposits and savings and interest-checking deposits. Average balances of savings and interest-checking core deposits rose $8.2 billion or 16% to $59.0 billion in the second 2020 quarter from $50.8 billion in the year-earlier quarter. Average noninterest-bearing deposits increased $12.4 billion or 41% to $42.5 billion in the recent quarter from $30.1 billion in the second 2019 quarter. Those increases were largely due to higher average deposits of commercial customers, but also reflect higher levels of consumer deposits and deposits associated with residential mortgage servicing activities. In late March 2020, commercial customers drew down available lines of credit for liquidity purposes. A large portion of those funds were placed in customer deposit accounts at M&amp;T Bank. By the end of the second quarter, a significant portion of those line advances had been repaid by customers. Average core deposits were $90.9 billion in the first quarter of 2020. Average savings and interest-checking core deposits increased $5.3 billion or 10% in the second 2020 quarter from $53.6 billion in the immediately preceding quarter. Average noninterest-bearing deposits in the recent quarter were $10.0 billion or 31% above the first quarter 2020 average of $32.5 billion predominantly due to higher deposits of commercial customers. The following table provides an analysis of quarterly changes in the components of average core deposits.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7" w:name="page58"/>
    <w:bookmarkEnd w:id="57"/>
    <w:p>
      <w:pPr>
        <w:spacing w:after="0"/>
        <w:rPr>
          <w:sz w:val="20"/>
          <w:szCs w:val="20"/>
          <w:color w:val="auto"/>
        </w:rPr>
      </w:pPr>
      <w:r>
        <w:rPr>
          <w:rFonts w:ascii="Arial" w:cs="Arial" w:eastAsia="Arial" w:hAnsi="Arial"/>
          <w:sz w:val="21"/>
          <w:szCs w:val="21"/>
          <w:color w:val="auto"/>
        </w:rPr>
        <w:t>AVERAGE CORE DEPOSITS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jc w:val="right"/>
              <w:ind w:right="650"/>
              <w:spacing w:after="0"/>
              <w:rPr>
                <w:sz w:val="20"/>
                <w:szCs w:val="20"/>
                <w:color w:val="auto"/>
              </w:rPr>
            </w:pPr>
            <w:r>
              <w:rPr>
                <w:rFonts w:ascii="Arial" w:cs="Arial" w:eastAsia="Arial" w:hAnsi="Arial"/>
                <w:sz w:val="14"/>
                <w:szCs w:val="14"/>
                <w:b w:val="1"/>
                <w:bCs w:val="1"/>
                <w:color w:val="auto"/>
              </w:rPr>
              <w:t>Percent Increase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2nd Qtr.</w:t>
            </w:r>
          </w:p>
        </w:tc>
        <w:tc>
          <w:tcPr>
            <w:tcW w:w="22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tcBorders>
              <w:top w:val="single" w:sz="8" w:color="auto"/>
            </w:tcBorders>
            <w:gridSpan w:val="2"/>
          </w:tcPr>
          <w:p>
            <w:pPr>
              <w:jc w:val="right"/>
              <w:ind w:right="240"/>
              <w:spacing w:after="0" w:line="147" w:lineRule="exact"/>
              <w:rPr>
                <w:sz w:val="20"/>
                <w:szCs w:val="20"/>
                <w:color w:val="auto"/>
              </w:rPr>
            </w:pPr>
            <w:r>
              <w:rPr>
                <w:rFonts w:ascii="Arial" w:cs="Arial" w:eastAsia="Arial" w:hAnsi="Arial"/>
                <w:sz w:val="14"/>
                <w:szCs w:val="14"/>
                <w:b w:val="1"/>
                <w:bCs w:val="1"/>
                <w:color w:val="auto"/>
              </w:rPr>
              <w:t>2nd Qtr.</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96"/>
              <w:spacing w:after="0" w:line="147" w:lineRule="exact"/>
              <w:rPr>
                <w:sz w:val="20"/>
                <w:szCs w:val="20"/>
                <w:color w:val="auto"/>
              </w:rPr>
            </w:pPr>
            <w:r>
              <w:rPr>
                <w:rFonts w:ascii="Arial" w:cs="Arial" w:eastAsia="Arial" w:hAnsi="Arial"/>
                <w:sz w:val="14"/>
                <w:szCs w:val="14"/>
                <w:b w:val="1"/>
                <w:bCs w:val="1"/>
                <w:color w:val="auto"/>
              </w:rPr>
              <w:t>1st Qtr.</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240" w:type="dxa"/>
            <w:vAlign w:val="bottom"/>
          </w:tcPr>
          <w:p>
            <w:pPr>
              <w:spacing w:after="0"/>
              <w:rPr>
                <w:sz w:val="20"/>
                <w:szCs w:val="20"/>
                <w:color w:val="auto"/>
              </w:rPr>
            </w:pPr>
          </w:p>
        </w:tc>
        <w:tc>
          <w:tcPr>
            <w:tcW w:w="2540" w:type="dxa"/>
            <w:vAlign w:val="bottom"/>
            <w:gridSpan w:val="4"/>
          </w:tcPr>
          <w:p>
            <w:pPr>
              <w:ind w:left="142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240" w:type="dxa"/>
            <w:vAlign w:val="bottom"/>
          </w:tcPr>
          <w:p>
            <w:pPr>
              <w:spacing w:after="0"/>
              <w:rPr>
                <w:sz w:val="20"/>
                <w:szCs w:val="20"/>
                <w:color w:val="auto"/>
              </w:rPr>
            </w:pPr>
            <w:r>
              <w:rPr>
                <w:rFonts w:ascii="Arial" w:cs="Arial" w:eastAsia="Arial" w:hAnsi="Arial"/>
                <w:sz w:val="18"/>
                <w:szCs w:val="18"/>
                <w:color w:val="auto"/>
              </w:rPr>
              <w:t>Savings and interest-checking deposits</w:t>
            </w:r>
          </w:p>
        </w:tc>
        <w:tc>
          <w:tcPr>
            <w:tcW w:w="1540" w:type="dxa"/>
            <w:vAlign w:val="bottom"/>
            <w:gridSpan w:val="2"/>
          </w:tcPr>
          <w:p>
            <w:pPr>
              <w:ind w:left="142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58,955</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Time deposits</w:t>
            </w: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4,621</w:t>
            </w: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Noninterest-bearing deposits</w:t>
            </w:r>
          </w:p>
        </w:tc>
        <w:tc>
          <w:tcPr>
            <w:tcW w:w="14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42,497</w:t>
            </w:r>
          </w:p>
        </w:tc>
        <w:tc>
          <w:tcPr>
            <w:tcW w:w="2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106,073</w:t>
            </w:r>
          </w:p>
        </w:tc>
        <w:tc>
          <w:tcPr>
            <w:tcW w:w="2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$733 million in the recent quarter, compared with $1.2 billion in the second quarter of 2019 and $872 million in the initial 2020 quarter. The decreases in such deposits since the second quarter of 2019 were predominantly the result of maturities of higher-rate time deposits. Cayman Islands office deposits averaged $1.0 billion, $1.2 billion and $1.7 billion for the quarters ended June 30, 2020, June 30, 2019 and March 31, 2020, respectively. The decrease in such deposits in the recent quarter as compared with the second quarter of 2019 and the first quarter of 2020 reflected customer reaction to the declines in short-term interest rates that followed actions by the Federal Reserve in March 2020. The Company had brokered savings and interest-bearing transaction accounts, which in the aggregate averaged $4.0 billion during the recent quarter, compared with $2.7 billion in each of the second quarter of 2019 and the first quarter of 2020. The amounts of Cayman Islands office deposits or brokered deposits is largely dependent on demand by customers and other investors for those types of deposit products.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58" w:name="page59"/>
    <w:bookmarkEnd w:id="58"/>
    <w:p>
      <w:pPr>
        <w:ind w:right="160" w:firstLine="749"/>
        <w:spacing w:after="0" w:line="305" w:lineRule="auto"/>
        <w:rPr>
          <w:sz w:val="20"/>
          <w:szCs w:val="20"/>
          <w:color w:val="auto"/>
        </w:rPr>
      </w:pPr>
      <w:r>
        <w:rPr>
          <w:rFonts w:ascii="Arial" w:cs="Arial" w:eastAsia="Arial" w:hAnsi="Arial"/>
          <w:sz w:val="21"/>
          <w:szCs w:val="21"/>
          <w:color w:val="auto"/>
        </w:rPr>
        <w:t>The table below summarizes average total deposits for the quarters ended June 30, 2020, March 31, 2020 and June 30, 2019. AVERAGE DEPOSITS</w:t>
      </w:r>
    </w:p>
    <w:tbl>
      <w:tblPr>
        <w:tblLayout w:type="fixed"/>
        <w:tblInd w:w="0" w:type="dxa"/>
        <w:tblCellMar>
          <w:top w:w="0" w:type="dxa"/>
          <w:left w:w="0" w:type="dxa"/>
          <w:bottom w:w="0" w:type="dxa"/>
          <w:right w:w="0" w:type="dxa"/>
        </w:tblCellMar>
      </w:tblPr>
      <w:tr>
        <w:trPr>
          <w:trHeight w:val="133"/>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9"/>
              </w:rPr>
              <w:t>Retail</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72"/>
              <w:spacing w:after="0" w:line="133" w:lineRule="exact"/>
              <w:rPr>
                <w:sz w:val="20"/>
                <w:szCs w:val="20"/>
                <w:color w:val="auto"/>
              </w:rPr>
            </w:pPr>
            <w:r>
              <w:rPr>
                <w:rFonts w:ascii="Arial" w:cs="Arial" w:eastAsia="Arial" w:hAnsi="Arial"/>
                <w:sz w:val="14"/>
                <w:szCs w:val="14"/>
                <w:b w:val="1"/>
                <w:bCs w:val="1"/>
                <w:color w:val="auto"/>
                <w:w w:val="97"/>
              </w:rPr>
              <w:t>Commercial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2020</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28,665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5,524</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10,944</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60,565</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111,795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37,846</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11,313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96,166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June 30, 2019</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w:t>
            </w:r>
          </w:p>
        </w:tc>
        <w:tc>
          <w:tcPr>
            <w:tcW w:w="3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Time deposits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5,839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 at Cayman Islands office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38,283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10,512</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$63 million in the second quarter of 2020, compared with $1.3 billion in the year-earlier quarter and $58 million in the initial 2020 quarter. In general, the higher short-term borrowings in the prior year period were entered into for liquidity management purposes.</w:t>
      </w:r>
    </w:p>
    <w:p>
      <w:pPr>
        <w:spacing w:after="0" w:line="53"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Long-term borrowings averaged $6.2 billion in the two most recent quarters and $8.3 billion in the second quarter of 2019. Average balances of outstanding senior notes were $4.1 billion, $5.5 billion and $4.2 billion during the three months ended June 30, 2020, June 30, 2019 and March 31, 2020, respectively. On January 7, 2020, M&amp;T Bank, the principal bank subsidiary of M&amp;T, redeemed $750 million of fixed rate senior notes that were due to mature on February 6, 2020. In addition, M&amp;T Bank redeemed $750 million of fixed rate senior notes in July 2020 that were due to mature on August 17, 2020. Subordinated capital notes included in long-term borrowings averaged $1.4 billion in each of the three-month periods ended June 30, 2020, June 30, 2019 and March 31, 2020. Junior subordinated debentures associated with trust preferred securities that were included in average long-term borrowings were $526 million, $523 million and $525 million during the second quarters of 2020 and 2019 and the initial 2020 quarter, respectively. Additional information regarding junior subordinated debentures is provided in note 4 of Notes to Financial Statements. Long-term borrowings also included agreements to repurchase securities, which averaged $101 million in each of the first two quarters of 2020 and $373 million in the second quarter of 2019. The repurchase agreement held at June 30, 2020 totaled $100 million and matured in July 2020.</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2.98% in the recent quarter, compared with 3.53% in the second quarter of 2019. The yield on earning assets during the second quarter of 2020 was 3.38%, down 126 basis points from 4.64% in the year-earlier period, while the rate paid on interest-bearing liabilities declined 71 basis points to .40% in the recent quarter from 1.11% in the year-earlier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59" w:name="page60"/>
    <w:bookmarkEnd w:id="59"/>
    <w:p>
      <w:pPr>
        <w:jc w:val="both"/>
        <w:spacing w:after="0" w:line="295" w:lineRule="auto"/>
        <w:rPr>
          <w:sz w:val="20"/>
          <w:szCs w:val="20"/>
          <w:color w:val="auto"/>
        </w:rPr>
      </w:pPr>
      <w:r>
        <w:rPr>
          <w:rFonts w:ascii="Arial" w:cs="Arial" w:eastAsia="Arial" w:hAnsi="Arial"/>
          <w:sz w:val="18"/>
          <w:szCs w:val="18"/>
          <w:color w:val="auto"/>
        </w:rPr>
        <w:t>period. In the first quarter of 2020, the net interest spread was 3.35%, the yield on earning assets was 4.18% and the rate paid on interest-bearing liabilities was .83%. The narrowing of the net interest spread in the recent quarter as compared with the corresponding 2019 period and the initial quarter of 2020 reflects the impact of the decreases in short-term interest rates initiated by the Federal Reserve during the second half of 2019 and in March 2020. For the first six months of 2020, the net interest spread was 3.15%, down 45 basis points from 3.60% in the year-earlier period. The yield on earning assets and the rate paid on interest-bearing liabilities for the first half of 2020 were 3.75% and .60%, respectively, compared with 4.68% and 1.08% respectively, in the initial six months of 2019.</w:t>
      </w:r>
    </w:p>
    <w:p>
      <w:pPr>
        <w:spacing w:after="0" w:line="39"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$47.9 billion in the second quarter of 2020, compared with $36.7 billion in the year-earlier quarter and $38.2 billion in the initial 2020 quarter. The increase in average net interest-free funds in the most recent quarter as compared with the prior periods reflects higher average balances of noninterest-bearing deposits. Those deposits averaged $42.5 billion, $30.1 billion and $32.5 billion in the quarters ended June 30, 2020, June 30, 2019 and March 31, 2020, respectively. The rise in such balances in the recent quarter as compared with the earlier periods was largely due to increased levels of deposits of commercial customers. During the first six months of 2020 and 2019, average net interest-free funds aggregated $43.1 billion and $36.9 billion, respectively. Shareholders’ equity averaged $16.0 billion, during the three-month period ended June 30, 2020, $15.6 billion during the year-earlier period and $15.7 billion during the initial 2020 quarter. Goodwill and core deposit and other intangible assets averaged $4.6 billion in each of the two most recent quarters and in the quarter ended June 30, 2019. The cash surrender value of bank owned life insurance averaged $1.8 billion in each of the three-month periods ended June 30, 2020, June 30, 2019 and March 31, 2020. Increases in the cash surrender value of bank owned life insurance and benefits received are not included in interest income, but rather are recorded in “other revenues from operations.” The contribution of net interest-free funds to net interest margin was .15% in the second quarter of 2020, compared with .38% and .30% in the second quarter of 2019 and the first quarter of 2020, respectively. The reduced contribution of net interest-free funds to net interest margin in the two most recent quarters as compared with the second quarter of 2019 reflects the lower rates on interest-bearing liabilities used to value net interest-free funds. The contribution of net interest-free funds in the first half of 2020 and 2019 was .22% and .37%, respectively.</w:t>
      </w:r>
    </w:p>
    <w:p>
      <w:pPr>
        <w:spacing w:after="0" w:line="74"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Reflecting the changes to the net interest spread and the contribution of net interest-free funds as described herein, the Company’s net interest margin was 3.13% in the second quarter of 2020, compared with 3.91% in the year-earlier period and 3.65% in the initial quarter of 2020. During the first six months of 2020 and 2019, the net interest margin was 3.37% and 3.97%,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81"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$16.4 billion (excluding $40.9 billion of forward-starting swap agreements) at June 30, 2020, $17.8 billion (excluding $21.4 billion of forward-starting swap agreements) at June 30, 2019 and $17.2 billion (excluding $40.4 billion of forward-starting swap agreements) at December 31, 2019. Under the terms of those interest rate swap agreements, the Company received payments based on the outstanding notional amount at fixed rates and made payments at variable rates. Interest rate swap agreements with notional amounts of $13.35 billion that were in effect at each of June 30, 2020, June 30, 2019 and December 31, 2019 were serving as cash flow hedges of interest payments associated with variable rate commercial real estate loans. At June 30, 2020, June 30, 2019 and December 31, 2019, interest rate swap agreements with notional amounts of $3.05 billion, $4.45 billion and $3.80 billion, respectively, were serving as fair value hedges of fixed rate long-term borrowings. The Company has entered into forward-starting interest rate swap agreements predominantly to extend the term of its interest rate swap agreements serving as cash flow hedges, and provide a hedge against changing interest rates on certain of its variable rate loans.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0" w:name="page61"/>
    <w:bookmarkEnd w:id="60"/>
    <w:p>
      <w:pPr>
        <w:jc w:val="both"/>
        <w:ind w:firstLine="510"/>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June 30, 2020, June 30, 2019 and March 31, 2020 were not material to the Company’s consolidated results of operations. Information regarding the fair value of interest rate swap agreements and hedge ineffectiveness is presented in note 9 of Notes to Financial Statements. The changes in the fair values of the interest rate swap agreements and the hedged items primarily result from the effects of changing interest rates and spreads.</w:t>
      </w:r>
    </w:p>
    <w:p>
      <w:pPr>
        <w:spacing w:after="0" w:line="6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The weighted-average rates to be received and paid under interest rate swap agreements currently in effect were 2.56% and .28%, respectively, at June 30, 2020.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ind w:left="24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720"/>
              <w:spacing w:after="0" w:line="155"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Rate(a)</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b w:val="1"/>
                <w:bCs w:val="1"/>
                <w:color w:val="auto"/>
              </w:rPr>
              <w:t>Rate(a)</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(4,551)</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(12,181)</w:t>
            </w:r>
          </w:p>
        </w:tc>
        <w:tc>
          <w:tcPr>
            <w:tcW w:w="3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interest income/margin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81,334</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(10,894)</w:t>
            </w:r>
          </w:p>
        </w:tc>
        <w:tc>
          <w:tcPr>
            <w:tcW w:w="44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 (c)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16,400,000</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17,800,000</w:t>
            </w:r>
          </w:p>
        </w:tc>
        <w:tc>
          <w:tcPr>
            <w:tcW w:w="4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2.37</w:t>
            </w:r>
          </w:p>
        </w:tc>
        <w:tc>
          <w:tcPr>
            <w:tcW w:w="4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5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Rate paid (b)</w:t>
            </w:r>
          </w:p>
        </w:tc>
        <w:tc>
          <w:tcPr>
            <w:tcW w:w="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4"/>
                <w:szCs w:val="14"/>
                <w:b w:val="1"/>
                <w:bCs w:val="1"/>
                <w:color w:val="auto"/>
                <w:w w:val="92"/>
              </w:rPr>
              <w:t>Six Months Ended June 30</w:t>
            </w:r>
          </w:p>
        </w:tc>
        <w:tc>
          <w:tcPr>
            <w:tcW w:w="6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Rate(a)</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Rate(a)</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gridSpan w:val="7"/>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0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(11,176)</w:t>
            </w:r>
          </w:p>
        </w:tc>
        <w:tc>
          <w:tcPr>
            <w:tcW w:w="11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50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(15,946)</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12,728</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117,140</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top w:val="single" w:sz="8" w:color="CFF0FC"/>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(23,904)</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46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Average notional amount (c)</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FF0FC"/>
            </w:tcBorders>
            <w:vMerge w:val="continue"/>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16,525,275</w:t>
            </w: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620" w:type="dxa"/>
            <w:vAlign w:val="bottom"/>
            <w:tcBorders>
              <w:top w:val="single" w:sz="8" w:color="auto"/>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15,245,580</w:t>
            </w:r>
          </w:p>
        </w:tc>
        <w:tc>
          <w:tcPr>
            <w:tcW w:w="44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Rate paid (b)</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9" w:lineRule="exact"/>
        <w:rPr>
          <w:rFonts w:ascii="Arial" w:cs="Arial" w:eastAsia="Arial" w:hAnsi="Arial"/>
          <w:sz w:val="18"/>
          <w:szCs w:val="18"/>
          <w:i w:val="1"/>
          <w:iCs w:val="1"/>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forward-starting interest rate swap agreements not in effect during the period.</w:t>
      </w:r>
    </w:p>
    <w:p>
      <w:pPr>
        <w:spacing w:after="0" w:line="210" w:lineRule="exact"/>
        <w:rPr>
          <w:rFonts w:ascii="Arial" w:cs="Arial" w:eastAsia="Arial" w:hAnsi="Arial"/>
          <w:sz w:val="18"/>
          <w:szCs w:val="18"/>
          <w:i w:val="1"/>
          <w:iCs w:val="1"/>
          <w:color w:val="auto"/>
        </w:rPr>
      </w:pPr>
    </w:p>
    <w:p>
      <w:pPr>
        <w:ind w:left="5540" w:hanging="111"/>
        <w:spacing w:after="0"/>
        <w:tabs>
          <w:tab w:leader="none" w:pos="5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1" w:name="page62"/>
    <w:bookmarkEnd w:id="61"/>
    <w:p>
      <w:pPr>
        <w:jc w:val="both"/>
        <w:ind w:firstLine="510"/>
        <w:spacing w:after="0" w:line="283" w:lineRule="auto"/>
        <w:rPr>
          <w:sz w:val="20"/>
          <w:szCs w:val="20"/>
          <w:color w:val="auto"/>
        </w:rPr>
      </w:pPr>
      <w:r>
        <w:rPr>
          <w:rFonts w:ascii="Arial" w:cs="Arial" w:eastAsia="Arial" w:hAnsi="Arial"/>
          <w:sz w:val="19"/>
          <w:szCs w:val="19"/>
          <w:color w:val="auto"/>
        </w:rPr>
        <w:t>In addition to interest rate swap agreements, the Company had entered into interest rate floor agreements that were accounted for in the trading account rather than as hedging instruments but, nevertheless, provided the Company with protection against the possibility of future declines in interest rates on earning assets. At each of June 30, 2019 and December 31, 2019, outstanding notional amounts of such agreements totaled $15.6 billion. The interest rate floor agreements matured during the first quarter of 2020.</w:t>
      </w:r>
    </w:p>
    <w:p>
      <w:pPr>
        <w:spacing w:after="0" w:line="49"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Core deposits represent the most significant source of funding for the Company and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Cayman Islands office deposits and longer-term borrowings. M&amp;T Bank has access to additional funding sources through borrowings from the FHLB of New York, lines of credit with the Federal Reserve Bank of New York, M&amp;T Bank’s Bank Note Program, and other available borrowing facilities. The Bank Note Program enables M&amp;T Bank to offer unsecured senior and subordinated notes. The Company has, from time to time, also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June 30, 2020 and December 31, 2019, long-term borrowings aggregated $6.3 billion and $7.0 billion, respectively.</w:t>
      </w:r>
    </w:p>
    <w:p>
      <w:pPr>
        <w:spacing w:after="0" w:line="6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Short-term federal funds borrowings outstanding were $3.2 billion at June 30, 2019. There were no such borrowings outstanding at June 30, 2020 or December 31, 2019. In general, those borrowings were unsecured, matured on the next business day and were entered into for liquidity management purposes. While predominantly used to satisfy customer demand, Cayman Islands office deposits may also be used by the Company as an alternative to short-term borrowings. Cayman Islands office deposits totaled $868 million at June 30, 2020, $1.4 billion at June 30, 2019 and $1.7 billion at December 31, 2019. The Company has also benefited from the placement of brokered deposits. The Company had brokered savings and interest-bearing checking deposit accounts which aggregated approximately $4.0 billion at June 30, 2020, $2.7 billion at June 30, 2019 and $2.8 billion at December 31, 2019. Brokered time deposits were not a significant source of funding as of those dates.</w:t>
      </w:r>
    </w:p>
    <w:p>
      <w:pPr>
        <w:spacing w:after="0" w:line="74"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impact by performing stress tests that assess the effect on liquidity resulting from various levels of internal and external stress factors. The liquidity impact of such events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2" w:name="page63"/>
    <w:bookmarkEnd w:id="62"/>
    <w:p>
      <w:pPr>
        <w:jc w:val="both"/>
        <w:ind w:firstLine="510"/>
        <w:spacing w:after="0" w:line="258" w:lineRule="auto"/>
        <w:rPr>
          <w:sz w:val="20"/>
          <w:szCs w:val="20"/>
          <w:color w:val="auto"/>
        </w:rPr>
      </w:pPr>
      <w:r>
        <w:rPr>
          <w:rFonts w:ascii="Arial" w:cs="Arial" w:eastAsia="Arial" w:hAnsi="Arial"/>
          <w:sz w:val="20"/>
          <w:szCs w:val="20"/>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June 30, 2020 or December 31, 2019. The total amounts of VRDBs outstanding backed by M&amp;T Bank letters of credit were $861 million at June 30, 2020, compared with $847 million at June 30, 2019 and $857 million at December 31, 2019. M&amp;T Bank also serves as remarketing agent for most of those bonds.</w:t>
      </w:r>
    </w:p>
    <w:p>
      <w:pPr>
        <w:spacing w:after="0" w:line="74"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53"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2020 approximately $634 million was available for payment of dividends to M&amp;T from bank subsidiaries. M&amp;T also may obtain funding through long-term borrowings. Outstanding senior notes of M&amp;T at June 30, 2020 and December 31, 2019 were $790 million and $770 million, respectively. Junior subordinated debentures of M&amp;T associated with trust preferred securities outstanding at June 30, 2020 and December 31, 2019 totaled $527 million and $525 million, respectively.</w:t>
      </w:r>
    </w:p>
    <w:p>
      <w:pPr>
        <w:spacing w:after="0" w:line="57"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Management closely monitors the Company’s liquidity position on an ongoing basis for compliance with internal policies and believes that available sources of liquidity are adequate to meet anticipated funding needs.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78"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2020, the aggregate notional amount of interest rate swap agreements entered into for risk management purposes that were currently in effect was $16.4 billion. In addition, the Company has entered into $40.9 billion of forward-starting interest rate swap agreements.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3" w:name="page64"/>
    <w:bookmarkEnd w:id="63"/>
    <w:p>
      <w:pPr>
        <w:jc w:val="both"/>
        <w:ind w:firstLine="510"/>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7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accompanying table as of June 30, 2020 and December 31, 2019 displays the estimated impact on net interest income in the base scenario described above resulting from parallel changes in interest rates across repricing categories during the first modeling year.</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tbl>
      <w:tblPr>
        <w:tblLayout w:type="fixed"/>
        <w:tblInd w:w="0" w:type="dxa"/>
        <w:tblCellMar>
          <w:top w:w="0" w:type="dxa"/>
          <w:left w:w="0" w:type="dxa"/>
          <w:bottom w:w="0" w:type="dxa"/>
          <w:right w:w="0" w:type="dxa"/>
        </w:tblCellMar>
      </w:tblPr>
      <w:tr>
        <w:trPr>
          <w:trHeight w:val="136"/>
        </w:trPr>
        <w:tc>
          <w:tcPr>
            <w:tcW w:w="15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60" w:type="dxa"/>
            <w:vAlign w:val="bottom"/>
            <w:gridSpan w:val="3"/>
          </w:tcPr>
          <w:p>
            <w:pPr>
              <w:jc w:val="center"/>
              <w:ind w:right="280"/>
              <w:spacing w:after="0" w:line="137" w:lineRule="exact"/>
              <w:rPr>
                <w:sz w:val="20"/>
                <w:szCs w:val="20"/>
                <w:color w:val="auto"/>
              </w:rPr>
            </w:pPr>
            <w:r>
              <w:rPr>
                <w:rFonts w:ascii="Arial" w:cs="Arial" w:eastAsia="Arial" w:hAnsi="Arial"/>
                <w:sz w:val="14"/>
                <w:szCs w:val="14"/>
                <w:b w:val="1"/>
                <w:bCs w:val="1"/>
                <w:color w:val="auto"/>
                <w:w w:val="91"/>
              </w:rPr>
              <w:t>Calculated Increase (Decrease)</w:t>
            </w:r>
          </w:p>
        </w:tc>
      </w:tr>
      <w:tr>
        <w:trPr>
          <w:trHeight w:val="171"/>
        </w:trPr>
        <w:tc>
          <w:tcPr>
            <w:tcW w:w="15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jc w:val="center"/>
              <w:ind w:right="135"/>
              <w:spacing w:after="0"/>
              <w:rPr>
                <w:sz w:val="20"/>
                <w:szCs w:val="20"/>
                <w:color w:val="auto"/>
              </w:rPr>
            </w:pPr>
            <w:r>
              <w:rPr>
                <w:rFonts w:ascii="Arial" w:cs="Arial" w:eastAsia="Arial" w:hAnsi="Arial"/>
                <w:sz w:val="14"/>
                <w:szCs w:val="14"/>
                <w:b w:val="1"/>
                <w:bCs w:val="1"/>
                <w:color w:val="auto"/>
                <w:w w:val="93"/>
              </w:rPr>
              <w:t>in Projected Net Interest Income</w:t>
            </w:r>
          </w:p>
        </w:tc>
        <w:tc>
          <w:tcPr>
            <w:tcW w:w="80" w:type="dxa"/>
            <w:vAlign w:val="bottom"/>
          </w:tcPr>
          <w:p>
            <w:pPr>
              <w:spacing w:after="0"/>
              <w:rPr>
                <w:sz w:val="14"/>
                <w:szCs w:val="14"/>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Changes in interest rates</w:t>
            </w:r>
          </w:p>
        </w:tc>
        <w:tc>
          <w:tcPr>
            <w:tcW w:w="200" w:type="dxa"/>
            <w:vAlign w:val="bottom"/>
          </w:tcPr>
          <w:p>
            <w:pPr>
              <w:spacing w:after="0"/>
              <w:rPr>
                <w:sz w:val="18"/>
                <w:szCs w:val="18"/>
                <w:color w:val="auto"/>
              </w:rPr>
            </w:pPr>
          </w:p>
        </w:tc>
        <w:tc>
          <w:tcPr>
            <w:tcW w:w="1500" w:type="dxa"/>
            <w:vAlign w:val="bottom"/>
          </w:tcPr>
          <w:p>
            <w:pPr>
              <w:jc w:val="right"/>
              <w:ind w:right="480"/>
              <w:spacing w:after="0"/>
              <w:rPr>
                <w:sz w:val="20"/>
                <w:szCs w:val="20"/>
                <w:color w:val="auto"/>
              </w:rPr>
            </w:pPr>
            <w:r>
              <w:rPr>
                <w:rFonts w:ascii="Arial" w:cs="Arial" w:eastAsia="Arial" w:hAnsi="Arial"/>
                <w:sz w:val="14"/>
                <w:szCs w:val="14"/>
                <w:b w:val="1"/>
                <w:bCs w:val="1"/>
                <w:color w:val="auto"/>
              </w:rPr>
              <w:t>June 30, 2020</w:t>
            </w: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2019</w:t>
            </w:r>
          </w:p>
        </w:tc>
      </w:tr>
      <w:tr>
        <w:trPr>
          <w:trHeight w:val="186"/>
        </w:trPr>
        <w:tc>
          <w:tcPr>
            <w:tcW w:w="1520" w:type="dxa"/>
            <w:vAlign w:val="bottom"/>
            <w:tcBorders>
              <w:top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2"/>
          </w:tcPr>
          <w:p>
            <w:pPr>
              <w:jc w:val="center"/>
              <w:ind w:right="115"/>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6"/>
                <w:szCs w:val="16"/>
                <w:color w:val="auto"/>
              </w:rPr>
            </w:pPr>
          </w:p>
        </w:tc>
      </w:tr>
      <w:tr>
        <w:trPr>
          <w:trHeight w:val="273"/>
        </w:trPr>
        <w:tc>
          <w:tcPr>
            <w:tcW w:w="152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29"/>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104,628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45,345</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00" w:type="dxa"/>
            <w:vAlign w:val="bottom"/>
          </w:tcPr>
          <w:p>
            <w:pPr>
              <w:spacing w:after="0"/>
              <w:rPr>
                <w:sz w:val="19"/>
                <w:szCs w:val="19"/>
                <w:color w:val="auto"/>
              </w:rPr>
            </w:pPr>
          </w:p>
        </w:tc>
        <w:tc>
          <w:tcPr>
            <w:tcW w:w="1500" w:type="dxa"/>
            <w:vAlign w:val="bottom"/>
          </w:tcPr>
          <w:p>
            <w:pPr>
              <w:jc w:val="right"/>
              <w:ind w:right="200"/>
              <w:spacing w:after="0"/>
              <w:rPr>
                <w:sz w:val="20"/>
                <w:szCs w:val="20"/>
                <w:color w:val="auto"/>
              </w:rPr>
            </w:pPr>
            <w:r>
              <w:rPr>
                <w:rFonts w:ascii="Arial" w:cs="Arial" w:eastAsia="Arial" w:hAnsi="Arial"/>
                <w:sz w:val="18"/>
                <w:szCs w:val="18"/>
                <w:color w:val="auto"/>
              </w:rPr>
              <w:t>68,496</w:t>
            </w:r>
          </w:p>
        </w:tc>
        <w:tc>
          <w:tcPr>
            <w:tcW w:w="1480" w:type="dxa"/>
            <w:vAlign w:val="bottom"/>
          </w:tcPr>
          <w:p>
            <w:pPr>
              <w:jc w:val="right"/>
              <w:spacing w:after="0"/>
              <w:rPr>
                <w:sz w:val="20"/>
                <w:szCs w:val="20"/>
                <w:color w:val="auto"/>
              </w:rPr>
            </w:pPr>
            <w:r>
              <w:rPr>
                <w:rFonts w:ascii="Arial" w:cs="Arial" w:eastAsia="Arial" w:hAnsi="Arial"/>
                <w:sz w:val="18"/>
                <w:szCs w:val="18"/>
                <w:color w:val="auto"/>
              </w:rPr>
              <w:t>35,838</w:t>
            </w:r>
          </w:p>
        </w:tc>
        <w:tc>
          <w:tcPr>
            <w:tcW w:w="80" w:type="dxa"/>
            <w:vAlign w:val="bottom"/>
          </w:tcPr>
          <w:p>
            <w:pPr>
              <w:spacing w:after="0"/>
              <w:rPr>
                <w:sz w:val="19"/>
                <w:szCs w:val="19"/>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(45,099)</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(94,616)</w:t>
            </w:r>
          </w:p>
        </w:tc>
      </w:tr>
    </w:tbl>
    <w:p>
      <w:pPr>
        <w:spacing w:after="0" w:line="95"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9"/>
          <w:szCs w:val="19"/>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at or above zero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62" w:lineRule="exact"/>
        <w:rPr>
          <w:sz w:val="20"/>
          <w:szCs w:val="20"/>
          <w:color w:val="auto"/>
        </w:rPr>
      </w:pPr>
    </w:p>
    <w:p>
      <w:pPr>
        <w:jc w:val="both"/>
        <w:ind w:firstLine="510"/>
        <w:spacing w:after="0" w:line="315"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in notes 2 and 11 of Notes to Financial Statements.</w:t>
      </w:r>
    </w:p>
    <w:p>
      <w:pPr>
        <w:spacing w:after="0" w:line="22"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Company engages in limited trading account activities to meet the financial needs of customers and to fund the Company’s obligations under certain deferred compensation plans. Financial instruments utilized for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9 of Notes to Financial Statements. The amounts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4" w:name="page65"/>
    <w:bookmarkEnd w:id="64"/>
    <w:p>
      <w:pPr>
        <w:jc w:val="both"/>
        <w:spacing w:after="0" w:line="249" w:lineRule="auto"/>
        <w:rPr>
          <w:sz w:val="20"/>
          <w:szCs w:val="20"/>
          <w:color w:val="auto"/>
        </w:rPr>
      </w:pPr>
      <w:r>
        <w:rPr>
          <w:rFonts w:ascii="Arial" w:cs="Arial" w:eastAsia="Arial" w:hAnsi="Arial"/>
          <w:sz w:val="21"/>
          <w:szCs w:val="21"/>
          <w:color w:val="auto"/>
        </w:rPr>
        <w:t>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7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notional amounts of interest rate contracts entered into for trading account purposes totaled $37.1 billion at June 30, 2020, $44.4 billion at June 30, 2019 and $48.6 billion at December 31, 2019. The notional amounts of foreign currency and other option and futures contracts entered into for trading account purposes were $1.0 billion at June 30, 2020, compared with $949 million at June 30, 2019 and $1.2 billion at December 31, 2019. Although the notional amounts of these contracts are not recorded in the consolidated balance sheet, the unsettled fair values of all financial instruments used for trading account activities are recorded in the consolidated balance sheet. The fair values of all trading account assets and liabilities recognized on the balance sheet were $1.3 billion and $138 million, respectively, at June 30, 2020 and $470 million and $80 million, respectively, at December 31, 2019. The fair value asset and liability amounts at June 30, 2020 have been reduced by contractual settlements of $3 million and $1.0 billion, respectively, and at December 31, 2019 have been reduced by contractual settlements of $43 million and $281 million, respectively. The higher balance of trading account assets at June 30, 2020 as compared with December 31, 2019 was largely the result of increased values associated with interest rate swap agreements entered into with commercial customers that are not subject to periodic variation margin settlement payments. Included in trading account assets were assets related to deferred compensation plans aggregating $20 million at June 30, 2020 and $21 million at each of June 30, 2019 and December 31, 2019. Changes in the fair values of such assets are recorded as “trading account and foreign exchange gains” in the consolidated statement of income. Included in “other liabilities” in the consolidated balance sheet at June 30, 2020 were $23 million of liabilities related to deferred compensation plans, compared with $24 million at June 30, 2019 and $25 million at December 31, 2019.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$29 million at June 30, 2020, $27 million at June 30, 2019 and $28 million at December 31, 2019.</w:t>
      </w:r>
    </w:p>
    <w:p>
      <w:pPr>
        <w:spacing w:after="0" w:line="68"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9 of Notes to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As described in note 3 of Notes to Financial Statements, effective January 1, 2020 the Company adopted amended accounting guidance for the measurement of credit losses on financial instruments. That guidance requires an allowance for credit losses to be deducted from the amortized cost basis of financial assets to present the net carrying value that is expected to be collected over the contractual term of the assets considering relevant information about past events, current conditions, and reasonable and supportable forecasts that affect the collectibility of the reported amount. The new guidance replaces the previous incurred loss model for determining the allowance for credit losses. The adoption of the amended guidance resulted in a $132 million increase in the allowance for credit losses at January 1, 2020. Increases in the allowance for residential real estate loans and consumer loans, reflecting the longer-dated maturities of such portfolios, were offset somewhat by net decreases in the allowance for commercial loans resulting from lower loss estimates on demand loan products due to the assumption that the Company could require full repayment of such loans in the near-term. The following table depicts the changes in the allowance for credit losses by loan category resulting from the adoption of the amended guidance.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IMPACT OF ADOPTION OF AMENDED ACCOUNTING GUIDANCE ON ALLOWANCE FOR CREDIT LOSSES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Balance</w:t>
            </w: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Impact of Adoption</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Increase (Decrease)</w:t>
            </w: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January 1, 2020</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FF0FC"/>
          </w:tcPr>
          <w:p>
            <w:pPr>
              <w:spacing w:after="0"/>
              <w:rPr>
                <w:sz w:val="20"/>
                <w:szCs w:val="20"/>
                <w:color w:val="auto"/>
              </w:rPr>
            </w:pPr>
            <w:r>
              <w:rPr>
                <w:rFonts w:ascii="Arial" w:cs="Arial" w:eastAsia="Arial" w:hAnsi="Arial"/>
                <w:sz w:val="21"/>
                <w:szCs w:val="21"/>
                <w:color w:val="auto"/>
              </w:rPr>
              <w:t>Commercial, financial, leasing, etc.</w:t>
            </w:r>
          </w:p>
        </w:tc>
        <w:tc>
          <w:tcPr>
            <w:tcW w:w="1000" w:type="dxa"/>
            <w:vAlign w:val="bottom"/>
            <w:gridSpan w:val="2"/>
            <w:shd w:val="clear" w:color="auto" w:fill="CFF0FC"/>
          </w:tcPr>
          <w:p>
            <w:pPr>
              <w:jc w:val="right"/>
              <w:ind w:right="88"/>
              <w:spacing w:after="0"/>
              <w:rPr>
                <w:sz w:val="20"/>
                <w:szCs w:val="20"/>
                <w:color w:val="auto"/>
              </w:rPr>
            </w:pPr>
            <w:r>
              <w:rPr>
                <w:rFonts w:ascii="Arial" w:cs="Arial" w:eastAsia="Arial" w:hAnsi="Arial"/>
                <w:sz w:val="21"/>
                <w:szCs w:val="2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366,094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1"/>
                <w:szCs w:val="21"/>
                <w:color w:val="auto"/>
              </w:rPr>
              <w:t>(61,474)</w:t>
            </w:r>
          </w:p>
        </w:tc>
        <w:tc>
          <w:tcPr>
            <w:tcW w:w="140" w:type="dxa"/>
            <w:vAlign w:val="bottom"/>
            <w:shd w:val="clear" w:color="auto" w:fill="CFF0FC"/>
          </w:tcPr>
          <w:p>
            <w:pPr>
              <w:jc w:val="right"/>
              <w:spacing w:after="0"/>
              <w:rPr>
                <w:sz w:val="20"/>
                <w:szCs w:val="20"/>
                <w:color w:val="auto"/>
              </w:rPr>
            </w:pPr>
            <w:r>
              <w:rPr>
                <w:rFonts w:ascii="Arial" w:cs="Arial" w:eastAsia="Arial" w:hAnsi="Arial"/>
                <w:sz w:val="21"/>
                <w:szCs w:val="21"/>
                <w:color w:val="auto"/>
                <w:w w:val="85"/>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1"/>
                <w:szCs w:val="21"/>
                <w:color w:val="auto"/>
              </w:rPr>
              <w:t>304,620</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21"/>
                <w:szCs w:val="21"/>
                <w:color w:val="auto"/>
              </w:rPr>
              <w:t>Commercial real estate</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322,201</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23,656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345,857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FF0FC"/>
          </w:tcPr>
          <w:p>
            <w:pPr>
              <w:spacing w:after="0"/>
              <w:rPr>
                <w:sz w:val="20"/>
                <w:szCs w:val="20"/>
                <w:color w:val="auto"/>
              </w:rPr>
            </w:pPr>
            <w:r>
              <w:rPr>
                <w:rFonts w:ascii="Arial" w:cs="Arial" w:eastAsia="Arial" w:hAnsi="Arial"/>
                <w:sz w:val="21"/>
                <w:szCs w:val="21"/>
                <w:color w:val="auto"/>
              </w:rPr>
              <w:t>Residential real estate</w:t>
            </w:r>
          </w:p>
        </w:tc>
        <w:tc>
          <w:tcPr>
            <w:tcW w:w="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56,033</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53,896</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1"/>
                <w:szCs w:val="21"/>
                <w:color w:val="auto"/>
              </w:rPr>
              <w:t>109,929</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0"/>
                <w:szCs w:val="20"/>
                <w:color w:val="auto"/>
              </w:rPr>
            </w:pPr>
            <w:r>
              <w:rPr>
                <w:rFonts w:ascii="Arial" w:cs="Arial" w:eastAsia="Arial" w:hAnsi="Arial"/>
                <w:sz w:val="21"/>
                <w:szCs w:val="21"/>
                <w:color w:val="auto"/>
              </w:rPr>
              <w:t>Consumer</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1"/>
                <w:szCs w:val="21"/>
                <w:color w:val="auto"/>
              </w:rPr>
              <w:t>229,118</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1"/>
                <w:szCs w:val="21"/>
                <w:color w:val="auto"/>
              </w:rPr>
              <w:t>194,004</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1"/>
                <w:szCs w:val="21"/>
                <w:color w:val="auto"/>
              </w:rPr>
              <w:t>423,122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shd w:val="clear" w:color="auto" w:fill="CFF0FC"/>
          </w:tcPr>
          <w:p>
            <w:pPr>
              <w:spacing w:after="0"/>
              <w:rPr>
                <w:sz w:val="20"/>
                <w:szCs w:val="20"/>
                <w:color w:val="auto"/>
              </w:rPr>
            </w:pPr>
            <w:r>
              <w:rPr>
                <w:rFonts w:ascii="Arial" w:cs="Arial" w:eastAsia="Arial" w:hAnsi="Arial"/>
                <w:sz w:val="21"/>
                <w:szCs w:val="21"/>
                <w:color w:val="auto"/>
              </w:rPr>
              <w:t>Unallocated</w:t>
            </w:r>
          </w:p>
        </w:tc>
        <w:tc>
          <w:tcPr>
            <w:tcW w:w="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1"/>
                <w:szCs w:val="21"/>
                <w:color w:val="auto"/>
              </w:rPr>
              <w:t>77,625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21"/>
                <w:szCs w:val="21"/>
                <w:color w:val="auto"/>
              </w:rPr>
              <w:t>(77,625)</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21"/>
                <w:szCs w:val="21"/>
                <w:color w:val="auto"/>
              </w:rPr>
              <w:t>Total</w:t>
            </w: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vMerge w:val="continue"/>
          </w:tcPr>
          <w:p>
            <w:pPr>
              <w:spacing w:after="0"/>
              <w:rPr>
                <w:sz w:val="21"/>
                <w:szCs w:val="21"/>
                <w:color w:val="auto"/>
              </w:rPr>
            </w:pPr>
          </w:p>
        </w:tc>
        <w:tc>
          <w:tcPr>
            <w:tcW w:w="1000" w:type="dxa"/>
            <w:vAlign w:val="bottom"/>
            <w:gridSpan w:val="2"/>
          </w:tcPr>
          <w:p>
            <w:pPr>
              <w:jc w:val="right"/>
              <w:ind w:right="88"/>
              <w:spacing w:after="0"/>
              <w:rPr>
                <w:sz w:val="20"/>
                <w:szCs w:val="20"/>
                <w:color w:val="auto"/>
              </w:rPr>
            </w:pPr>
            <w:r>
              <w:rPr>
                <w:rFonts w:ascii="Arial" w:cs="Arial" w:eastAsia="Arial" w:hAnsi="Arial"/>
                <w:sz w:val="21"/>
                <w:szCs w:val="21"/>
                <w:color w:val="auto"/>
              </w:rPr>
              <w:t>$</w:t>
            </w:r>
          </w:p>
        </w:tc>
        <w:tc>
          <w:tcPr>
            <w:tcW w:w="1080" w:type="dxa"/>
            <w:vAlign w:val="bottom"/>
          </w:tcPr>
          <w:p>
            <w:pPr>
              <w:jc w:val="right"/>
              <w:spacing w:after="0"/>
              <w:rPr>
                <w:sz w:val="20"/>
                <w:szCs w:val="20"/>
                <w:color w:val="auto"/>
              </w:rPr>
            </w:pPr>
            <w:r>
              <w:rPr>
                <w:rFonts w:ascii="Arial" w:cs="Arial" w:eastAsia="Arial" w:hAnsi="Arial"/>
                <w:sz w:val="21"/>
                <w:szCs w:val="21"/>
                <w:color w:val="auto"/>
              </w:rPr>
              <w:t>1,051,071</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80" w:type="dxa"/>
            <w:vAlign w:val="bottom"/>
          </w:tcPr>
          <w:p>
            <w:pPr>
              <w:jc w:val="right"/>
              <w:spacing w:after="0"/>
              <w:rPr>
                <w:sz w:val="20"/>
                <w:szCs w:val="20"/>
                <w:color w:val="auto"/>
              </w:rPr>
            </w:pPr>
            <w:r>
              <w:rPr>
                <w:rFonts w:ascii="Arial" w:cs="Arial" w:eastAsia="Arial" w:hAnsi="Arial"/>
                <w:sz w:val="21"/>
                <w:szCs w:val="21"/>
                <w:color w:val="auto"/>
              </w:rPr>
              <w:t>132,457</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1"/>
                <w:szCs w:val="21"/>
                <w:color w:val="auto"/>
                <w:w w:val="85"/>
              </w:rPr>
              <w:t>$</w:t>
            </w:r>
          </w:p>
        </w:tc>
        <w:tc>
          <w:tcPr>
            <w:tcW w:w="1200" w:type="dxa"/>
            <w:vAlign w:val="bottom"/>
          </w:tcPr>
          <w:p>
            <w:pPr>
              <w:jc w:val="right"/>
              <w:spacing w:after="0"/>
              <w:rPr>
                <w:sz w:val="20"/>
                <w:szCs w:val="20"/>
                <w:color w:val="auto"/>
              </w:rPr>
            </w:pPr>
            <w:r>
              <w:rPr>
                <w:rFonts w:ascii="Arial" w:cs="Arial" w:eastAsia="Arial" w:hAnsi="Arial"/>
                <w:sz w:val="21"/>
                <w:szCs w:val="21"/>
                <w:color w:val="auto"/>
              </w:rPr>
              <w:t>1,183,528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The amended guidance requires estimated credit losses on loans acquired at a discount to be reflected in the allowance for credit losses. Previously, such losses were netted in the carrying value of the loans unless there was an increased loss expectation subsequent to their acquisition. The gross-up of the estimated losses on loans acquired at a discount that was previously not recognized in the allowance for credit losses was $18 million on January 1, 2020. Prior to January 1, 2020, the Company generally recognized interest income on loans acquired at a discount regardless of the borrowers’ repayment status. Effective with the adoption of the new accounting guidance, the Company’s nonaccrual loan policy now applies to loans acquired at a discount. Loans acquired at a discount at December 31, 2019 included $171 million of loans that, effective with the adoption of the new guidance, were classified as non-accrual loans on January 1, 2020.</w:t>
      </w:r>
    </w:p>
    <w:p>
      <w:pPr>
        <w:spacing w:after="0" w:line="74"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A provision for credit losses is recorded to adjust the level of the allowance as deemed necessary by management. The provision for credit losses in the second quarter of 2020 was $325 million, compared with $55 million in the year-earlier quarter and $250 million in the initial quarter of 2020. As noted earlier, the significant increases in the provision in the two most recent quarters as compared with the second quarter of 2019 follow the adoption of new accounting guidance on January 1, 2020 and reflect updated economic assumptions and projections that considered the deteriorating macroeconomic outlook resulting from the COVID-19 pandemic as of the end of each of the first two quarters of 2020. Net charge-offs of loans were $71 million in the recent quarter, compared with $44 million and $49 million in the second quarter of 2019 and the first quarter of 2020, respectively. Net charge-offs as an annualized percentage of average loans and leases were .29% in the second quarter of 2020, .20% in the year-earlier quarter and</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.22% in the initial 2020 quarter. Excluding loans associated with the PPP, which are guaranteed by the SBA, net charge-offs for the recent quarter were .31% of average loans outstanding. Net charge-offs for the six-month periods ended June 30, 2020 and 2019 were $120 million and $67 million, respectively, representing an annualized .26% and .15%, repectively, of average loans and leases. A summary of net charge-offs by loan type is presented in the table that follows.</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156"/>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First</w:t>
            </w:r>
          </w:p>
        </w:tc>
        <w:tc>
          <w:tcPr>
            <w:tcW w:w="30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Second</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Year-</w:t>
            </w: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to-date</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0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13,122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29,235</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42,357</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16,458</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17,292</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3,428</w:t>
            </w:r>
          </w:p>
        </w:tc>
        <w:tc>
          <w:tcPr>
            <w:tcW w:w="13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(279)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Consumer</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31,778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25,716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57,494</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120,292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vMerge w:val="restart"/>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6"/>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Second</w:t>
            </w: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Year-</w:t>
            </w:r>
          </w:p>
        </w:tc>
        <w:tc>
          <w:tcPr>
            <w:tcW w:w="80" w:type="dxa"/>
            <w:vAlign w:val="bottom"/>
          </w:tcPr>
          <w:p>
            <w:pPr>
              <w:spacing w:after="0"/>
              <w:rPr>
                <w:sz w:val="11"/>
                <w:szCs w:val="11"/>
                <w:color w:val="auto"/>
              </w:rPr>
            </w:pPr>
          </w:p>
        </w:tc>
      </w:tr>
      <w:tr>
        <w:trPr>
          <w:trHeight w:val="171"/>
        </w:trPr>
        <w:tc>
          <w:tcPr>
            <w:tcW w:w="4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to-date</w:t>
            </w:r>
          </w:p>
        </w:tc>
      </w:tr>
      <w:tr>
        <w:trPr>
          <w:trHeight w:val="180"/>
        </w:trPr>
        <w:tc>
          <w:tcPr>
            <w:tcW w:w="4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38"/>
        </w:trPr>
        <w:tc>
          <w:tcPr>
            <w:tcW w:w="4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10,102</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10,808</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Real estate:</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(543)</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8,657</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20,402</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23,419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43,821</w:t>
            </w:r>
          </w:p>
        </w:tc>
        <w:tc>
          <w:tcPr>
            <w:tcW w:w="8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44,470</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66,577</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Included in net charge-offs of consumer loans were net charge-offs of: automobile loans of $9 million in the recent quarter, $6 million in the second quarter of 2019 and $7 million in the first quarter of 2020; recreational finance loans of $5 million in the second quarter of 2020, $5 million in the year-earlier quarter and $9 million in the initial 2020 quarter; and home equity loans and lines of credit secured by one-to-four family residential properties of less than $1 million in the recent quarter, $1 million in last year’s second quarter and $2 million in the first quarter of 2020.</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Nonaccrual loans aggregated $1.16 billion or 1.18% of total loans and leases outstanding at June 30, 2020, compared with $1.06 billion or 1.13% at March 31, 2020 and $1.13 billion or 1.25% at January 1, 2020. The adoption of the new accounting guidance resulted in an increase in nonaccrual loans on January 1, 2020 of approximately $171 million. Previously such loans would have been classified as either purchased impaired loans or acquired accruing loans past due 90 days or more. Loans classified as nonaccrual at June 30, 2019 and December 31, 2019 totaled $865 million and $963 million, respectively, or .96% and 1.06% of total loans outstanding.</w:t>
      </w:r>
    </w:p>
    <w:p>
      <w:pPr>
        <w:spacing w:after="0" w:line="81"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Accruing loans past due 90 days or more were $536 million or .55% of loans and leases at June 30, 2020, compared with $530 million or .56% at March 31, 2020. Accruing loans past due 90 days or more (excluding loans acquired at a discount) were $349 million or .39% of total loans outstanding at June 30, 2019 and $519 million or .57% of outstanding loans at December 31, 2019. Accruing loans past due 90 days or more included loans guaranteed by government-related entities of $454 million, $320 million, $480 million and $464 million at June 30, 2020, June 30, 2019, December 31, 2019 and March 31, 2020, respectively.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$428 million at June 30, 2020, $300 million a year earlier, $452 million at December 31, 2019 and $439 million at March 31, 2020. The increase in such loans since June 30, 2019 resulted largely from loans associated with servicing the Company added in 2019. The remaining accruing loans past due 90 days or more not guaranteed by government-related entities were loans considered to be with creditworthy borrowers that were in the process of collection or renewal.</w:t>
      </w:r>
    </w:p>
    <w:p>
      <w:pPr>
        <w:spacing w:after="0" w:line="60"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Loans that were 30-89 days past due were $618 million at June 30, 2020, compared with $1.2 billion at December 31, 2019 and $1.4 billion at March 31, 2020. The lower level of such past due loans at the recent quarter end was a result of loan paydowns, many of which resulted in return to current status, and migrations of loans to nonaccrual status. COVID-19 related payment deferral modifications, which largely occurred in the second quarter of 2020, resulted in such loans being classified as current in accordance with regulatory guidance and, as a result, did not contribute in incremental additions to loans categorized as 30-89 days past due.</w:t>
      </w:r>
    </w:p>
    <w:p>
      <w:pPr>
        <w:spacing w:after="0" w:line="5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Prior to the adoption of the new accounting standard on January 1, 2020, the Company reported purchased impaired loans. Those loans were impaired at the date of acquisition, were recorded at estimated fair value and were generally delinquent in payments, but, in accordance with GAAP, the Company continued to accrue interest income on such loans based on the estimated expected cash flows associated with the loans. The amended accounting guidance requires estimated credit losses on loans acquired at a discount to now be reflected in the allowance for credit losses and effective with the adoption of the guidance, the Company’s nonaccrual loan policy now applies to such loans.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spacing w:after="0"/>
        <w:rPr>
          <w:sz w:val="20"/>
          <w:szCs w:val="20"/>
          <w:color w:val="auto"/>
        </w:rPr>
      </w:pPr>
      <w:r>
        <w:rPr>
          <w:rFonts w:ascii="Arial" w:cs="Arial" w:eastAsia="Arial" w:hAnsi="Arial"/>
          <w:sz w:val="21"/>
          <w:szCs w:val="21"/>
          <w:color w:val="auto"/>
        </w:rPr>
        <w:t>carrying amount of purchased impaired loans was $263 million at June 30, 2019 and $228 million at December 31, 2019.</w:t>
      </w:r>
    </w:p>
    <w:p>
      <w:pPr>
        <w:spacing w:after="0" w:line="110"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The United States has been operating under a state of emergency related to the COVID-19 pandemic since March 13, 2020. The direct and indirect effects of the COVID-19 pandemic have resulted in a dramatic reduction in economic activity that has severely hampered the ability of some businesses and consumers to meet their repayment obligations. The CARES Act, in addition to providing financial assistance to both businesses and consumers, created a forbearance program for federally-backed mortgage loans, protects borrowers from negative credit reporting due to loan accommodations related to the national emergency, and provides financial institutions the option to temporarily suspend certain requirements under GAAP related to troubled debt restructurings for a limited period of time to account for the effects of COVID-19. The banking regulatory agencies have likewise issued guidance encouraging financial institutions to work prudently with borrowers who are, or may be, unable to meet their contractual payment obligations because of the effects of COVID-19. That guidance, with concurrence of the Financial Accounting Standards Board and provisions of the CARES Act, allow modifications made on a good faith basis in response to COVID-19 to borrowers who were generally current with their payments prior to any relief, to not be treated as troubled debt restructurings. Modifications may include payment deferrals, fee waivers, extensions of repayment terms, or other delays in payment. The Company continues to work with its customers affected by COVID-19 and, as previously noted, has granted a significant amount of modifications across many of its loan portfolios. To the extent that such modifications met the criteria previously described, such modifications have not been classified as troubled debt restructurings.</w:t>
      </w:r>
    </w:p>
    <w:p>
      <w:pPr>
        <w:spacing w:after="0" w:line="73"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The Company also modified the terms of select loans in an effort to assist borrowers that were not related to the COVID-19 pandemic.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83"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Residential real estate loans modified under specified loss mitigation programs prescribed by government guarantors that were not related to the COVID-19 pandemic have not been included in renegotiated loans because the loan guarantee remains in full force and, accordingly, the Company has not granted a concession with respect to the ultimate collection of the original loan balance. Such loans aggregated $188 million, $199 million, and $203 million at June 30, 2020, June 30, 2019 and December 31, 2019, respectively.</w:t>
      </w:r>
    </w:p>
    <w:p>
      <w:pPr>
        <w:spacing w:after="0" w:line="49"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Commercial loans and leases classified as nonaccrual totaled $285 million, $224 million, $347 million, and $287 million at June 30, 2020, June 30, 2019, December 31, 2019, and March 31, 2020, respectively. The decline in such loans from December 31, 2019 to March 31, 2020 predominantly resulted from payments received from borrowers. Commercial real estate loans in nonaccrual status aggregated $260 million, $242 million, $195 million and $227 million at June 30, 2020, June 30, 2019, December 31, 2019, and March 31, 2020, respectively.</w:t>
      </w:r>
    </w:p>
    <w:p>
      <w:pPr>
        <w:spacing w:after="0" w:line="8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Nonaccrual residential real estate loans totaled $426 million at June 30, 2020, compared with $298 million at June 30, 2019, $319 million at December 31, 2019 and $413 million at March 31, 2020. The increase at the end of the first two quarters of 2020 as compared with the prior year dates is largely reflective of the impact of the adoption of the amended accounting guidance as noted earlier. Included in residential real estate loans classified as nonaccrual were limited documentation first mortgage loans of $119 million at each of June 30, 2020 and March 31, 2020, compared with $88 million at June 30, 2019 and $83 million at December 31, 2019.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(excluding loans acquired at a discount at the 2019 dates) aggregated $479 million at June 30, 2020, compared with $322 million at June 30, 2019, $487 million at December 31, 2019 and $474 million at March 31, 2020. A substantial portion of such amounts related to repurchased government-guaranteed loans, including the previously noted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8" w:name="page69"/>
    <w:bookmarkEnd w:id="68"/>
    <w:p>
      <w:pPr>
        <w:jc w:val="both"/>
        <w:spacing w:after="0" w:line="249" w:lineRule="auto"/>
        <w:rPr>
          <w:sz w:val="20"/>
          <w:szCs w:val="20"/>
          <w:color w:val="auto"/>
        </w:rPr>
      </w:pPr>
      <w:r>
        <w:rPr>
          <w:rFonts w:ascii="Arial" w:cs="Arial" w:eastAsia="Arial" w:hAnsi="Arial"/>
          <w:sz w:val="21"/>
          <w:szCs w:val="21"/>
          <w:color w:val="auto"/>
        </w:rPr>
        <w:t>repurchases of loans associated with servicing that the Company added in 2019. Given the COVID-19 modifications, the Company expects that repurchases of loans associated with servicing could increase in the coming months of 2020. Information about the location of nonaccrual and charged-off residential real estate loans as of and for the quarter ended June 30, 2020 is presented in the accompanying table.</w:t>
      </w:r>
    </w:p>
    <w:p>
      <w:pPr>
        <w:spacing w:after="0" w:line="78"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Nonaccrual consumer loans were $187 million at June 30, 2020, compared with $101 million at June 30, 2019, $102 million at December 31, 2019 and $135 million at March 31, 2020. Included in nonaccrual consumer loans at June 30, 2020, June 30, 2019, December 31, 2019 and March 31, 2020 were: automobile loans of $43 million, $20 million, $21 million and $19 million, respectively; recreational finance loans of $24 million, $11 million, $14 million and $13 million, respectively; and outstanding balances of home equity loans and lines of credit of $77 million, $67 million, $63 million and $63 million, respectively. Information about the location of nonaccrual and charged-off home equity loans and lines of credit as of and for the quarter ended June 30, 2020 is presented in the accompanying table.</w:t>
      </w:r>
    </w:p>
    <w:p>
      <w:pPr>
        <w:spacing w:after="0" w:line="8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Information about past due and nonaccrual loans as of June 30, 2020 and December 31, 2019 is also included in note 3 of Notes to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69" w:name="page70"/>
    <w:bookmarkEnd w:id="69"/>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7"/>
              </w:rPr>
              <w:t>Quarter Ended</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June 30, 2020</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4"/>
              </w:rPr>
              <w:t>June 30, 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auto"/>
                <w:w w:val="93"/>
              </w:rPr>
              <w:t>Nonaccrual</w:t>
            </w: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3"/>
                <w:szCs w:val="13"/>
                <w:b w:val="1"/>
                <w:bCs w:val="1"/>
                <w:color w:val="auto"/>
                <w:w w:val="93"/>
              </w:rPr>
              <w:t>Net Charge-offs (Recoveries)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Percent of</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Percent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3"/>
                <w:szCs w:val="13"/>
                <w:b w:val="1"/>
                <w:bCs w:val="1"/>
                <w:color w:val="auto"/>
                <w:w w:val="96"/>
              </w:rPr>
              <w:t>Outstanding</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Outstanding</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Arial" w:cs="Arial" w:eastAsia="Arial" w:hAnsi="Arial"/>
                <w:sz w:val="13"/>
                <w:szCs w:val="13"/>
                <w:b w:val="1"/>
                <w:bCs w:val="1"/>
                <w:color w:val="auto"/>
              </w:rPr>
              <w:t>Balances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3"/>
                <w:szCs w:val="13"/>
                <w:b w:val="1"/>
                <w:bCs w:val="1"/>
                <w:color w:val="auto"/>
              </w:rPr>
              <w:t>Balances</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Balances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4"/>
              </w:rPr>
              <w:t>Balances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Balances</w:t>
            </w:r>
          </w:p>
        </w:tc>
        <w:tc>
          <w:tcPr>
            <w:tcW w:w="0" w:type="dxa"/>
            <w:vAlign w:val="bottom"/>
          </w:tcPr>
          <w:p>
            <w:pPr>
              <w:spacing w:after="0"/>
              <w:rPr>
                <w:sz w:val="1"/>
                <w:szCs w:val="1"/>
                <w:color w:val="auto"/>
              </w:rPr>
            </w:pPr>
          </w:p>
        </w:tc>
      </w:tr>
      <w:tr>
        <w:trPr>
          <w:trHeight w:val="156"/>
        </w:trPr>
        <w:tc>
          <w:tcPr>
            <w:tcW w:w="5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Residential mortgages:</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4,776,913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110,673</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2.32%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(654)</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1,060,742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15,243</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(393)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1,227,110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14,555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2,861,564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78,987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(2,561)</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1,105,043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12,860</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(45)</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2,632,946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71,710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(153)</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13,664,318</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304,028</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2.22%</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211</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Residential construction loans:</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27,786</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706</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2.54%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9,413</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14,938</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1,367</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5,675</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87,016</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2,879</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3.31%</w:t>
            </w:r>
          </w:p>
        </w:tc>
        <w:tc>
          <w:tcPr>
            <w:tcW w:w="100" w:type="dxa"/>
            <w:vAlign w:val="bottom"/>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first mortgages:</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841,038</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50,644</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6.02%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(229)</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38,026</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22,886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1,546</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(26)</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685,109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37,259</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19,124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(114)</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253,945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22,337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(107)</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1,860,128</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118,695</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6.38%</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(509)</w:t>
            </w:r>
          </w:p>
        </w:tc>
        <w:tc>
          <w:tcPr>
            <w:tcW w:w="300" w:type="dxa"/>
            <w:vAlign w:val="bottom"/>
            <w:vMerge w:val="continue"/>
          </w:tcPr>
          <w:p>
            <w:pPr>
              <w:spacing w:after="0"/>
              <w:rPr>
                <w:sz w:val="17"/>
                <w:szCs w:val="17"/>
                <w:color w:val="auto"/>
              </w:rPr>
            </w:pPr>
          </w:p>
        </w:tc>
        <w:tc>
          <w:tcPr>
            <w:tcW w:w="10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First lien home equity loans and lines of credit:</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1,061,036</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17,995</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1.70%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643,239</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9,788</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526,867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8,315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70,075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181,222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33,233</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1,587</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40" w:type="dxa"/>
            <w:vAlign w:val="bottom"/>
            <w:vMerge w:val="continue"/>
          </w:tcPr>
          <w:p>
            <w:pPr>
              <w:spacing w:after="0"/>
              <w:rPr>
                <w:sz w:val="17"/>
                <w:szCs w:val="17"/>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2,515,672</w:t>
            </w:r>
          </w:p>
        </w:tc>
        <w:tc>
          <w:tcPr>
            <w:tcW w:w="300" w:type="dxa"/>
            <w:vAlign w:val="bottom"/>
            <w:vMerge w:val="continue"/>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41,105</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1.63%</w:t>
            </w:r>
          </w:p>
        </w:tc>
        <w:tc>
          <w:tcPr>
            <w:tcW w:w="100" w:type="dxa"/>
            <w:vAlign w:val="bottom"/>
            <w:vMerge w:val="continue"/>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226</w:t>
            </w:r>
          </w:p>
        </w:tc>
        <w:tc>
          <w:tcPr>
            <w:tcW w:w="300" w:type="dxa"/>
            <w:vAlign w:val="bottom"/>
          </w:tcPr>
          <w:p>
            <w:pPr>
              <w:spacing w:after="0"/>
              <w:rPr>
                <w:sz w:val="17"/>
                <w:szCs w:val="17"/>
                <w:color w:val="auto"/>
              </w:rPr>
            </w:pPr>
          </w:p>
        </w:tc>
        <w:tc>
          <w:tcPr>
            <w:tcW w:w="10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Junior lien home equity loans and lines of credit:</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634,113</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15,359</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2.42%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(89)</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232,241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3,351</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(189)</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479,329</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10,378</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(483)</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94,544</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1,329</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217,326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4,044</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40,321</w:t>
            </w:r>
          </w:p>
        </w:tc>
        <w:tc>
          <w:tcPr>
            <w:tcW w:w="3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1,282</w:t>
            </w:r>
          </w:p>
        </w:tc>
        <w:tc>
          <w:tcPr>
            <w:tcW w:w="3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30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w:t>
            </w: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60"/>
              <w:spacing w:after="0" w:line="155" w:lineRule="exact"/>
              <w:rPr>
                <w:sz w:val="20"/>
                <w:szCs w:val="20"/>
                <w:color w:val="auto"/>
              </w:rPr>
            </w:pPr>
            <w:r>
              <w:rPr>
                <w:rFonts w:ascii="Arial" w:cs="Arial" w:eastAsia="Arial" w:hAnsi="Arial"/>
                <w:sz w:val="14"/>
                <w:szCs w:val="14"/>
                <w:color w:val="auto"/>
              </w:rPr>
              <w:t>Total</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1,697,874</w:t>
            </w:r>
          </w:p>
        </w:tc>
        <w:tc>
          <w:tcPr>
            <w:tcW w:w="300" w:type="dxa"/>
            <w:vAlign w:val="bottom"/>
          </w:tcPr>
          <w:p>
            <w:pPr>
              <w:spacing w:after="0"/>
              <w:rPr>
                <w:sz w:val="17"/>
                <w:szCs w:val="17"/>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35,743</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(350)</w:t>
            </w:r>
          </w:p>
        </w:tc>
        <w:tc>
          <w:tcPr>
            <w:tcW w:w="300" w:type="dxa"/>
            <w:vAlign w:val="bottom"/>
          </w:tcPr>
          <w:p>
            <w:pPr>
              <w:spacing w:after="0"/>
              <w:rPr>
                <w:sz w:val="17"/>
                <w:szCs w:val="17"/>
                <w:color w:val="auto"/>
              </w:rPr>
            </w:pPr>
          </w:p>
        </w:tc>
        <w:tc>
          <w:tcPr>
            <w:tcW w:w="10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3"/>
        </w:trPr>
        <w:tc>
          <w:tcPr>
            <w:tcW w:w="524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Limited documentation junior lien:</w:t>
            </w: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New York</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562</w:t>
            </w:r>
          </w:p>
        </w:tc>
        <w:tc>
          <w:tcPr>
            <w:tcW w:w="4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3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Pennsylvania</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Maryland</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1,064</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Jersey</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ind w:left="260"/>
              <w:spacing w:after="0"/>
              <w:rPr>
                <w:sz w:val="20"/>
                <w:szCs w:val="20"/>
                <w:color w:val="auto"/>
              </w:rPr>
            </w:pPr>
            <w:r>
              <w:rPr>
                <w:rFonts w:ascii="Arial" w:cs="Arial" w:eastAsia="Arial" w:hAnsi="Arial"/>
                <w:sz w:val="14"/>
                <w:szCs w:val="14"/>
                <w:color w:val="auto"/>
              </w:rPr>
              <w:t>Other Mid-Atlantic (a)</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2,795</w:t>
            </w:r>
          </w:p>
        </w:tc>
        <w:tc>
          <w:tcPr>
            <w:tcW w:w="3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6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5,276</w:t>
            </w:r>
          </w:p>
        </w:tc>
        <w:tc>
          <w:tcPr>
            <w:tcW w:w="300" w:type="dxa"/>
            <w:vAlign w:val="bottom"/>
            <w:vMerge w:val="continue"/>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246</w:t>
            </w:r>
          </w:p>
        </w:tc>
        <w:tc>
          <w:tcPr>
            <w:tcW w:w="320" w:type="dxa"/>
            <w:vAlign w:val="bottom"/>
          </w:tcPr>
          <w:p>
            <w:pPr>
              <w:spacing w:after="0"/>
              <w:rPr>
                <w:sz w:val="13"/>
                <w:szCs w:val="13"/>
                <w:color w:val="auto"/>
              </w:rPr>
            </w:pPr>
          </w:p>
        </w:tc>
        <w:tc>
          <w:tcPr>
            <w:tcW w:w="9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4.66%</w:t>
            </w:r>
          </w:p>
        </w:tc>
        <w:tc>
          <w:tcPr>
            <w:tcW w:w="10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w:t>
            </w:r>
          </w:p>
        </w:tc>
        <w:tc>
          <w:tcPr>
            <w:tcW w:w="10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Includes Delaware, Virginia, West Virginia and the District of Columbia.</w:t>
      </w:r>
    </w:p>
    <w:p>
      <w:pPr>
        <w:spacing w:after="0" w:line="225" w:lineRule="exact"/>
        <w:rPr>
          <w:rFonts w:ascii="Arial" w:cs="Arial" w:eastAsia="Arial" w:hAnsi="Arial"/>
          <w:sz w:val="18"/>
          <w:szCs w:val="18"/>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0" w:name="page71"/>
    <w:bookmarkEnd w:id="70"/>
    <w:p>
      <w:pPr>
        <w:jc w:val="both"/>
        <w:ind w:firstLine="510"/>
        <w:spacing w:after="0" w:line="279" w:lineRule="auto"/>
        <w:rPr>
          <w:sz w:val="20"/>
          <w:szCs w:val="20"/>
          <w:color w:val="auto"/>
        </w:rPr>
      </w:pPr>
      <w:r>
        <w:rPr>
          <w:rFonts w:ascii="Arial" w:cs="Arial" w:eastAsia="Arial" w:hAnsi="Arial"/>
          <w:sz w:val="19"/>
          <w:szCs w:val="19"/>
          <w:color w:val="auto"/>
        </w:rPr>
        <w:t>Real estate and other foreclosed assets totaled $67 million at June 30, 2020, compared with $73 million at June 30, 2019, $86 million at December 31, 2019 and $84 million at March 31, 2020. Net gains or losses associated with real estate and other foreclosed assets were not material during the three-months ended June 30, 2020, June 30, 2019 or March 31, 2019. At June 30, 2020, the Company’s holdings of residential real estate-related properties comprised approximately 88% of foreclosed assets. During the COVID-19 pandemic, government authorities have restricted the ability of mortgage servicers to initiate foreclosure procedures.</w:t>
      </w:r>
    </w:p>
    <w:p>
      <w:pPr>
        <w:spacing w:after="0" w:line="53"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RENEGOTIATED AND IMPAIRED LOAN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908"/>
              <w:spacing w:after="0"/>
              <w:rPr>
                <w:sz w:val="20"/>
                <w:szCs w:val="20"/>
                <w:color w:val="auto"/>
              </w:rPr>
            </w:pPr>
            <w:r>
              <w:rPr>
                <w:rFonts w:ascii="Arial" w:cs="Arial" w:eastAsia="Arial" w:hAnsi="Arial"/>
                <w:sz w:val="14"/>
                <w:szCs w:val="14"/>
                <w:b w:val="1"/>
                <w:bCs w:val="1"/>
                <w:color w:val="auto"/>
              </w:rPr>
              <w:t>2020 Quarters</w:t>
            </w: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2019 Quarters</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Second</w:t>
            </w:r>
          </w:p>
        </w:tc>
        <w:tc>
          <w:tcPr>
            <w:tcW w:w="122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First</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Second</w:t>
            </w:r>
          </w:p>
        </w:tc>
        <w:tc>
          <w:tcPr>
            <w:tcW w:w="0" w:type="dxa"/>
            <w:vAlign w:val="bottom"/>
          </w:tcPr>
          <w:p>
            <w:pPr>
              <w:spacing w:after="0"/>
              <w:rPr>
                <w:sz w:val="1"/>
                <w:szCs w:val="1"/>
                <w:color w:val="auto"/>
              </w:rPr>
            </w:pPr>
          </w:p>
        </w:tc>
      </w:tr>
      <w:tr>
        <w:trPr>
          <w:trHeight w:val="180"/>
        </w:trPr>
        <w:tc>
          <w:tcPr>
            <w:tcW w:w="5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4"/>
              </w:rPr>
              <w:t>(Dollars in thousands)</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2"/>
        </w:trPr>
        <w:tc>
          <w:tcPr>
            <w:tcW w:w="5400" w:type="dxa"/>
            <w:vAlign w:val="bottom"/>
          </w:tcPr>
          <w:p>
            <w:pPr>
              <w:spacing w:after="0"/>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1,156,650</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1,061,748</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963,112</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1,005,249</w:t>
            </w: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865,384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Real estate and other foreclosed assets</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66,763</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83,605</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85,646</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79,735</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1,223,413</w:t>
            </w:r>
          </w:p>
        </w:tc>
        <w:tc>
          <w:tcPr>
            <w:tcW w:w="3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1,145,353</w:t>
            </w:r>
          </w:p>
        </w:tc>
        <w:tc>
          <w:tcPr>
            <w:tcW w:w="3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1,048,758</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1,084,984</w:t>
            </w:r>
          </w:p>
        </w:tc>
        <w:tc>
          <w:tcPr>
            <w:tcW w:w="380" w:type="dxa"/>
            <w:vAlign w:val="bottom"/>
            <w:tcBorders>
              <w:bottom w:val="single" w:sz="8" w:color="CFF0FC"/>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938,291</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Accruing loans past due 90 days or more(a)</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535,755</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530,317</w:t>
            </w:r>
          </w:p>
        </w:tc>
        <w:tc>
          <w:tcPr>
            <w:tcW w:w="3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518,728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461,162</w:t>
            </w:r>
          </w:p>
        </w:tc>
        <w:tc>
          <w:tcPr>
            <w:tcW w:w="3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348,725</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51,165</w:t>
            </w: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50,561</w:t>
            </w: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50,891</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43,144</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Accruing loans past due 90 days or more</w:t>
            </w: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454,269</w:t>
            </w:r>
          </w:p>
        </w:tc>
        <w:tc>
          <w:tcPr>
            <w:tcW w:w="38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464,243</w:t>
            </w:r>
          </w:p>
        </w:tc>
        <w:tc>
          <w:tcPr>
            <w:tcW w:w="380" w:type="dxa"/>
            <w:vAlign w:val="bottom"/>
            <w:tcBorders>
              <w:bottom w:val="single" w:sz="8" w:color="CFF0FC"/>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479,829</w:t>
            </w:r>
          </w:p>
        </w:tc>
        <w:tc>
          <w:tcPr>
            <w:tcW w:w="2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434,132</w:t>
            </w:r>
          </w:p>
        </w:tc>
        <w:tc>
          <w:tcPr>
            <w:tcW w:w="380" w:type="dxa"/>
            <w:vAlign w:val="bottom"/>
            <w:tcBorders>
              <w:bottom w:val="single" w:sz="8" w:color="CFF0FC"/>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320,305</w:t>
            </w:r>
          </w:p>
        </w:tc>
        <w:tc>
          <w:tcPr>
            <w:tcW w:w="1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Renegotiated loans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234,768</w:t>
            </w:r>
          </w:p>
        </w:tc>
        <w:tc>
          <w:tcPr>
            <w:tcW w:w="38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232,439</w:t>
            </w:r>
          </w:p>
        </w:tc>
        <w:tc>
          <w:tcPr>
            <w:tcW w:w="3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234,424</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240,781</w:t>
            </w:r>
          </w:p>
        </w:tc>
        <w:tc>
          <w:tcPr>
            <w:tcW w:w="3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254,332</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Acquired accruing loans past due 90 days or more(b)</w:t>
            </w: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FF0FC"/>
            </w:tcBorders>
            <w:vMerge w:val="continue"/>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FF0FC"/>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39,632</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40,733</w:t>
            </w:r>
          </w:p>
        </w:tc>
        <w:tc>
          <w:tcPr>
            <w:tcW w:w="38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43,079</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 loans(c):</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Outstanding customer balance</w:t>
            </w: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1220" w:type="dxa"/>
            <w:vAlign w:val="bottom"/>
            <w:gridSpan w:val="2"/>
          </w:tcPr>
          <w:p>
            <w:pPr>
              <w:jc w:val="right"/>
              <w:ind w:right="308"/>
              <w:spacing w:after="0"/>
              <w:rPr>
                <w:sz w:val="20"/>
                <w:szCs w:val="20"/>
                <w:color w:val="auto"/>
              </w:rPr>
            </w:pPr>
            <w:r>
              <w:rPr>
                <w:rFonts w:ascii="Arial" w:cs="Arial" w:eastAsia="Arial" w:hAnsi="Arial"/>
                <w:sz w:val="18"/>
                <w:szCs w:val="18"/>
                <w:color w:val="auto"/>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415,413</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453,382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473,834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Carrying amount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227,545</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253,496</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 to total loans and leases, net of</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unearned discount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1.18%</w:t>
            </w:r>
          </w:p>
        </w:tc>
        <w:tc>
          <w:tcPr>
            <w:tcW w:w="12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1.13%</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1.12%</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Nonperforming assets to total net loans and leases and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real estate and other foreclosed assets</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1.22%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Accruing loans past due 90 days or more(a) to total</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.56%</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Predominantly residential real estate loans. Prior to 2020, excludes loans acquired at a discount.</w:t>
      </w:r>
    </w:p>
    <w:p>
      <w:pPr>
        <w:spacing w:after="0" w:line="23" w:lineRule="exact"/>
        <w:rPr>
          <w:rFonts w:ascii="Arial" w:cs="Arial" w:eastAsia="Arial" w:hAnsi="Arial"/>
          <w:sz w:val="18"/>
          <w:szCs w:val="18"/>
          <w:i w:val="1"/>
          <w:iCs w:val="1"/>
          <w:color w:val="auto"/>
        </w:rPr>
      </w:pPr>
    </w:p>
    <w:p>
      <w:pPr>
        <w:ind w:left="560" w:hanging="552"/>
        <w:spacing w:after="0" w:line="250" w:lineRule="auto"/>
        <w:tabs>
          <w:tab w:leader="none" w:pos="5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Prior to 2020, loans acquired at a discount that were recorded at fair value at acquisition date. This category does not include purchased impaired loans that are presented separately.</w:t>
      </w:r>
    </w:p>
    <w:p>
      <w:pPr>
        <w:ind w:left="560" w:hanging="552"/>
        <w:spacing w:after="0"/>
        <w:tabs>
          <w:tab w:leader="none" w:pos="5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Prior to 2020, accruing loans acquired at a discount that were impaired at acquisition date and recorded at fair value.</w:t>
      </w:r>
    </w:p>
    <w:p>
      <w:pPr>
        <w:spacing w:after="0" w:line="10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Beginning in 2020, management determines the allowance for credit losses under new accounting guidance that requires estimating the amount of current expected credit losses over the remaining contractual term of the loan and leases portfolio. A description of the methodologies used by the Company to estimate its allowance for credit losses in 2020 can be found in note 3 of Notes to Financial Statements contained in this quarterly report on Form 10-Q. For periods prior to 2020, a description of the methodologies used by the Company for determining the allowance for credit losses may be found in the Provision for Credit Losses section of Management’s Discussion and Analysis of Financial Condition and Results of Operations in M&amp;T’s Annual Report on Form 10-K for the year ended December 31,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1" w:name="page72"/>
    <w:bookmarkEnd w:id="71"/>
    <w:p>
      <w:pPr>
        <w:jc w:val="both"/>
        <w:ind w:firstLine="510"/>
        <w:spacing w:after="0" w:line="269" w:lineRule="auto"/>
        <w:rPr>
          <w:sz w:val="20"/>
          <w:szCs w:val="20"/>
          <w:color w:val="auto"/>
        </w:rPr>
      </w:pPr>
      <w:r>
        <w:rPr>
          <w:rFonts w:ascii="Arial" w:cs="Arial" w:eastAsia="Arial" w:hAnsi="Arial"/>
          <w:sz w:val="19"/>
          <w:szCs w:val="19"/>
          <w:color w:val="auto"/>
        </w:rPr>
        <w:t>In establishing the allowance for credit losses subsequent to December 31, 2019,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loan type. At the time of the Company’s analysis regarding the determination of the allowance for credit losses as of June 30, 2020, there existed substantial concerns about the continued economic decline related to the COVID-19 pandemic;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52% of the Company’s loans and leases are to customers in New York State and Pennsylvania). The Company utilizes a loan grading system to differentiate risk amongst its commercial loans and commercial real estate loans. Loans with a lower expectation of default are assigned one of ten possible “pass” loan grades and through the loss estimation modeling and other techniques used by the Company are generally considered to possess lower expected losses when determining the allowance for credit losses. Loans with an elevated level of credit risk are classified as “criticized” and are ascribed higher expected loss amounts when determining the allowance for credit losses. Criticized loans may be classified as “nonaccrual” if the Company no longer expects to collect all amounts according to the contractual terms of the loan agreement or the loan is delinquent 90 days or more. During the second quarter of 2020, the Company re-graded a significant portion of its commercial loans and commercial real estate loans, particularly those that were modified as a result of COVID-19 impacts. Criticized commercial loans and commercial real estate loans totaled $6.2 billion at June 30, 2020, compared with $2.8 billion at June 30, 2019, $2.5 billion at December 31, 2019, and $2.4 billion at March 31, 2020. The rise in criticized loans at the recent quarter-end as compared to March 31, 2020 reflects the impact of the pandemic on borrowers’ financial condition and the re-grading of loans by the Company. The declines from the second quarter of 2019 to the end of 2019’s final quarter and the first quarter of 2020 reflect payments received on criticized loans during 2019 and early 2020 and the removal of loans to customers experiencing improved financial condition.</w:t>
      </w:r>
    </w:p>
    <w:p>
      <w:pPr>
        <w:spacing w:after="0" w:line="66"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9"/>
          <w:szCs w:val="19"/>
          <w:color w:val="auto"/>
        </w:rPr>
        <w:t>The governmental responses to COVID-19 have led to a significant reduction in economic activity that has been detrimental to many businesses across the Company’s geographic regions. As a result, borrowers have been and will likely be significantly impacted by the shut-downs caused by the March 13, 2020 nationwide state of emergency resulting from the COVID-19 pandemic. Summaries of the commercial loan and lease and commercial real estate loan portfolios as of June 30, 2020 are provided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2020</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5"/>
        </w:trPr>
        <w:tc>
          <w:tcPr>
            <w:tcW w:w="26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rPr>
              <w:t>COVID-19</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94"/>
        </w:trPr>
        <w:tc>
          <w:tcPr>
            <w:tcW w:w="5200" w:type="dxa"/>
            <w:vAlign w:val="bottom"/>
            <w:gridSpan w:val="2"/>
          </w:tcPr>
          <w:p>
            <w:pPr>
              <w:spacing w:after="0" w:line="194" w:lineRule="exact"/>
              <w:rPr>
                <w:sz w:val="20"/>
                <w:szCs w:val="20"/>
                <w:color w:val="auto"/>
              </w:rPr>
            </w:pPr>
            <w:r>
              <w:rPr>
                <w:rFonts w:ascii="Arial" w:cs="Arial" w:eastAsia="Arial" w:hAnsi="Arial"/>
                <w:sz w:val="18"/>
                <w:szCs w:val="18"/>
                <w:color w:val="auto"/>
              </w:rPr>
              <w:t>Commercial, financial, leasing , etc.</w:t>
            </w:r>
          </w:p>
        </w:tc>
        <w:tc>
          <w:tcPr>
            <w:tcW w:w="160" w:type="dxa"/>
            <w:vAlign w:val="bottom"/>
          </w:tcPr>
          <w:p>
            <w:pPr>
              <w:spacing w:after="0"/>
              <w:rPr>
                <w:sz w:val="16"/>
                <w:szCs w:val="16"/>
                <w:color w:val="auto"/>
              </w:rPr>
            </w:pPr>
          </w:p>
        </w:tc>
        <w:tc>
          <w:tcPr>
            <w:tcW w:w="100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Total</w:t>
            </w:r>
          </w:p>
        </w:tc>
        <w:tc>
          <w:tcPr>
            <w:tcW w:w="1460" w:type="dxa"/>
            <w:vAlign w:val="bottom"/>
            <w:gridSpan w:val="3"/>
          </w:tcPr>
          <w:p>
            <w:pPr>
              <w:jc w:val="center"/>
              <w:ind w:right="240"/>
              <w:spacing w:after="0" w:line="194" w:lineRule="exact"/>
              <w:rPr>
                <w:sz w:val="20"/>
                <w:szCs w:val="20"/>
                <w:color w:val="auto"/>
              </w:rPr>
            </w:pPr>
            <w:r>
              <w:rPr>
                <w:rFonts w:ascii="Arial" w:cs="Arial" w:eastAsia="Arial" w:hAnsi="Arial"/>
                <w:sz w:val="18"/>
                <w:szCs w:val="18"/>
                <w:b w:val="1"/>
                <w:bCs w:val="1"/>
                <w:color w:val="auto"/>
                <w:w w:val="91"/>
              </w:rPr>
              <w:t>Modifications</w:t>
            </w:r>
          </w:p>
        </w:tc>
        <w:tc>
          <w:tcPr>
            <w:tcW w:w="180" w:type="dxa"/>
            <w:vAlign w:val="bottom"/>
          </w:tcPr>
          <w:p>
            <w:pPr>
              <w:spacing w:after="0"/>
              <w:rPr>
                <w:sz w:val="16"/>
                <w:szCs w:val="16"/>
                <w:color w:val="auto"/>
              </w:rPr>
            </w:pPr>
          </w:p>
        </w:tc>
        <w:tc>
          <w:tcPr>
            <w:tcW w:w="9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PPP</w:t>
            </w:r>
          </w:p>
        </w:tc>
        <w:tc>
          <w:tcPr>
            <w:tcW w:w="2260" w:type="dxa"/>
            <w:vAlign w:val="bottom"/>
          </w:tcPr>
          <w:p>
            <w:pPr>
              <w:spacing w:after="0"/>
              <w:rPr>
                <w:sz w:val="16"/>
                <w:szCs w:val="16"/>
                <w:color w:val="auto"/>
              </w:rPr>
            </w:pPr>
          </w:p>
        </w:tc>
      </w:tr>
      <w:tr>
        <w:trPr>
          <w:trHeight w:val="21"/>
        </w:trPr>
        <w:tc>
          <w:tcPr>
            <w:tcW w:w="26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55"/>
        </w:trPr>
        <w:tc>
          <w:tcPr>
            <w:tcW w:w="26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29"/>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Industry</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57"/>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Services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5,946</w:t>
            </w:r>
          </w:p>
        </w:tc>
        <w:tc>
          <w:tcPr>
            <w:tcW w:w="2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22"/>
                <w:szCs w:val="22"/>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Motor vehicle and recreational finance dealers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56"/>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Manufacturing</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Financial and insurance</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Health services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57"/>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Wholesale</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2,159</w:t>
            </w:r>
          </w:p>
        </w:tc>
        <w:tc>
          <w:tcPr>
            <w:tcW w:w="2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FF0FC"/>
          </w:tcPr>
          <w:p>
            <w:pPr>
              <w:spacing w:after="0"/>
              <w:rPr>
                <w:sz w:val="22"/>
                <w:szCs w:val="22"/>
                <w:color w:val="auto"/>
              </w:rPr>
            </w:pPr>
          </w:p>
        </w:tc>
        <w:tc>
          <w:tcPr>
            <w:tcW w:w="2260" w:type="dxa"/>
            <w:vAlign w:val="bottom"/>
          </w:tcPr>
          <w:p>
            <w:pPr>
              <w:spacing w:after="0"/>
              <w:rPr>
                <w:sz w:val="22"/>
                <w:szCs w:val="22"/>
                <w:color w:val="auto"/>
              </w:rPr>
            </w:pPr>
          </w:p>
        </w:tc>
      </w:tr>
      <w:tr>
        <w:trPr>
          <w:trHeight w:val="243"/>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5200" w:type="dxa"/>
            <w:vAlign w:val="bottom"/>
            <w:gridSpan w:val="2"/>
          </w:tcPr>
          <w:p>
            <w:pPr>
              <w:ind w:left="380"/>
              <w:spacing w:after="0"/>
              <w:rPr>
                <w:sz w:val="20"/>
                <w:szCs w:val="20"/>
                <w:color w:val="auto"/>
              </w:rPr>
            </w:pPr>
            <w:r>
              <w:rPr>
                <w:rFonts w:ascii="Arial" w:cs="Arial" w:eastAsia="Arial" w:hAnsi="Arial"/>
                <w:sz w:val="18"/>
                <w:szCs w:val="18"/>
                <w:color w:val="auto"/>
              </w:rPr>
              <w:t>Transportation, communications, utilities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2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Real estate investors</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43"/>
        </w:trPr>
        <w:tc>
          <w:tcPr>
            <w:tcW w:w="52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FF0FC"/>
            </w:tcBorders>
          </w:tcPr>
          <w:p>
            <w:pPr>
              <w:spacing w:after="0"/>
              <w:rPr>
                <w:sz w:val="21"/>
                <w:szCs w:val="21"/>
                <w:color w:val="auto"/>
              </w:rPr>
            </w:pPr>
          </w:p>
        </w:tc>
        <w:tc>
          <w:tcPr>
            <w:tcW w:w="2260" w:type="dxa"/>
            <w:vAlign w:val="bottom"/>
          </w:tcPr>
          <w:p>
            <w:pPr>
              <w:spacing w:after="0"/>
              <w:rPr>
                <w:sz w:val="21"/>
                <w:szCs w:val="21"/>
                <w:color w:val="auto"/>
              </w:rPr>
            </w:pPr>
          </w:p>
        </w:tc>
      </w:tr>
      <w:tr>
        <w:trPr>
          <w:trHeight w:val="237"/>
        </w:trPr>
        <w:tc>
          <w:tcPr>
            <w:tcW w:w="52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29,204</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5,302</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6,515</w:t>
            </w:r>
          </w:p>
        </w:tc>
        <w:tc>
          <w:tcPr>
            <w:tcW w:w="220" w:type="dxa"/>
            <w:vAlign w:val="bottom"/>
            <w:tcBorders>
              <w:bottom w:val="single" w:sz="8" w:color="CFF0FC"/>
            </w:tcBorders>
            <w:shd w:val="clear" w:color="auto" w:fill="CFF0FC"/>
          </w:tcPr>
          <w:p>
            <w:pPr>
              <w:spacing w:after="0"/>
              <w:rPr>
                <w:sz w:val="20"/>
                <w:szCs w:val="20"/>
                <w:color w:val="auto"/>
              </w:rPr>
            </w:pPr>
          </w:p>
        </w:tc>
        <w:tc>
          <w:tcPr>
            <w:tcW w:w="2260" w:type="dxa"/>
            <w:vAlign w:val="bottom"/>
          </w:tcPr>
          <w:p>
            <w:pPr>
              <w:spacing w:after="0"/>
              <w:rPr>
                <w:sz w:val="20"/>
                <w:szCs w:val="20"/>
                <w:color w:val="auto"/>
              </w:rPr>
            </w:pPr>
          </w:p>
        </w:tc>
      </w:tr>
      <w:tr>
        <w:trPr>
          <w:trHeight w:val="20"/>
        </w:trPr>
        <w:tc>
          <w:tcPr>
            <w:tcW w:w="26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763"/>
        </w:trPr>
        <w:tc>
          <w:tcPr>
            <w:tcW w:w="2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June 30, 2020</w:t>
            </w:r>
          </w:p>
        </w:tc>
      </w:tr>
      <w:tr>
        <w:trPr>
          <w:trHeight w:val="205"/>
        </w:trPr>
        <w:tc>
          <w:tcPr>
            <w:tcW w:w="16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50"/>
              <w:spacing w:after="0" w:line="205" w:lineRule="exact"/>
              <w:rPr>
                <w:sz w:val="20"/>
                <w:szCs w:val="20"/>
                <w:color w:val="auto"/>
              </w:rPr>
            </w:pPr>
            <w:r>
              <w:rPr>
                <w:rFonts w:ascii="Arial" w:cs="Arial" w:eastAsia="Arial" w:hAnsi="Arial"/>
                <w:sz w:val="18"/>
                <w:szCs w:val="18"/>
                <w:b w:val="1"/>
                <w:bCs w:val="1"/>
                <w:color w:val="auto"/>
              </w:rPr>
              <w:t>COVID-19</w:t>
            </w:r>
          </w:p>
        </w:tc>
        <w:tc>
          <w:tcPr>
            <w:tcW w:w="220" w:type="dxa"/>
            <w:vAlign w:val="bottom"/>
          </w:tcPr>
          <w:p>
            <w:pPr>
              <w:spacing w:after="0"/>
              <w:rPr>
                <w:sz w:val="17"/>
                <w:szCs w:val="17"/>
                <w:color w:val="auto"/>
              </w:rPr>
            </w:pPr>
          </w:p>
        </w:tc>
      </w:tr>
      <w:tr>
        <w:trPr>
          <w:trHeight w:val="216"/>
        </w:trPr>
        <w:tc>
          <w:tcPr>
            <w:tcW w:w="16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Related</w:t>
            </w:r>
          </w:p>
        </w:tc>
      </w:tr>
      <w:tr>
        <w:trPr>
          <w:trHeight w:val="194"/>
        </w:trPr>
        <w:tc>
          <w:tcPr>
            <w:tcW w:w="4860" w:type="dxa"/>
            <w:vAlign w:val="bottom"/>
            <w:gridSpan w:val="2"/>
          </w:tcPr>
          <w:p>
            <w:pPr>
              <w:spacing w:after="0" w:line="194" w:lineRule="exact"/>
              <w:rPr>
                <w:sz w:val="20"/>
                <w:szCs w:val="20"/>
                <w:color w:val="auto"/>
              </w:rPr>
            </w:pPr>
            <w:r>
              <w:rPr>
                <w:rFonts w:ascii="Arial" w:cs="Arial" w:eastAsia="Arial" w:hAnsi="Arial"/>
                <w:sz w:val="18"/>
                <w:szCs w:val="18"/>
                <w:color w:val="auto"/>
              </w:rPr>
              <w:t>Commercial real estate</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6"/>
                <w:szCs w:val="16"/>
                <w:color w:val="auto"/>
              </w:rPr>
            </w:pPr>
          </w:p>
        </w:tc>
        <w:tc>
          <w:tcPr>
            <w:tcW w:w="1520" w:type="dxa"/>
            <w:vAlign w:val="bottom"/>
            <w:gridSpan w:val="2"/>
          </w:tcPr>
          <w:p>
            <w:pPr>
              <w:jc w:val="center"/>
              <w:ind w:right="380"/>
              <w:spacing w:after="0" w:line="194" w:lineRule="exact"/>
              <w:rPr>
                <w:sz w:val="20"/>
                <w:szCs w:val="20"/>
                <w:color w:val="auto"/>
              </w:rPr>
            </w:pPr>
            <w:r>
              <w:rPr>
                <w:rFonts w:ascii="Arial" w:cs="Arial" w:eastAsia="Arial" w:hAnsi="Arial"/>
                <w:sz w:val="18"/>
                <w:szCs w:val="18"/>
                <w:b w:val="1"/>
                <w:bCs w:val="1"/>
                <w:color w:val="auto"/>
                <w:w w:val="91"/>
              </w:rPr>
              <w:t>Modifications</w:t>
            </w: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16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4"/>
          </w:tcPr>
          <w:p>
            <w:pPr>
              <w:jc w:val="center"/>
              <w:ind w:right="150"/>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3"/>
                <w:szCs w:val="13"/>
                <w:color w:val="auto"/>
              </w:rPr>
            </w:pPr>
          </w:p>
        </w:tc>
      </w:tr>
      <w:tr>
        <w:trPr>
          <w:trHeight w:val="229"/>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Investor-owned</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860" w:type="dxa"/>
            <w:vAlign w:val="bottom"/>
            <w:gridSpan w:val="2"/>
          </w:tcPr>
          <w:p>
            <w:pPr>
              <w:ind w:left="260"/>
              <w:spacing w:after="0"/>
              <w:rPr>
                <w:sz w:val="20"/>
                <w:szCs w:val="20"/>
                <w:color w:val="auto"/>
              </w:rPr>
            </w:pPr>
            <w:r>
              <w:rPr>
                <w:rFonts w:ascii="Arial" w:cs="Arial" w:eastAsia="Arial" w:hAnsi="Arial"/>
                <w:sz w:val="18"/>
                <w:szCs w:val="18"/>
                <w:color w:val="auto"/>
              </w:rPr>
              <w:t>Permanent finance by property type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Retail/Service</w:t>
            </w:r>
          </w:p>
        </w:tc>
        <w:tc>
          <w:tcPr>
            <w:tcW w:w="1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FF0FC"/>
          </w:tcPr>
          <w:p>
            <w:pPr>
              <w:spacing w:after="0"/>
              <w:rPr>
                <w:sz w:val="19"/>
                <w:szCs w:val="19"/>
                <w:color w:val="auto"/>
              </w:rPr>
            </w:pPr>
          </w:p>
        </w:tc>
      </w:tr>
      <w:tr>
        <w:trPr>
          <w:trHeight w:val="229"/>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Apartments/Multifamily</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9"/>
                <w:szCs w:val="19"/>
                <w:color w:val="auto"/>
              </w:rPr>
            </w:pPr>
          </w:p>
        </w:tc>
      </w:tr>
      <w:tr>
        <w:trPr>
          <w:trHeight w:val="229"/>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Office</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FF0FC"/>
          </w:tcPr>
          <w:p>
            <w:pPr>
              <w:spacing w:after="0"/>
              <w:rPr>
                <w:sz w:val="19"/>
                <w:szCs w:val="19"/>
                <w:color w:val="auto"/>
              </w:rPr>
            </w:pPr>
          </w:p>
        </w:tc>
      </w:tr>
      <w:tr>
        <w:trPr>
          <w:trHeight w:val="230"/>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Hotel</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19"/>
                <w:szCs w:val="19"/>
                <w:color w:val="auto"/>
              </w:rPr>
            </w:pPr>
          </w:p>
        </w:tc>
      </w:tr>
      <w:tr>
        <w:trPr>
          <w:trHeight w:val="229"/>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Health facilities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r>
      <w:tr>
        <w:trPr>
          <w:trHeight w:val="230"/>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Industrial/Warehouse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r>
      <w:tr>
        <w:trPr>
          <w:trHeight w:val="229"/>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r>
      <w:tr>
        <w:trPr>
          <w:trHeight w:val="223"/>
        </w:trPr>
        <w:tc>
          <w:tcPr>
            <w:tcW w:w="4860" w:type="dxa"/>
            <w:vAlign w:val="bottom"/>
            <w:tcBorders>
              <w:bottom w:val="single" w:sz="8" w:color="CFF0FC"/>
            </w:tcBorders>
            <w:gridSpan w:val="2"/>
          </w:tcPr>
          <w:p>
            <w:pPr>
              <w:ind w:left="620"/>
              <w:spacing w:after="0"/>
              <w:rPr>
                <w:sz w:val="20"/>
                <w:szCs w:val="20"/>
                <w:color w:val="auto"/>
              </w:rPr>
            </w:pPr>
            <w:r>
              <w:rPr>
                <w:rFonts w:ascii="Arial" w:cs="Arial" w:eastAsia="Arial" w:hAnsi="Arial"/>
                <w:sz w:val="18"/>
                <w:szCs w:val="18"/>
                <w:color w:val="auto"/>
              </w:rPr>
              <w:t>Total permanent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5,853</w:t>
            </w:r>
          </w:p>
        </w:tc>
        <w:tc>
          <w:tcPr>
            <w:tcW w:w="220" w:type="dxa"/>
            <w:vAlign w:val="bottom"/>
            <w:tcBorders>
              <w:bottom w:val="single" w:sz="8" w:color="CFF0FC"/>
            </w:tcBorders>
          </w:tcPr>
          <w:p>
            <w:pPr>
              <w:spacing w:after="0"/>
              <w:rPr>
                <w:sz w:val="19"/>
                <w:szCs w:val="19"/>
                <w:color w:val="auto"/>
              </w:rPr>
            </w:pPr>
          </w:p>
        </w:tc>
      </w:tr>
      <w:tr>
        <w:trPr>
          <w:trHeight w:val="223"/>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Total construction/development</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20" w:type="dxa"/>
            <w:vAlign w:val="bottom"/>
            <w:shd w:val="clear" w:color="auto" w:fill="CFF0FC"/>
          </w:tcPr>
          <w:p>
            <w:pPr>
              <w:spacing w:after="0"/>
              <w:rPr>
                <w:sz w:val="19"/>
                <w:szCs w:val="19"/>
                <w:color w:val="auto"/>
              </w:rPr>
            </w:pPr>
          </w:p>
        </w:tc>
      </w:tr>
      <w:tr>
        <w:trPr>
          <w:trHeight w:val="223"/>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investor-owned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30,057</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220" w:type="dxa"/>
            <w:vAlign w:val="bottom"/>
            <w:tcBorders>
              <w:bottom w:val="single" w:sz="8" w:color="CFF0FC"/>
            </w:tcBorders>
          </w:tcPr>
          <w:p>
            <w:pPr>
              <w:spacing w:after="0"/>
              <w:rPr>
                <w:sz w:val="19"/>
                <w:szCs w:val="19"/>
                <w:color w:val="auto"/>
              </w:rPr>
            </w:pPr>
          </w:p>
        </w:tc>
      </w:tr>
      <w:tr>
        <w:trPr>
          <w:trHeight w:val="22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Owner-occupied by industry</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Other services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9"/>
                <w:szCs w:val="19"/>
                <w:color w:val="auto"/>
              </w:rPr>
            </w:pPr>
          </w:p>
        </w:tc>
      </w:tr>
      <w:tr>
        <w:trPr>
          <w:trHeight w:val="229"/>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Retail</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FF0FC"/>
          </w:tcPr>
          <w:p>
            <w:pPr>
              <w:spacing w:after="0"/>
              <w:rPr>
                <w:sz w:val="19"/>
                <w:szCs w:val="19"/>
                <w:color w:val="auto"/>
              </w:rPr>
            </w:pPr>
          </w:p>
        </w:tc>
      </w:tr>
      <w:tr>
        <w:trPr>
          <w:trHeight w:val="229"/>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Motor vehicle and recreational finance dealers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9"/>
                <w:szCs w:val="19"/>
                <w:color w:val="auto"/>
              </w:rPr>
            </w:pPr>
          </w:p>
        </w:tc>
      </w:tr>
      <w:tr>
        <w:trPr>
          <w:trHeight w:val="230"/>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Health services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FF0FC"/>
          </w:tcPr>
          <w:p>
            <w:pPr>
              <w:spacing w:after="0"/>
              <w:rPr>
                <w:sz w:val="19"/>
                <w:szCs w:val="19"/>
                <w:color w:val="auto"/>
              </w:rPr>
            </w:pPr>
          </w:p>
        </w:tc>
      </w:tr>
      <w:tr>
        <w:trPr>
          <w:trHeight w:val="229"/>
        </w:trPr>
        <w:tc>
          <w:tcPr>
            <w:tcW w:w="4860" w:type="dxa"/>
            <w:vAlign w:val="bottom"/>
            <w:gridSpan w:val="2"/>
          </w:tcPr>
          <w:p>
            <w:pPr>
              <w:ind w:left="380"/>
              <w:spacing w:after="0"/>
              <w:rPr>
                <w:sz w:val="20"/>
                <w:szCs w:val="20"/>
                <w:color w:val="auto"/>
              </w:rPr>
            </w:pPr>
            <w:r>
              <w:rPr>
                <w:rFonts w:ascii="Arial" w:cs="Arial" w:eastAsia="Arial" w:hAnsi="Arial"/>
                <w:sz w:val="18"/>
                <w:szCs w:val="18"/>
                <w:color w:val="auto"/>
              </w:rPr>
              <w:t>Wholesale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r>
      <w:tr>
        <w:trPr>
          <w:trHeight w:val="230"/>
        </w:trPr>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Manufacturing</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FF0FC"/>
            </w:tcBorders>
          </w:tcPr>
          <w:p>
            <w:pPr>
              <w:spacing w:after="0"/>
              <w:rPr>
                <w:sz w:val="19"/>
                <w:szCs w:val="19"/>
                <w:color w:val="auto"/>
              </w:rPr>
            </w:pPr>
          </w:p>
        </w:tc>
      </w:tr>
      <w:tr>
        <w:trPr>
          <w:trHeight w:val="223"/>
        </w:trPr>
        <w:tc>
          <w:tcPr>
            <w:tcW w:w="4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Total owner-occupied</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7,102</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20" w:type="dxa"/>
            <w:vAlign w:val="bottom"/>
            <w:shd w:val="clear" w:color="auto" w:fill="CFF0FC"/>
          </w:tcPr>
          <w:p>
            <w:pPr>
              <w:spacing w:after="0"/>
              <w:rPr>
                <w:sz w:val="19"/>
                <w:szCs w:val="19"/>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37,159</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8,682</w:t>
            </w:r>
          </w:p>
        </w:tc>
        <w:tc>
          <w:tcPr>
            <w:tcW w:w="22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5"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Loan officers in different geographic locations with the support of the Company’s credit department personnel review and reassign loan grades based on their detailed knowledge of individual borrowers and the regions in which they operate. The Company re-assessed its loan grades for those borrowers most impacted by COVID-19 in the second quarter of 2020 and expects that loans will continue to be re-graded in subsequent period as more information becomes available. At least annually, however,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spacing w:after="0" w:line="80"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2020, approximately 60% of the Company’s home equity portfolio consisted of first lien loans and lines of credit. Of the remaining junior lien loans in the portfolio, approximately 60% (or approximately 23%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20"/>
          <w:szCs w:val="20"/>
          <w:color w:val="auto"/>
        </w:rPr>
        <w:t>loan or line that is owned by the Company is placed on nonaccrual status. At June 30, 2020, the balance of junior lien loans and lines that were in nonaccrual status solely as a result of first lien loan performance was $4 million, compared with $5 million at June 30, 2019 and $6 million at each of December 31, 2019 and March 31, 2020.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2020, approximately 83% of all outstanding balances of home equity lines of credit related to lines that were still in the draw period, the weighted-average remaining draw periods were approximately six years, and approximately 18% were making contractually allowed payments that do not include any repayment of principal.</w:t>
      </w:r>
    </w:p>
    <w:p>
      <w:pPr>
        <w:spacing w:after="0" w:line="7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June 30, 2020, March 31, 2020 and January 1, 2020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Changes in the forecasted economic assumptions from January 1, 2020 to June 30, 2020 primarily reflect the projected impact of the COVID-19 pandemic. The assumptions utilized as of June 30, 2020 reflected a longer period of economic recovery than previously assumed. Those assumptions included a decline in the unemployment rate in the third quarter of 2020 to approximately 9% from a peak of nearly 14% in the second quarter of 2020, followed by a sustained high single-digit unemployment rate through 2022. The forecast also assumed gross domestic product to contract nearly 7% in 2020 and to then recover to pre-pandemic levels by the second quarter of 2022. Commercial real estate prices were assumed to decline by 15% in the first forecast year, followed by improvement. Residential real estate prices were not assumed to fluctuate significantly. The forecast at March 31, 2020 reflected a sharp contraction of economic activity in the second quarter of 2020 resulting in a projected unemployment rate of 9.3% and an annualized rate of decrease in gross domestic product as low as 26.1% with a decrease of 2.9% during 2020. Additionally, commercial real estate prices were anticipated to decline by an average of 15.6% in the first forecast year, followed by improvement of 9.8% in year 2. The forecast utilized as of March 31 contemplated a significant economic recovery beginning in the third quarter of 2020. The assumptions utilized as of January 1, 2020 at the time of adoption of the expected credit loss accounting standard were significantly less severe. Those assumptions anticipated unemployment rates that averaged under 4% and steady growth in gross domestic product of 3.3% over the eight quarter forecast period. Forecasted changes in real estate prices as of that date were not significant. The assumptions utilized were based on information available to the Company at or near June 30, 2020, March 31, 2020 and January 1, 2020 at the time it was preparing its estimate of expected credit losses as of those 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4" w:name="page75"/>
    <w:bookmarkEnd w:id="74"/>
    <w:p>
      <w:pPr>
        <w:jc w:val="both"/>
        <w:ind w:firstLine="510"/>
        <w:spacing w:after="0" w:line="269" w:lineRule="auto"/>
        <w:rPr>
          <w:sz w:val="20"/>
          <w:szCs w:val="20"/>
          <w:color w:val="auto"/>
        </w:rPr>
      </w:pPr>
      <w:r>
        <w:rPr>
          <w:rFonts w:ascii="Arial" w:cs="Arial" w:eastAsia="Arial" w:hAnsi="Arial"/>
          <w:sz w:val="19"/>
          <w:szCs w:val="19"/>
          <w:color w:val="auto"/>
        </w:rPr>
        <w:t>In establishing the allowance for credit losses the Company also considers the impact of portfolio concentrations, changes in underwriting practices, product expansions into new markets, imprecision in its economic forecasts, geopolitical conditions and other risk factors that influence its loss estimation process. Geopolitical conditions assessed at June 30, 2020 and March 31, 2020 included the potential impact of COVID-19 on economic activity that could influence the ability of customers to repay loan amounts in accordance with their contractual obligations. With respect to economic forecasts the Company assessed the likelihood of alternative economic scenarios during the two-year reasonable and supportable time period and of more negative or positive outcomes on its allowance for credit losses. Economic forecasts have changed rapidly in the recent past due to the uncertain impacts of COVID-</w:t>
      </w:r>
    </w:p>
    <w:p>
      <w:pPr>
        <w:spacing w:after="0" w:line="5" w:lineRule="exact"/>
        <w:rPr>
          <w:sz w:val="20"/>
          <w:szCs w:val="20"/>
          <w:color w:val="auto"/>
        </w:rPr>
      </w:pPr>
    </w:p>
    <w:p>
      <w:pPr>
        <w:jc w:val="both"/>
        <w:ind w:right="20" w:firstLine="8"/>
        <w:spacing w:after="0" w:line="243" w:lineRule="auto"/>
        <w:tabs>
          <w:tab w:leader="none" w:pos="432" w:val="left"/>
        </w:tabs>
        <w:numPr>
          <w:ilvl w:val="0"/>
          <w:numId w:val="22"/>
        </w:numPr>
        <w:rPr>
          <w:rFonts w:ascii="Arial" w:cs="Arial" w:eastAsia="Arial" w:hAnsi="Arial"/>
          <w:sz w:val="21"/>
          <w:szCs w:val="21"/>
          <w:color w:val="auto"/>
        </w:rPr>
      </w:pPr>
      <w:r>
        <w:rPr>
          <w:rFonts w:ascii="Arial" w:cs="Arial" w:eastAsia="Arial" w:hAnsi="Arial"/>
          <w:sz w:val="21"/>
          <w:szCs w:val="21"/>
          <w:color w:val="auto"/>
        </w:rPr>
        <w:t>Generally, an increase in unemployment rate or a decrease in any of the rate of positive change in gross domestic product, commercial real estate prices or home prices would have an adverse impact on expected credit losses and would likely result in an increase to the allowance for credit losses.</w:t>
      </w:r>
    </w:p>
    <w:p>
      <w:pPr>
        <w:spacing w:after="0" w:line="85"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Further information about the Company’s methodology to estimate expected credit losses is included in note 3 of Notes to Financial Statements.</w:t>
      </w:r>
    </w:p>
    <w:p>
      <w:pPr>
        <w:spacing w:after="0" w:line="63"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9"/>
          <w:szCs w:val="19"/>
          <w:color w:val="auto"/>
        </w:rPr>
        <w:t>Management believes that the allowance for credit losses at June 30, 2020 appropriately reflected expected credit losses inherent in the portfolio as of that date. The allowance for credit losses totaled $1.64 billion at June 30, 2020 and $1.38 billion at March 31, 2020, compared with $1.18 billion on January 1, 2020 when the new accounting pronouncement became effective. The increases in the allowance for credit losses during the first and second quarters of 2020 were primarily the result of deteriorating forecasted economic conditions as a result of the COVID-19 pandemic. The allowance for credit losses totaled $1.03 billion at June 30, 2019, and $1.05 billion at December 31, 2019. As a percentage of loans and leases outstanding, the allowance was 1.68% at June 30, 2020, compared with 1.47% at March 31, 2020, 1.30% at January 1, 2020, 1.15% as of June 30, 2019 and 1.16% at December 31, 2019. Excluding the impact of government-guaranteed PPP loans originated by the Company in the second quarter of 2020, the allowance as a percentage of total loans and leases at June 30, 2020 was 1.79%. The level of the allowance reflects management’s evaluation of the loan and lease portfolio using the methodology and considering the factors previously referred to.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income totaled $487 million in the second quarter of 2020, compared with $512 million in the year-earlier quarter and $529 million in the first quarter of 2020. The lower level of such income in the most recent quarter as compared with the prior periods reflects declines in service charges on deposit accounts, trading account and foreign exchange gains, merchant discount and credit card fees, and loan syndication fees, partially offset by higher residential mortgage banking revenues and trust income. During the first quarter of 2020, $23 million of income was received from Bayview Lending Group LLC, offsetting the impact of $21 million of unrealized losses on investment securities on total other income during that quarter.</w:t>
      </w:r>
    </w:p>
    <w:p>
      <w:pPr>
        <w:spacing w:after="0" w:line="71" w:lineRule="exact"/>
        <w:rPr>
          <w:sz w:val="20"/>
          <w:szCs w:val="20"/>
          <w:color w:val="auto"/>
        </w:rPr>
      </w:pPr>
    </w:p>
    <w:p>
      <w:pPr>
        <w:jc w:val="both"/>
        <w:ind w:firstLine="510"/>
        <w:spacing w:after="0" w:line="247" w:lineRule="auto"/>
        <w:rPr>
          <w:sz w:val="20"/>
          <w:szCs w:val="20"/>
          <w:color w:val="auto"/>
        </w:rPr>
      </w:pPr>
      <w:r>
        <w:rPr>
          <w:rFonts w:ascii="Arial" w:cs="Arial" w:eastAsia="Arial" w:hAnsi="Arial"/>
          <w:sz w:val="21"/>
          <w:szCs w:val="21"/>
          <w:color w:val="auto"/>
        </w:rPr>
        <w:t>Mortgage banking revenues were $145 million in the recent quarter, compared with $107 million in the second quarter of 2019 and $128 million in the initial 2020 quarter.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8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$111 million in the second quarter of 2020, compared with $72 million in the similar quarter of 2019 and $98 million in the first 2020 quarter. As compared with the second quarter of 2019 and the immediately preceeding quarter, the higher residential mortgage banking revenues in the recent quarter resulted from increased gains associated with loans held for sale and related commitments, reflecting higher origination volumes and improved margins.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5" w:name="page76"/>
    <w:bookmarkEnd w:id="75"/>
    <w:p>
      <w:pPr>
        <w:jc w:val="both"/>
        <w:ind w:firstLine="510"/>
        <w:spacing w:after="0" w:line="279" w:lineRule="auto"/>
        <w:rPr>
          <w:sz w:val="20"/>
          <w:szCs w:val="20"/>
          <w:color w:val="auto"/>
        </w:rPr>
      </w:pPr>
      <w:r>
        <w:rPr>
          <w:rFonts w:ascii="Arial" w:cs="Arial" w:eastAsia="Arial" w:hAnsi="Arial"/>
          <w:sz w:val="19"/>
          <w:szCs w:val="19"/>
          <w:color w:val="auto"/>
        </w:rPr>
        <w:t>New commitments to originate residential real estate loans to be sold were approximately $1.1 billion in the second quarter of 2020, compared with $723 million in the year-earlier quarter and $919 million in the initial 2020 quarter.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$52 million in the second quarter of 2020, $13 million in the corresponding period of 2019 and $31 million in 2020’s first quarter.</w:t>
      </w:r>
    </w:p>
    <w:p>
      <w:pPr>
        <w:spacing w:after="0" w:line="53" w:lineRule="exact"/>
        <w:rPr>
          <w:sz w:val="20"/>
          <w:szCs w:val="20"/>
          <w:color w:val="auto"/>
        </w:rPr>
      </w:pPr>
    </w:p>
    <w:p>
      <w:pPr>
        <w:jc w:val="both"/>
        <w:ind w:firstLine="510"/>
        <w:spacing w:after="0" w:line="244" w:lineRule="auto"/>
        <w:rPr>
          <w:sz w:val="20"/>
          <w:szCs w:val="20"/>
          <w:color w:val="auto"/>
        </w:rPr>
      </w:pPr>
      <w:r>
        <w:rPr>
          <w:rFonts w:ascii="Arial" w:cs="Arial" w:eastAsia="Arial" w:hAnsi="Arial"/>
          <w:sz w:val="21"/>
          <w:szCs w:val="21"/>
          <w:color w:val="auto"/>
        </w:rPr>
        <w:t>Loans held for sale that were secured by residential real estate aggregated $440 million at June 30, 2020, $294 million at June 30, 2019 and $414 million at December 31, 2019. Commitments to sell residential real estate loans and commitments to originate residential real estate loans for sale at pre-determined rates totaled $986 million and $1.03 billion, respectively, at June 30, 2020, compared with $626 million and $473 million, respectively, at June 30, 2019 and $713 million and $423 million, respectively, at December 31, 2019. Net recognized unrealized gains on residential real estate loans held for sale, commitments to sell loans, and commitments to originate loans for sale were $43 million and $9 million at June 30, 2020 and June 30, 2019, respectively, compared with $12 million at December 31, 2019. Changes in net unrealized gains or losses are recorded in mortgage banking revenues and resulted in net increases in revenues of $26 million in the recent quarter, $2 million in the second quarter of 2019 and $5 million in the first quarter of 2020.</w:t>
      </w:r>
    </w:p>
    <w:p>
      <w:pPr>
        <w:spacing w:after="0" w:line="85"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Revenues from servicing residential real estate loans for others were $59 million during each of the quarters ended June 30, 2020 and 2019, compared with $67 million during the three months ended March 31, 2020. Residential real estate loans serviced for others totaled $95.1 billion at June 30, 2020, $102.9 billion at June 30, 2019, $95.1 billion at December 31, 2019 and $93.5 billion at March 31, 2020. Reflected in residential real estate loans serviced for others were loans sub-serviced for others of $64.7 billion, $68.7 billion, $62.8 billion and $61.9 billion at June 30, 2020, June 30, 2019, December 31, 2019 and March 31, 2020, respectively. Revenues earned for sub-servicing loans totaled $34 million during the recent quarter, compared with $29 million in the second quarter of 2019 and $37 million in the first quarter of 2020. During the first and second quarters of 2020, the Company added approximately $2.0 billion and $6.9 billion, respectively, to its residential mortgage loan sub-servicing portfolio. The Company added approximately $16.6 billion to its residential mortgage loan sub-servicing portfolio during the second quarter of 2019 and another $1.0 billion was added during the fourth quarter of 2019. The contractual servicing rights associated with loans sub-serviced by the Company were predominantly held by affiliates of BLG. Information about the Company’s relationship with BLG and its affiliates is included in note 14 of Notes to Financial Statements.</w:t>
      </w:r>
    </w:p>
    <w:p>
      <w:pPr>
        <w:spacing w:after="0" w:line="8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21"/>
          <w:szCs w:val="21"/>
          <w:color w:val="auto"/>
        </w:rPr>
        <w:t>Capitalized residential mortgage servicing assets totaled $211 million at June 30, 2020 (net of a $27 million valuation allowance), $245 million at June 30, 2019 (net of a $9 million valuation allowance), $237 million at December 31, 2019 (net of a $7 million valuation allowance) and $224 million at March 31, 2020 (net of a $17 million valuation allowance). A provision for impairment of capitalized residential mortgage servicing rights of $10 million was recorded in each of the first and second quarters of 2020, and a similar charge of $9 million was recorded during the second quarter of 2019. Those provisions resulted from changes in the estimated fair value of capitalized mortgage servicing rights that reflected the impact of lower interest rates on the expected rate of residential mortgage loan prepayments.</w:t>
      </w:r>
    </w:p>
    <w:p>
      <w:pPr>
        <w:spacing w:after="0" w:line="83" w:lineRule="exact"/>
        <w:rPr>
          <w:sz w:val="20"/>
          <w:szCs w:val="20"/>
          <w:color w:val="auto"/>
        </w:rPr>
      </w:pPr>
    </w:p>
    <w:p>
      <w:pPr>
        <w:jc w:val="both"/>
        <w:ind w:firstLine="510"/>
        <w:spacing w:after="0" w:line="271" w:lineRule="auto"/>
        <w:rPr>
          <w:sz w:val="20"/>
          <w:szCs w:val="20"/>
          <w:color w:val="auto"/>
        </w:rPr>
      </w:pPr>
      <w:r>
        <w:rPr>
          <w:rFonts w:ascii="Arial" w:cs="Arial" w:eastAsia="Arial" w:hAnsi="Arial"/>
          <w:sz w:val="19"/>
          <w:szCs w:val="19"/>
          <w:color w:val="auto"/>
        </w:rPr>
        <w:t>Commercial mortgage banking revenues totaled $34 million in the recent quarter, compared with $35 million and $30 million in the second quarter of 2019 and first quarter of 2020, respectively. Included in such amounts were revenues from loan origination and sales activities of $19 million in the second quarter of 2020, $21 million in the year-earlier quarter and $14 million in the first quarter of 2020. Commercial real estate loans originated for sale to other investors were approximately $729 million in the recent quarter, compared with $1.1 billion in the second quarter of 2019 and $611 million in the first quarter of 2020. Loan servicing revenues totaled $15 million and $16 million in the second and first quarters of 2020, respectively, compared with $14 million in the second 2019 quarter. Capitalized commercial mortgage servicing assets were $128 million and $117 million at June 30, 2020 and 2019, respectively, and $131 million at December 31, 2019. Commercial real estate loans serviced for other investors totaled $21.4 billion at June 30, 2020, $19.6 billion at June 30, 2019 and $21.0 billion at December 31, 2019. Those servicing amounts included $3.9 billion at each of June 30, 2020 and December 31, 2019 and $3.6 billion at June 30, 2019, of loan balances for which investors had recourse to the Company if such balances are ultimately uncollectible. Commitments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6" w:name="page77"/>
    <w:bookmarkEnd w:id="76"/>
    <w:p>
      <w:pPr>
        <w:jc w:val="both"/>
        <w:ind w:right="20"/>
        <w:spacing w:after="0" w:line="249" w:lineRule="auto"/>
        <w:rPr>
          <w:sz w:val="20"/>
          <w:szCs w:val="20"/>
          <w:color w:val="auto"/>
        </w:rPr>
      </w:pPr>
      <w:r>
        <w:rPr>
          <w:rFonts w:ascii="Arial" w:cs="Arial" w:eastAsia="Arial" w:hAnsi="Arial"/>
          <w:sz w:val="21"/>
          <w:szCs w:val="21"/>
          <w:color w:val="auto"/>
        </w:rPr>
        <w:t>to sell commercial real estate loans and commitments to originate commercial real estate loans for sale were $492 million and $237 million, respectively, at June 30, 2020, $751 million and $247 million, respectively, at June 30, 2019 and $193 million and $164 million, respectively, at December 31, 2019. Commercial real estate loans held for sale at June 30, 2020, June 30, 2019 and December 31, 2019 were $255 million, $504 million and $28 million, respectively.</w:t>
      </w:r>
    </w:p>
    <w:p>
      <w:pPr>
        <w:spacing w:after="0" w:line="78" w:lineRule="exact"/>
        <w:rPr>
          <w:sz w:val="20"/>
          <w:szCs w:val="20"/>
          <w:color w:val="auto"/>
        </w:rPr>
      </w:pPr>
    </w:p>
    <w:p>
      <w:pPr>
        <w:jc w:val="both"/>
        <w:ind w:firstLine="510"/>
        <w:spacing w:after="0" w:line="262" w:lineRule="auto"/>
        <w:rPr>
          <w:sz w:val="20"/>
          <w:szCs w:val="20"/>
          <w:color w:val="auto"/>
        </w:rPr>
      </w:pPr>
      <w:r>
        <w:rPr>
          <w:rFonts w:ascii="Arial" w:cs="Arial" w:eastAsia="Arial" w:hAnsi="Arial"/>
          <w:sz w:val="20"/>
          <w:szCs w:val="20"/>
          <w:color w:val="auto"/>
        </w:rPr>
        <w:t>Service charges on deposit accounts were $77 million and $108 million in the second quarters of 2020 and 2019, respectively, and $106 million in the first quarter of 2020. The decrease in such service charges in the recent quarter as compared with the preceding quarters resulted from lower consumer service charges, predominantly resulting from COVID-19 related fee waivers and lower debit card and other customer transaction activity, and decreased commercial service charges, largely due to higher customer deposit levels that can be used by those customers to offset transaction-related fees.</w:t>
      </w:r>
    </w:p>
    <w:p>
      <w:pPr>
        <w:spacing w:after="0" w:line="68"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$152 million in the second quarter of 2020, compared with $144 million in the year-earlier quarter and $149 million in the first quarter of 2020. Revenues associated with the ICS business were approximately $85 million during each of the two most recent quarters, compared with $77 million during the quarter ended June 30, 2019. The higher revenues in the most recent quarter as compared with the year-earlier quarter reflect the impact of higher sales activities and increased retirement services income resulting from growth in collective fund balances. Revenues attributable to WAS totaled approximately $60 million during each of the three-month periods ended June 30, 2020 and 2019 and $56 million for the three-month period ended March 31, 2020. The higher revenues in the recent quarter as compared with the first quarter of 2020 reflected annual tax service fees earned for assisting customers with their tax filings. Trust assets under management were $114.4 billion, $97.6 billion, $103.6 billion and $113.0 billion at June 30, 2020, June 30, 2019, March 31, 2020 and December 31, 2019, respectively. Trust assets under management include the Company’s proprietary mutual funds’ assets of $12.6 billion, $11.8 billion, $12.8 billion and $12.5 billion at June 30, 2020, June 30, 2019, March 31, 2020 and December 31, 2019, respectively. Additional trust income from investment management activities was $7 million in each of the second quarters of 2020 and 2019, compared with $8 million in the initial 2020 quarter and is predominantly comprised of fees earned from retail customer investment accounts.</w:t>
      </w:r>
    </w:p>
    <w:p>
      <w:pPr>
        <w:spacing w:after="0" w:line="72"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20"/>
          <w:szCs w:val="20"/>
          <w:color w:val="auto"/>
        </w:rPr>
        <w:t>Brokerage services income, which includes revenues from the sale of mutual funds and annuities and securities brokerage fees, totaled $10 million in the recent quarter, compared with $12 million in the second quarter of 2019 and $13 million in the first quarter of 2020. Trading account and foreign exchange activity resulted in gains of $8 million, $18 million and $21 million during the quarters ended June 30, 2020, June 30, 2019 and March 31, 2020, respectively. The lower gains in the recent quarter as compared with the prior quarters were predominantly due to decreased activity related to interest rate swap agreements executed on behalf of commercial customers.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9 of Notes to Financial Statements and herein under the heading “Taxable-equivalent Net Interest Income.”</w:t>
      </w:r>
    </w:p>
    <w:p>
      <w:pPr>
        <w:spacing w:after="0" w:line="75"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The Company recognized net gains on investment securities of $7 million in the recent quarter and $9 million in the second quarter of 2019, compared with net losses of $21 million in the first quarter of 2020. The gains and losses represented unrealized gains and losses on investments in Fannie Mae and Freddie Mac preferred stock.</w:t>
      </w:r>
    </w:p>
    <w:p>
      <w:pPr>
        <w:spacing w:after="0" w:line="76"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Other revenues from operations were $87 million in the second quarter of 2020, compared with $113 million in the corresponding 2019 period and $133 million in the initial quarter of 2020. Contributing to the decline in such revenues in the recent quarter as compared with the prior quarters were the impact of reduced customer activity 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9"/>
          <w:szCs w:val="19"/>
          <w:color w:val="auto"/>
        </w:rPr>
        <w:t>merchant discount and credit card fees and loan syndication fees. Additionally, during the first 2020 quarter, M&amp;T received $23 million of income from BLG. There was no similar income in the second quarters of 2020 or 2019. Included in other revenues from operations were the following significant components. Letter of credit and other credit-related fees aggregated $25 million in the recent quarter, compared with $29 million in the year-earlier quarter and $32 million in the first quarter of 2020. Revenues from merchant discount and credit card fees were $23 million in the second quarter of 2020, compared with $31 million in the year-earlier quarter and $30 million in the initial 2020 quarter. Tax-exempt income from bank owned life insurance, which includes increases in the cash surrender value of life insurance policies and benefits received, totaled $13 million in the recent quarter, compared with $14 million in the second quarter of 2019 and $12 million in the first quarter of 2020. Insurance-related sales commissions and other revenues totaled $10 million in the quarter ended June 30, 2020, compared with $12 million and $15 million in 2019’s second quarter and 2020’s first quarter, respectively. M&amp;T’s investment in BLG resulted in income in the first quarter of 2020 of $23 million. As previously noted, there was no such income in the second quarters of 2020 or 2019.</w:t>
      </w:r>
    </w:p>
    <w:p>
      <w:pPr>
        <w:spacing w:after="0" w:line="67"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Other income totaled $1.02 billion during the first six months of 2020, up $4 million as compared with $1.01 billion in the year-earlier period. Higher mortgage banking revenues and trust income in 2020 were largely offset by decreases in service charges on deposit accounts, income from BLG and merchant discount and credit card fees, and unrealized losses on investment securities.</w:t>
      </w:r>
    </w:p>
    <w:p>
      <w:pPr>
        <w:spacing w:after="0" w:line="40"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20"/>
          <w:szCs w:val="20"/>
          <w:color w:val="auto"/>
        </w:rPr>
        <w:t>Mortgage banking revenues totaled $273 million during the first six months of 2020, compared with $203 million during the similar period in 2019. Residential mortgage banking revenues aggregated $210 million and $138 million during the six-month periods ended June 30, 2020 and 2019, respectively. New commitments to originate residential real estate loans to be sold aggregated $2.1 billion and $1.1 billion in the initial six months of 2020 and 2019,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$84 million and $23 million in the six-month periods ended June 30, 2020 and 2019, respectively. Revenues from servicing residential real estate loans for others were $126 million in the first half of 2020 and $115 million in the corresponding 2019 period. Included in servicing revenues were sub-servicing revenues aggregating $71 million and $57 million in the first six months of 2020 and 2019, respectively. For the six months ended June 30, commercial mortgage banking revenues were $63 million and $65 million in 2020 and 2019, respectively. Commercial real estate loans originated for sale to other investors totaled $1.3 billion and $1.8 billion during the six-month periods ended June 30, 2020 and 2019, respectively.</w:t>
      </w:r>
    </w:p>
    <w:p>
      <w:pPr>
        <w:spacing w:after="0" w:line="80"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Service charges on deposit accounts aggregated $184 million during the first half of 2020, compared with $211 million in the year-earlier period. That decline was predominantly due to lower consumer service charges resulting from the impact of the pandemic, reflecting waived fees and lower debit card and other customer transaction activity. Trust income totaled $301 million and $277 million during the first six months of 2020 and 2019, respectively. The increase in trust income in 2020 as compared with 2019 was largely due to higher revenues from the ICS business, reflecting both sales activities and higher retirement services income from growth in collective fund balances. Brokerage services income totaled $24 million in the first half of 2020, compared with $25 million in the six-month period ended June 30, 2019. Trading account and foreign exchange activity resulted in gains of $29 million during each of the first six months of 2020 and 2019.</w:t>
      </w:r>
    </w:p>
    <w:p>
      <w:pPr>
        <w:spacing w:after="0" w:line="74"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21"/>
          <w:szCs w:val="21"/>
          <w:color w:val="auto"/>
        </w:rPr>
        <w:t>Net unrealized losses on investment securities totaling $14 million were recognized during the first six months of 2020, compared with net unrealized gains of $21 million in the corresponding 2019 period.</w:t>
      </w:r>
    </w:p>
    <w:p>
      <w:pPr>
        <w:spacing w:after="0" w:line="198"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Other revenues from operations totaled $220 million in the first half of 2020, compared with $247 million in the year-earlier period. Other revenues from operations include the following significant components. Letter of credit and other credit-related fees aggregated $56 million and $53 million in 2020 and 2019, respectively. Income from bank owned life insurance totaled $25 million in the first six months of 2020, compared with $26 million in the corresponding 2019 period. Merchant discount and credit card fees were $52 million and $58 million in the first six months of 2020 and 2019, respectively. Insurance-related commissions and other revenues aggregated $25 million and $26 million in 2020 and 2019, respectively. M&amp;T’s investment in BLG resulted in income of $23 million in the first six months of 2020 and $37 million in the similar 2019 period.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Other Expense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Other expense totaled $807 million in the second quarter of 2020, compared with $873 million in the year-earlier quarter and $906 million in the first quarter of 2020. Included in those amounts are expenses considered to be “nonoperating” in nature consisting of amortization of core deposit and other intangible assets of $4 million in each of the two most recent quarters and $5 million in the second quarter of 2019. Exclusive of those nonoperating expenses, noninterest operating expenses were $803 million in the recent quarter, compared with $868 million in the second quarter of 2019 and $903 million in the initial 2020 quarter. The lower level of expenses in the recent quarter as compared with the second quarter of 2019 was largely attributable to a $48 million charge recorded in the 2019 period to reduce the carrying value of an investment in an asset manager that had been accounted for using the equity method of accounting to its estimated realizable value. The sale of that investment was completed in September 2019. Also contributing to the decreased expenses were lower costs for professional services, advertising and marketing, and travel and entertainment. The last two categories reflect reduced business activities during the COVID-19 pandemic. The recent quarter’s decline in noninterest operating expenses as compared with the first quarter of 2020 was largely attributable to lower salaries and employee benefits expenses, reflecting seasonally higher stock-based compensation and employee benefits expenses in the initial 2020 quarter and reduced incentive compensation in 2020’s second quarter resulting from the pandemic-related slowdown in business activity, and decreases in advertising and marketing, and travel and entertainment costs. Table 2 provides a reconciliation of other expense to noninterest operating expense.</w:t>
      </w:r>
    </w:p>
    <w:p>
      <w:pPr>
        <w:spacing w:after="0" w:line="7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Other expense for the first half of 2020 totaled $1.71 billion, compared with $1.77 billion in the year-earlier period. Included in those amounts are expenses considered to be “nonoperating” in nature consisting of amortization of core deposit and other intangible assets of $8 million and $10 million in the six-month periods ended June 30, 2020 and 2019, respectively. Exclusive of those nonoperating expenses, noninterest operating expenses for the first half of 2020 were $1.71 billion, compared with $1.76 billion in the first six months of 2019. The decline in noninterest operating expenses was largely attributable to the $48 million charge associated with the asset manager investment in 2019 and lower costs for legal-related and professional and outside services, partially offset by higher salaries and employee benefits expenses in the 2020 period.</w:t>
      </w:r>
    </w:p>
    <w:p>
      <w:pPr>
        <w:spacing w:after="0" w:line="72"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Salaries and employee benefits expense totaled $459 million in the second quarter of 2020, compared with $456 million in the year-earlier quarter and $537 million in the first quarter of 2020. In comparing the second quarter of 2020 with that of 2019, higher expenses for salaries resulting from merit and other increases were offset by reduced incentive compensation costs. The decrease in salaries and employee benefits expense in the recent quarter as compared with the first quarter of 2020 was attributable to seasonally higher stock-based compensation, medical plan costs, payroll-related taxes, unemployment insurance and the Company’s contributions for retirement savings plan benefits related to annual incentive compensation payments in the first quarter of 2020, and decreased incentive compensation costs in the recent quarter. During the first six months of 2020 and 2019, salaries and employee benefits expense aggregated $996 million and $955 million, respectively. The higher expense level in 2020 largely reflects the impact of merit and other increases for employees and increased employee benefit costs, partially offset by lower incentive compensation costs.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 of 2020 included $31 million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$13 million and $12 million in the three-month periods ended June 30, 2020 and June 30, 2019, respectively, $43 million in the three-month period ended March 31, 2020, and $56 million and $53 million during the six-month periods ended June 30, 2020 and 2019, respectively. The number of full-time equivalent employees was 17,098 at June 30, 2020, compared with 17,516 and 17,416 at June 30, 2019 and March 31, 2020, respectively.</w:t>
      </w:r>
    </w:p>
    <w:p>
      <w:pPr>
        <w:spacing w:after="0" w:line="74"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Excluding the nonoperating expense items described earlier from each quarter, nonpersonnel operating expenses were $344 million and $412 million in the quarters ended June 30, 2020 and June 30, 2019, respectively, and $366 million in the initial quarter of 2020. On that same basis, such expenses were $710 million and $802 million in the six-month periods ended June 30, 2020 and 2019, respectively. The decline in nonpersonnel expenses in the recent quarter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as compared with the second quarter of 2019 reflects lower costs for professional services and advertising and marketing, and the $48 million charge related to the asset manager investment in the second quarter of 2019. The lower level of nonpersonnel operating expenses in the recent quarter as compared with the first 2020 quarter was predominantly attributable to decreased costs for advertising and marketing and travel and entertainment. The decline in nonpersonnel operating expenses in the first six months of 2020 as compared with the similar 2019 period reflected the 2019 asset manager investment charge of $48 million and reduced costs for legal-related and professional services, advertising and marketing, and travel and entertainment.</w:t>
      </w:r>
    </w:p>
    <w:p>
      <w:pPr>
        <w:spacing w:after="0" w:line="71"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55.7% during the recent quarter, compared with 56.0% and 58.9% in the second quarter of 2019 and first quarter of 2020, respectively. The efficiency ratios for the six-month periods ended June 30, 2020 and 2019 were 57.4% and 56.8%, respectively. The calculation of the efficiency ratio is presented in Table 2.</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provision for income taxes was $71 million in the second quarter of 2020, compared with $152 million in the year-earlier quarter and $81 million in the initial 2020 quarter. For the six-month periods ended June 30, 2020 and 2019, the provisions for income taxes were $152 million and $304 million, respectively. The effective tax rates were 22.8%, 24.3% and 23.1% for the quarters ended June 30, 2020, June 30, 2019 and March 31, 2020, respectively, and 23.0% and 24.1% for the six-month periods ended June 30, 2020 and 2019, respectively.</w:t>
      </w:r>
    </w:p>
    <w:p>
      <w:pPr>
        <w:spacing w:after="0" w:line="80"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discrete or infrequently 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Shareholders’ equity was $15.9 billion at June 30, 2020, representing 11.43% of total assets, compared with $15.7 billion or 12.91% a year earlier and $15.7 billion or 13.11% at December 31, 2019.</w:t>
      </w:r>
    </w:p>
    <w:p>
      <w:pPr>
        <w:spacing w:after="0" w:line="63"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Included in shareholders’ equity was preferred stock with financial statement carrying values of $1.25 billion at each of June 30, 2020 and December 31, 2019, compared with $1.23 billion at June 30, 2019.</w:t>
      </w:r>
    </w:p>
    <w:p>
      <w:pPr>
        <w:spacing w:after="0" w:line="63"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20"/>
          <w:szCs w:val="20"/>
          <w:color w:val="auto"/>
        </w:rPr>
        <w:t>Common shareholders’ equity was $14.7 billion, or $114.54 per share, at June 30, 2020, compared with $14.5 billion, or $107.73 per share, a year earlier and $14.5 billion, or $110.78 per share, at December 31, 2019. Tangible equity per common share, which excludes goodwill and core deposit and other intangible assets and applicable deferred tax balances, was $78.62 at the end of the recent quarter, compared with $73.29 at June 30, 2019 and $75.44 at December 31, 2019. The Company’s ratio of tangible common equity to tangible assets was 7.48% at June 30, 2020, compared with 8.41% a year earlier and 8.55% at December 31, 2019. Reconciliations of total common shareholders’ equity and tangible common equity and total assets and tangible assets as of each of those respective dates are presented in table 2.</w:t>
      </w:r>
    </w:p>
    <w:p>
      <w:pPr>
        <w:spacing w:after="0" w:line="72" w:lineRule="exact"/>
        <w:rPr>
          <w:sz w:val="20"/>
          <w:szCs w:val="20"/>
          <w:color w:val="auto"/>
        </w:rPr>
      </w:pPr>
    </w:p>
    <w:p>
      <w:pPr>
        <w:jc w:val="both"/>
        <w:ind w:firstLine="510"/>
        <w:spacing w:after="0" w:line="274" w:lineRule="auto"/>
        <w:rPr>
          <w:sz w:val="20"/>
          <w:szCs w:val="20"/>
          <w:color w:val="auto"/>
        </w:rPr>
      </w:pPr>
      <w:r>
        <w:rPr>
          <w:rFonts w:ascii="Arial" w:cs="Arial" w:eastAsia="Arial" w:hAnsi="Arial"/>
          <w:sz w:val="19"/>
          <w:szCs w:val="19"/>
          <w:color w:val="auto"/>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reflected in shareholders’ equity, net of applicable tax effect, were $170 million, or $1.32 per common share, at June 30, 2020, $7 million, or $.05 per common share, at June 30, 2019 and $37 million, or $.29 per common share, at December 31, 2019. Changes in unrealized gains and losses on investment securities are predominantly reflective of the impact of changes in interest rates on the values of such securities.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0" w:name="page81"/>
    <w:bookmarkEnd w:id="80"/>
    <w:p>
      <w:pPr>
        <w:jc w:val="both"/>
        <w:ind w:right="20"/>
        <w:spacing w:after="0" w:line="264" w:lineRule="auto"/>
        <w:rPr>
          <w:sz w:val="20"/>
          <w:szCs w:val="20"/>
          <w:color w:val="auto"/>
        </w:rPr>
      </w:pPr>
      <w:r>
        <w:rPr>
          <w:rFonts w:ascii="Arial" w:cs="Arial" w:eastAsia="Arial" w:hAnsi="Arial"/>
          <w:sz w:val="21"/>
          <w:szCs w:val="21"/>
          <w:color w:val="auto"/>
        </w:rPr>
        <w:t>Information about unrealized gains and losses as of June 30, 2020 and December 31, 2019 is included in note 2 of Notes to Financial Statements.</w:t>
      </w:r>
    </w:p>
    <w:p>
      <w:pPr>
        <w:spacing w:after="0" w:line="63"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Reflected in the carrying amount of available-for-sale investment securities at June 30, 2020 were pre-tax effect unrealized gains of $253 million on securities with an amortized cost of $5.4 billion and pre-tax effect unrealized losses of $16 million on securities with an amortized cost of $176 million. Information concerning the Company’s fair valuations of investment securities is provided in notes 2 and 11 of Notes to Financial Statements.</w:t>
      </w:r>
    </w:p>
    <w:p>
      <w:pPr>
        <w:spacing w:after="0" w:line="78"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20"/>
          <w:szCs w:val="20"/>
          <w:color w:val="auto"/>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and such loss would be recognized in the consolidated statement of income. Beginning January 1, 2020, an allowance for credit losses would reduce the carrying value of available-for-sale investment securities. Previously if a credit-related loss was deemed to have occurred, the investment security’s cost basis was adjusted, as appropriate for the circumstances. A loss is also recognized in the consolidated statement of income if the Company intends to sell a bond or it more likely than not will be required to sell a bond before recovery of the amortized cost basis.</w:t>
      </w:r>
    </w:p>
    <w:p>
      <w:pPr>
        <w:spacing w:after="0" w:line="74"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9"/>
          <w:szCs w:val="19"/>
          <w:color w:val="auto"/>
        </w:rPr>
        <w:t>As of June 30, 2020, based on a review of each of the securities in the available-for-sale investment securities portfolio, the Company concluded that it expected to realize the amortized cost basis of each security. As of June 30, 2020,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uncollectible.</w:t>
      </w:r>
    </w:p>
    <w:p>
      <w:pPr>
        <w:spacing w:after="0" w:line="53" w:lineRule="exact"/>
        <w:rPr>
          <w:sz w:val="20"/>
          <w:szCs w:val="20"/>
          <w:color w:val="auto"/>
        </w:rPr>
      </w:pPr>
    </w:p>
    <w:p>
      <w:pPr>
        <w:jc w:val="both"/>
        <w:ind w:firstLine="510"/>
        <w:spacing w:after="0" w:line="269" w:lineRule="auto"/>
        <w:rPr>
          <w:sz w:val="20"/>
          <w:szCs w:val="20"/>
          <w:color w:val="auto"/>
        </w:rPr>
      </w:pPr>
      <w:r>
        <w:rPr>
          <w:rFonts w:ascii="Arial" w:cs="Arial" w:eastAsia="Arial" w:hAnsi="Arial"/>
          <w:sz w:val="19"/>
          <w:szCs w:val="19"/>
          <w:color w:val="auto"/>
        </w:rPr>
        <w:t>On January 1, 2020 the Company adopted amended accounting guidance that requires investment securities held to maturity to be presented at their net carrying value that is expected to be collected over their contractual term. The Company estimated no material allowance for credit losses for its investment securities classified as held-to-maturity at January 1, 2020, March 31, 2020 and June 30, 2020 as the substantial majority of such investment securities were obligations backed by the U.S. government or its agencies. The Company assessed the potential for expected credit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2020 and December 31, 2019, the Company had in its held-to-maturity portfolio privately issued mortgage-backed securities with an amortized cost basis of $86 million and $93 million, respectively, and a fair value of $76 million and $87 million, respectively. At June 30, 2020, 82% of the mortgage-backed securities were in the most senior tranche of the securitization structure with 17% being independently rated as investment grade. The mortgage-backed securities are generally collateralized by residential and small-balance commercial real estate loans originated between 2004 and 2008 and had a weighted-average credit enhancement of 9% at June 30, 2020,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34% and 69% respectively. Given the securitization structure, some of the bonds held by the Company may defer interest payments in certain circumstances, but after considering the repayment structure and estimated future collateral cash flows of each individual senior and subordinate tranche bond, the Company has concluded that as of June 30, 2020,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p>
    <w:p>
      <w:pPr>
        <w:spacing w:after="0" w:line="68" w:lineRule="exact"/>
        <w:rPr>
          <w:sz w:val="20"/>
          <w:szCs w:val="20"/>
          <w:color w:val="auto"/>
        </w:rPr>
      </w:pPr>
    </w:p>
    <w:p>
      <w:pPr>
        <w:jc w:val="both"/>
        <w:ind w:firstLine="510"/>
        <w:spacing w:after="0" w:line="292" w:lineRule="auto"/>
        <w:rPr>
          <w:sz w:val="20"/>
          <w:szCs w:val="20"/>
          <w:color w:val="auto"/>
        </w:rPr>
      </w:pPr>
      <w:r>
        <w:rPr>
          <w:rFonts w:ascii="Arial" w:cs="Arial" w:eastAsia="Arial" w:hAnsi="Arial"/>
          <w:sz w:val="19"/>
          <w:szCs w:val="19"/>
          <w:color w:val="auto"/>
        </w:rPr>
        <w:t>Adjustments to reflect the funded status of defined benefit pension and other postretirement plans, net of applicable tax effect, reduced accumulated other comprehensive income by $324 million, or $2.53 per common share, at June 30, 2020, $255 million, or $1.90 per common share, at June 30, 2019 and $342 million, or $2.62 per common share, at December 31,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1" w:name="page82"/>
    <w:bookmarkEnd w:id="81"/>
    <w:p>
      <w:pPr>
        <w:jc w:val="both"/>
        <w:ind w:firstLine="510"/>
        <w:spacing w:after="0" w:line="260" w:lineRule="auto"/>
        <w:rPr>
          <w:sz w:val="20"/>
          <w:szCs w:val="20"/>
          <w:color w:val="auto"/>
        </w:rPr>
      </w:pPr>
      <w:r>
        <w:rPr>
          <w:rFonts w:ascii="Arial" w:cs="Arial" w:eastAsia="Arial" w:hAnsi="Arial"/>
          <w:sz w:val="20"/>
          <w:szCs w:val="20"/>
          <w:color w:val="auto"/>
        </w:rPr>
        <w:t>Pursuant to previously approved capital plans and authorizations by M&amp;T’s Board of Directors, M&amp;T repurchased 2,577,000 shares of its common stock for $374 million in the first quarter of 2020. There were no repurchases of common stock during the quarter-ended June 30, 2020. In light of the COVID-19 pandemic impact on overall economic conditions and consistent with regulatory guidance, M&amp;T has ceased repurchasing its common stock for the time being and does not anticipate repurchasing any shares during the third quarter of 2020. M&amp;T repurchased 2,450,000 shares of its common stock for $402 million in the second quarter of 2019 and 4,600,000 shares for $768 million during the first half of 2019.</w:t>
      </w:r>
    </w:p>
    <w:p>
      <w:pPr>
        <w:spacing w:after="0" w:line="71" w:lineRule="exact"/>
        <w:rPr>
          <w:sz w:val="20"/>
          <w:szCs w:val="20"/>
          <w:color w:val="auto"/>
        </w:rPr>
      </w:pPr>
    </w:p>
    <w:p>
      <w:pPr>
        <w:jc w:val="both"/>
        <w:ind w:firstLine="468"/>
        <w:spacing w:after="0" w:line="247" w:lineRule="auto"/>
        <w:rPr>
          <w:sz w:val="20"/>
          <w:szCs w:val="20"/>
          <w:color w:val="auto"/>
        </w:rPr>
      </w:pPr>
      <w:r>
        <w:rPr>
          <w:rFonts w:ascii="Arial" w:cs="Arial" w:eastAsia="Arial" w:hAnsi="Arial"/>
          <w:sz w:val="21"/>
          <w:szCs w:val="21"/>
          <w:color w:val="auto"/>
        </w:rPr>
        <w:t>Cash dividends declared on M&amp;T’s common stock totaled $142 million in the recent quarter, compared with $135 million and $143 million during the quarters ended June 30, 2019 and March 31, 2020, respectively. During the fourth quarter of 2019, M&amp;T’s Board of Directors authorized an increase in the quarterly common stock dividend to $1.10 per common share from the previous rate of $1.00 per common share. Cash dividends declared on preferred stock aggregated $17 million in each of the first two quarters of 2020, compared with $18 million in the second quarter of 2019.</w:t>
      </w:r>
    </w:p>
    <w:p>
      <w:pPr>
        <w:spacing w:after="0" w:line="80" w:lineRule="exact"/>
        <w:rPr>
          <w:sz w:val="20"/>
          <w:szCs w:val="20"/>
          <w:color w:val="auto"/>
        </w:rPr>
      </w:pPr>
    </w:p>
    <w:p>
      <w:pPr>
        <w:jc w:val="both"/>
        <w:ind w:right="20" w:firstLine="464"/>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36"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69"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62" w:lineRule="exact"/>
        <w:rPr>
          <w:rFonts w:ascii="Arial" w:cs="Arial" w:eastAsia="Arial" w:hAnsi="Arial"/>
          <w:sz w:val="21"/>
          <w:szCs w:val="21"/>
          <w:color w:val="auto"/>
        </w:rPr>
      </w:pPr>
    </w:p>
    <w:p>
      <w:pPr>
        <w:ind w:left="740" w:right="20" w:hanging="368"/>
        <w:spacing w:after="0" w:line="264" w:lineRule="auto"/>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62" w:lineRule="exact"/>
        <w:rPr>
          <w:rFonts w:ascii="Arial" w:cs="Arial" w:eastAsia="Arial" w:hAnsi="Arial"/>
          <w:sz w:val="21"/>
          <w:szCs w:val="21"/>
          <w:color w:val="auto"/>
        </w:rPr>
      </w:pPr>
    </w:p>
    <w:p>
      <w:pPr>
        <w:ind w:left="740" w:hanging="368"/>
        <w:spacing w:after="0" w:line="264" w:lineRule="auto"/>
        <w:tabs>
          <w:tab w:leader="none" w:pos="740" w:val="left"/>
        </w:tabs>
        <w:numPr>
          <w:ilvl w:val="0"/>
          <w:numId w:val="23"/>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63"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21"/>
          <w:szCs w:val="21"/>
          <w:color w:val="auto"/>
        </w:rPr>
        <w:t>In addition, capital regulations require a “capital conservation buffer” of 2.5% composed entirely of CET1 on top of the minimum risk-weighted asset ratios.</w:t>
      </w:r>
    </w:p>
    <w:p>
      <w:pPr>
        <w:spacing w:after="0" w:line="63"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21"/>
          <w:szCs w:val="21"/>
          <w:color w:val="auto"/>
        </w:rPr>
        <w:t>The federal bank regulatory agencies have issued rules that allow banks and bank holding companies to phase -in the impact of adopting the expected credit loss accounting model on regulatory capital. Those rules allow banks and bank holding companies to delay for two years the day one impact on retained earnings of adopting the expected loss accounting standard and 25% of the cumulative change in the reported allowance for credit losses subsequent to the initial adoption, followed by a three year transition period. M&amp;T and its subsidiary banks have elected to adopt these rules and the impact is reflected in the regulatory capital ratios presented below.</w:t>
      </w:r>
    </w:p>
    <w:p>
      <w:pPr>
        <w:spacing w:after="0" w:line="81" w:lineRule="exact"/>
        <w:rPr>
          <w:sz w:val="20"/>
          <w:szCs w:val="20"/>
          <w:color w:val="auto"/>
        </w:rPr>
      </w:pPr>
    </w:p>
    <w:p>
      <w:pPr>
        <w:ind w:firstLine="510"/>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June 30, 2020 are presented in the accompanying table.</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June 30,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M&amp;T</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M&amp;T</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Wilmington</w:t>
            </w:r>
          </w:p>
        </w:tc>
        <w:tc>
          <w:tcPr>
            <w:tcW w:w="226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(Consolidated)</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Bank</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Trust, N.A.</w:t>
            </w:r>
          </w:p>
        </w:tc>
        <w:tc>
          <w:tcPr>
            <w:tcW w:w="2260" w:type="dxa"/>
            <w:vAlign w:val="bottom"/>
          </w:tcPr>
          <w:p>
            <w:pPr>
              <w:spacing w:after="0"/>
              <w:rPr>
                <w:sz w:val="14"/>
                <w:szCs w:val="14"/>
                <w:color w:val="auto"/>
              </w:rPr>
            </w:pPr>
          </w:p>
        </w:tc>
      </w:tr>
      <w:tr>
        <w:trPr>
          <w:trHeight w:val="453"/>
        </w:trPr>
        <w:tc>
          <w:tcPr>
            <w:tcW w:w="524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9.50%</w:t>
            </w:r>
          </w:p>
        </w:tc>
        <w:tc>
          <w:tcPr>
            <w:tcW w:w="26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10.32%</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49.49%</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10.69%</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10.32%</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49.49%</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12.98%</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12.13%</w:t>
            </w:r>
          </w:p>
        </w:tc>
        <w:tc>
          <w:tcPr>
            <w:tcW w:w="280" w:type="dxa"/>
            <w:vAlign w:val="bottom"/>
          </w:tcPr>
          <w:p>
            <w:pPr>
              <w:spacing w:after="0"/>
              <w:rPr>
                <w:sz w:val="19"/>
                <w:szCs w:val="19"/>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49.66%</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8.56%</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8.27%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648"/>
        </w:trPr>
        <w:tc>
          <w:tcPr>
            <w:tcW w:w="5240" w:type="dxa"/>
            <w:vAlign w:val="bottom"/>
          </w:tcPr>
          <w:p>
            <w:pPr>
              <w:spacing w:after="0"/>
              <w:rPr>
                <w:sz w:val="24"/>
                <w:szCs w:val="24"/>
                <w:color w:val="auto"/>
              </w:rPr>
            </w:pPr>
          </w:p>
        </w:tc>
        <w:tc>
          <w:tcPr>
            <w:tcW w:w="1040" w:type="dxa"/>
            <w:vAlign w:val="bottom"/>
          </w:tcPr>
          <w:p>
            <w:pPr>
              <w:jc w:val="right"/>
              <w:ind w:right="375"/>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2" w:name="page83"/>
    <w:bookmarkEnd w:id="82"/>
    <w:p>
      <w:pPr>
        <w:jc w:val="both"/>
        <w:ind w:firstLine="464"/>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2019.</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13 of Notes to Financial Statements. The reportable segments are Business Banking, Commercial Banking, Commercial Real Estate, Discretionary Portfolio, Residential Mortgage Banking and Retail Banking.</w:t>
      </w:r>
    </w:p>
    <w:p>
      <w:pPr>
        <w:spacing w:after="0" w:line="78"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9"/>
          <w:szCs w:val="19"/>
          <w:color w:val="auto"/>
        </w:rPr>
        <w:t>The Business Banking segment earned net income of $38 million in the second quarter of 2020, compared with $42 million in the second quarter of 2019 and $33 million in the first quarter of 2020. As compared with the year-earlier quarter, the 11% recent quarter decline reflected a $4 million decrease in service charges on deposit accounts, a $3 million increase in centrally-allocated costs associated with data processing, risk management and other support services provided to the Business Banking segment, and higher personnel-related costs of $2 million, partially offset by a $4 million increase in net interest income. The improvement in net interest income reflected higher average outstanding deposit and loan balances of $3.4 billion and $2.7 billion, respectively, partially offset by a narrowing of the net interest margin on deposits and loans of 76 and 54 basis points, respectively. The increase in average loan balances reflects PPP loans originated in 2020’s second quarter. The recent quarter’s 14% increase in net income as compared with the first quarter of 2020 was largely due to an $8 million increase in net interest income and a $4 million decrease in the provision for credit losses (due to lower net charge-offs), partially offset by declines of $4 million in service charges on deposit accounts and $2 million in merchant and credit card fee income, each reflecting the impact of the COVID-19 pandemic that has resulted in waived fees and reduced transaction activity. The improvement in net interest income reflected higher average outstanding deposit and loan balances of $3.2 billion and $2.5 billion, respectively, partially offset by a narrowing of the net interest margin on deposits and loans of 42 and 68 basis points, respectively. Net income recorded by the Business Banking segment totaled $70 million in the first six months of 2020, compared with $86 million in the year-earlier period. That 18% year-over-year decrease was predominantly driven by a $9 million increase in the provision for credit losses, due to higher net charge-offs, higher personnel-related costs of $5 million and a $3 million decline in service charges on deposit accounts.</w:t>
      </w:r>
    </w:p>
    <w:p>
      <w:pPr>
        <w:spacing w:after="0" w:line="195"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9"/>
          <w:szCs w:val="19"/>
          <w:color w:val="auto"/>
        </w:rPr>
        <w:t>The Commercial Banking segment recorded net income of $111 million during the quarter ended June 30, 2020, down from $124 million in the year-earlier quarter and $144 million in the first quarter of 2020. The 10% decrease as compared with the second quarter of 2019 reflected an increase of $27 million in the provision for credit losses, due to higher net charge-offs, a $9 million write-down of equipment under operating leases and lower merchant discount and credit card fees and advisory fees of $4 million and $3 million, respectively. Those unfavorable factors were offset, in part, by higher net interest income of $23 million, reflecting increased average outstanding deposit and loan balances of $7.2 billion and $3.9 billion, respectively, partially offset by a narrowing of the net interest margin on deposits and loans of 65 and 14 basis points, respectively. The increased loan balances largely reflect PPP loans funded during the recent quarter, The decrease in the recent quarter’s net income as compared with the immediately preceding quarter resulted from a $40 million increase in the provision for credit losses, due to higher net charge-offs, a $9 million write-down of operating lease equipment, a $7 million decrease in letter of credit and credit-related fees, predominantly due to lower loan syndication fees, and a $5 million decline in merchant discount and credit card fees. Partially offsetting those declines were higher net interest income of $16 million, reflecting a $5.9 billion increase in average outstanding deposit balances partially offset by a 38 basis point narrowing of the net interest margin on deposits, and a $6 million reduction in salaries and employee benefits expense. Net income earned by the Commercial Banking segment totaled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21"/>
          <w:szCs w:val="21"/>
          <w:color w:val="auto"/>
        </w:rPr>
        <w:t>$255 million for the first half of 2020, little changed from $256 million earned in the similar 2019 period. A higher provision for credit losses of $35 million, due to higher net charge-offs, was offset by a $30 million increase in net interest income, predominantly due to increases in average outstanding deposit and loan balances of $4.1 billion and $2.6 billion, respectively, partially offset by a 29 basis point narrowing of the net interest margin on deposits, and a $7 million rise in letter of credit and credit-related fees, largely due to higher loan syndication fees.</w:t>
      </w:r>
    </w:p>
    <w:p>
      <w:pPr>
        <w:spacing w:after="0" w:line="80"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9"/>
          <w:szCs w:val="19"/>
          <w:color w:val="auto"/>
        </w:rPr>
        <w:t>The Commercial Real Estate segment recorded net income of $107 million in the second quarter of 2020, compared with $122 million in the year-earlier period and $117 million in the initial 2020 quarter. Contributing to the 12% decline in the recent quarter’s net income as compared with the year-earlier quarter was a $21 million increase in the provision for credit losses, largely due to higher net charge-offs, partially offset by a $7 million increase in net interest income, chiefly due to a $1.8 billion increase in average outstanding loan balances, partially offset by a 64 basis point narrowing of the net interest margin on deposits. The recent quarter decline in net income as compared with the initial 2020 quarter reflects a $20 million increase in the provision for credit losses and a $7 million decline in trading account and foreign exchange gains (reflecting reduced customer interest rate swap agreement activity). Partially offsetting those unfavorable factors were a $9 million increase in net interest income, predominantly due to a $974 million increase in average outstanding loan balances, a $4 million increase in mortgage banking revenues, and a $3 million decline in salaries and employee benefits. Net income for the Commercial Real Estate segment totaled $224 million and $239 million during the six-month periods ended June 30, 2020 and 2019, respectively. A $22 million increase in the provision for credit losses, mainly due to higher net charge-offs, was offset, in part, by higher trading account and foreign exchange gains of $5 million resulting from increased activity associated with interest rate swap agreements executed on behalf of commercial customers and a $3 million increase in net interest income, due primarily to an increase in average outstanding loan balances of $1.4 billion, partially offset by a 27 basis point narrowing of the net interest margin on deposits.</w:t>
      </w:r>
    </w:p>
    <w:p>
      <w:pPr>
        <w:spacing w:after="0" w:line="201"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9"/>
          <w:szCs w:val="19"/>
          <w:color w:val="auto"/>
        </w:rPr>
        <w:t>The Discretionary Portfolio segment contributed net income of $96 million during the three-month period ended June 30, 2020, up from $38 million in the year-earlier period and $26 million in the first quarter of 2020. The recent quarter improvement as compared with the second quarter of 2019 was largely driven by a $86 million increase in net interest income. This favorable factor was partially offset by a $3 million decrease in trading account and foreign exchange gains and a $2 million decline in valuation gains associated with marketable equity securities. The improvement in the recent quarter’s net income as compared with the first quarter of 2020 was primarily due to a $60 million increase in net interest income and higher valuations of marketable equity securities of $27 million. Year-to-date net income for this segment totaled $121 million in 2020 and $77 million in 2019. Contributing to the year-over-year improvement was a $105 million increase in net interest income, partially offset by valuation losses associated with marketable equity securities (compared with gains in the 2019 period) representing a change of $35 million. The increases in net interest income reflect additional income from interest rate swap agreements utilized as part of the Company’s management of interest rate risk.</w:t>
      </w:r>
    </w:p>
    <w:p>
      <w:pPr>
        <w:spacing w:after="0" w:line="197"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20"/>
          <w:szCs w:val="20"/>
          <w:color w:val="auto"/>
        </w:rPr>
        <w:t>Net income from the Residential Mortgage Banking segment was $37 million during the quarter ended June 30, 2020, up from $8 million in the year-earlier quarter and $25 million in the first quarter of 2020. The increase in the recent quarter as compared with the second 2019 quarter was driven by higher revenues associated with mortgage origination and sales activities (including intersegment revenues) of $43 million, partially offset by higher personnel-related costs of $4 million. The increase in the recent quarter’s net income as compared with the immediately preceding quarter was due to higher revenues from mortgage origination and sales activities of $20 million, partially offset by a decrease of $8 million in servicing revenues (including intersegment revenues). The Residential Mortgage Banking segment had net income of $62 million in the first six months of 2020, up from $21 million in the corresponding 2019 period. That improvement reflected higher revenues from mortgage origination and sales activities (including intersegment revenues) of $70 million from the year-earlier period resulting from increased loan commitment volumes and improved margins, as well as a $9 million increase in servicing revenues (including intersegment revenues). Those favorable factors were offset, in part, by higher additions to the valuation allowance for capitalized mortgage servicing rights of $11 million and increased salaries and employee benefits expense of $8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4" w:name="page85"/>
    <w:bookmarkEnd w:id="84"/>
    <w:p>
      <w:pPr>
        <w:jc w:val="both"/>
        <w:ind w:firstLine="464"/>
        <w:spacing w:after="0" w:line="270" w:lineRule="auto"/>
        <w:rPr>
          <w:sz w:val="20"/>
          <w:szCs w:val="20"/>
          <w:color w:val="auto"/>
        </w:rPr>
      </w:pPr>
      <w:r>
        <w:rPr>
          <w:rFonts w:ascii="Arial" w:cs="Arial" w:eastAsia="Arial" w:hAnsi="Arial"/>
          <w:sz w:val="19"/>
          <w:szCs w:val="19"/>
          <w:color w:val="auto"/>
        </w:rPr>
        <w:t>Net income earned by the Retail Banking segment totaled $86 million in the second quarter of 2020, down from $140 million in the year-earlier quarter and $110 million in the initial 2020 quarter. The decline in the recently completed quarter as compared with the second quarter of 2019 was primarily driven by a $50 million decrease in net interest income, predominately due to the impact of a narrowing of the net interest margin on deposits of 71 basis points, partially offset by higher average outstanding deposit and loan balances of $2.0 billion and $1.3 billion, respectively. Also contributing to the lower net income was a $25 million decrease in service charges on deposit accounts, reflective of fee waivers and lower customer transaction activity as a result of the COVID-19 pandemic. The 22% decrease in net income in the second quarter of 2020 as compared with the initial 2020 quarter reflected a $24 million decline in net interest income, mainly driven by a 35 basis point narrowing of the net interest margin on deposits, and a $22 million decrease in service charges on deposit accounts offset, in part, by a lower provision for credit losses of $9 million, mainly due to lower net charge-offs, and decreased centrally-allocated expenses associated with data processing, risk management and other support services provided to the Retail Banking segment of $4 million. Net income recorded by the Retail Banking segment totaled $197 million in the first half of 2020 and $286 million in the similar period of 2019. Factors contributing to that 31% year-over-year decline were lower net interest income of $75 million, reflecting a narrowing of the net interest margin on deposits of 29 basis points partially offset by a $1.5 billion increase in average outstanding loan balances, a $24 million decline in service charges on deposit accounts, and higher personnel-related costs of $12 million.</w:t>
      </w:r>
    </w:p>
    <w:p>
      <w:pPr>
        <w:spacing w:after="0" w:line="66"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9"/>
          <w:szCs w:val="19"/>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distributed income from BLG, merger-related expenses resulting from acquisitions (when incurred)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losses totaling $234 million, $302,000, and $186 million for the quarters ended June 30, 2020 and 2019 and the first quarter of 2020, respectively. As compared with the year-earlier quarter, the higher recent quarter net loss reflected an increase to the provision for credit losses of $226 million and the unfavorable impact from the Company’s allocation methodologies for internal transfers for funding charges and credits associated with earning assets and interest-bearing liabilities of the Company’s reportable segments. Those unfavorable factors were partially offset by a $73 million decrease in professional services expenses, an $8 million increase in trust income and a $7 million decline in advertising and marketing expenses. The decline in the recent quarter as compared with the first quarter of 2020 was primarily due to an increase to the provision for credit losses of $32 million, $23 million of income from BLG received in the first quarter of 2020, and the unfavorable impact from the Company's allocation methodologies for internal transfers for funding charges and credits associated with earning assets and interest-bearing liabilities of the Company's reportable segments. Those unfavorable factors were partially offset by decreases in salaries and employee benefits expenses of $75 million and in advertising and marketing expenses of $10 million. The “All Other” category had a net loss of $420 million for the six months ended June 30, 2020, compared with net loss of $8 million in the corresponding period of 2019. The unfavorable performance in 2020 as compared with 2019 was predominantly driven by: an increase in the provision for credit losses of $430 million, increased salaries and benefits of $19 million, a $13 million increase in outside data processing and software expense, and the unfavorable impact from the Company's allocation methodologies for internal transfers for funding charges and credits associated with earning assets and interest-bearing liabilities of the Company's reportable segments. Partially offsetting those unfavorable factors were: a $48 million charge in 2019 associated with the reduction of the carrying value of an investment in an asset manager, lower professional services costs of $39 million and higher trust income of $23 million.</w:t>
      </w:r>
    </w:p>
    <w:p>
      <w:pPr>
        <w:spacing w:after="0" w:line="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15 of Notes to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sectPr>
      </w:pPr>
    </w:p>
    <w:bookmarkStart w:id="85" w:name="page86"/>
    <w:bookmarkEnd w:id="85"/>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Any statement that does not describe historical or current facts is a forward-looking statement, including statements regarding the potential effects of the COVID-19 pandemic on the Company’s business, financial condition, liquidity and results of operations.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7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risks and uncertainties relating to the impact of the COVID-19 pandemic;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Financial Accounting Standards Board, regulatory agencies or legislation;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63" w:lineRule="exact"/>
        <w:rPr>
          <w:sz w:val="20"/>
          <w:szCs w:val="20"/>
          <w:color w:val="auto"/>
        </w:rPr>
      </w:pPr>
    </w:p>
    <w:p>
      <w:pPr>
        <w:jc w:val="both"/>
        <w:ind w:firstLine="562"/>
        <w:spacing w:after="0" w:line="265" w:lineRule="auto"/>
        <w:rPr>
          <w:sz w:val="20"/>
          <w:szCs w:val="20"/>
          <w:color w:val="auto"/>
        </w:rPr>
      </w:pPr>
      <w:r>
        <w:rPr>
          <w:rFonts w:ascii="Arial" w:cs="Arial" w:eastAsia="Arial" w:hAnsi="Arial"/>
          <w:sz w:val="20"/>
          <w:szCs w:val="20"/>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64"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21"/>
          <w:szCs w:val="21"/>
          <w:color w:val="auto"/>
        </w:rPr>
        <w:t>Further, statements about the potential effects of the COVID-19 pandemic on the Company’s business, financial condition, liquidity and results of operations may constitute forward-looking statements and are subject to the risk that the actual effects may differ, possibly materially, from what is reflected in those forward-looking statements due to factors and future developments that are uncertain, unpredictable and in many cases beyond the Company’s control, including the scope and duration of the pandemic, actions taken by governmental authorities in response to the pandemic, and the direct and indirect impact of the pandemic on customers, clients, third parties and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rPr>
          <w:sz w:val="20"/>
          <w:szCs w:val="20"/>
          <w:color w:val="auto"/>
        </w:rPr>
      </w:pPr>
      <w:r>
        <w:rPr>
          <w:rFonts w:ascii="Arial" w:cs="Arial" w:eastAsia="Arial" w:hAnsi="Arial"/>
          <w:sz w:val="20"/>
          <w:szCs w:val="20"/>
          <w:color w:val="auto"/>
        </w:rPr>
        <w:t>QUARTERLY TRENDS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3"/>
                <w:szCs w:val="13"/>
                <w:b w:val="1"/>
                <w:bCs w:val="1"/>
                <w:color w:val="auto"/>
                <w:w w:val="89"/>
              </w:rPr>
              <w:t>2020 Quarters</w:t>
            </w:r>
          </w:p>
        </w:tc>
        <w:tc>
          <w:tcPr>
            <w:tcW w:w="3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2019 Quarters</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Second</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First</w:t>
            </w:r>
          </w:p>
        </w:tc>
        <w:tc>
          <w:tcPr>
            <w:tcW w:w="3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Fourth</w:t>
            </w:r>
          </w:p>
        </w:tc>
        <w:tc>
          <w:tcPr>
            <w:tcW w:w="3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Third</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Second</w:t>
            </w:r>
          </w:p>
        </w:tc>
        <w:tc>
          <w:tcPr>
            <w:tcW w:w="3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First</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Earnings and dividends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1,036,476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1,125,482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1,191,295</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1,235,048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1,243,838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1,232,276</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expense</w:t>
            </w:r>
          </w:p>
        </w:tc>
        <w:tc>
          <w:tcPr>
            <w:tcW w:w="1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75,105</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143,614</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177,070</w:t>
            </w:r>
          </w:p>
        </w:tc>
        <w:tc>
          <w:tcPr>
            <w:tcW w:w="3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199,579</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196,432</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176,249</w:t>
            </w: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interest income</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961,371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981,868</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1,014,225</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1,035,469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1,047,406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1,056,027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325,000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250,000</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54,000</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55,000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22,000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521,040</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527,779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512,095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500,765</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other expense</w:t>
            </w:r>
          </w:p>
        </w:tc>
        <w:tc>
          <w:tcPr>
            <w:tcW w:w="1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807,042</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906,416</w:t>
            </w:r>
          </w:p>
        </w:tc>
        <w:tc>
          <w:tcPr>
            <w:tcW w:w="3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823,683</w:t>
            </w:r>
          </w:p>
        </w:tc>
        <w:tc>
          <w:tcPr>
            <w:tcW w:w="30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877,619</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873,032</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894,348</w:t>
            </w: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Income before income taxes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316,602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354,812</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657,582</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640,629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631,469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640,444</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71,314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80,927</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159,124</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154,969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152,284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151,735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4,234</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5,063</w:t>
            </w:r>
          </w:p>
        </w:tc>
        <w:tc>
          <w:tcPr>
            <w:tcW w:w="3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5,392</w:t>
            </w:r>
          </w:p>
        </w:tc>
        <w:tc>
          <w:tcPr>
            <w:tcW w:w="30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5,579</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5,925</w:t>
            </w:r>
          </w:p>
        </w:tc>
        <w:tc>
          <w:tcPr>
            <w:tcW w:w="3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5,967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Net income</w:t>
            </w:r>
          </w:p>
        </w:tc>
        <w:tc>
          <w:tcPr>
            <w:tcW w:w="1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241,054</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268,822</w:t>
            </w:r>
          </w:p>
        </w:tc>
        <w:tc>
          <w:tcPr>
            <w:tcW w:w="3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493,066</w:t>
            </w:r>
          </w:p>
        </w:tc>
        <w:tc>
          <w:tcPr>
            <w:tcW w:w="30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480,081</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473,260</w:t>
            </w:r>
          </w:p>
        </w:tc>
        <w:tc>
          <w:tcPr>
            <w:tcW w:w="3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482,742</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223,099</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250,701</w:t>
            </w: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473,372</w:t>
            </w: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461,410</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452,633</w:t>
            </w: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462,086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Per common share data</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1.93</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128,275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129,696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131,512</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132,965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135,433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137,889</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Diluted</w:t>
            </w:r>
          </w:p>
        </w:tc>
        <w:tc>
          <w:tcPr>
            <w:tcW w:w="1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128,333</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129,755</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131,549</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132,999</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135,464</w:t>
            </w:r>
          </w:p>
        </w:tc>
        <w:tc>
          <w:tcPr>
            <w:tcW w:w="3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137,920</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Return 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6.13</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7.00</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12.95</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12.73</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12.68</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13.14</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8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(taxable-equivalent basis)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86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30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30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32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3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8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243,958</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271,705</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496,237</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483,830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477,001</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486,440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Annualized return 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9.04</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10.39</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19.08</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18.85</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18.83</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19.56</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55.71</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58.91</w:t>
            </w:r>
          </w:p>
        </w:tc>
        <w:tc>
          <w:tcPr>
            <w:tcW w:w="3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53.15</w:t>
            </w:r>
          </w:p>
        </w:tc>
        <w:tc>
          <w:tcPr>
            <w:tcW w:w="3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55.95</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55.98</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57.56</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Arial" w:cs="Arial" w:eastAsia="Arial" w:hAnsi="Arial"/>
                <w:sz w:val="13"/>
                <w:szCs w:val="13"/>
                <w:color w:val="auto"/>
              </w:rPr>
              <w:t>Average balances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122,554</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120,388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118,487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116,839</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131,836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115,972</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117,938</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115,769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113,864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112,213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123,492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108,226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110,581</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108,643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107,511</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106,096</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8,500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9,102</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10,044</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11,075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12,170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12,949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97,797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91,706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90,244</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90,078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89,150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88,477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111,795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96,166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96,903</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94,095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91,371</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89,733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14,703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14,582</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14,398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14,337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10,093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9,857</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9,966</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9,845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9,775</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9,711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139,537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124,578</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119,873</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125,501</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121,555</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134,928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119,966</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115,258</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120,883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116,934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115,400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127,149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112,046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107,673</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113,067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110,323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108,849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8,957</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9,497</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11,580</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12,537</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97,758</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94,142</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90,923</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89,823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89,878</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88,640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114,968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100,183</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94,770</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95,114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91,681</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90,470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86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420"/>
              <w:spacing w:after="0"/>
              <w:rPr>
                <w:sz w:val="20"/>
                <w:szCs w:val="20"/>
                <w:color w:val="auto"/>
              </w:rPr>
            </w:pPr>
            <w:r>
              <w:rPr>
                <w:rFonts w:ascii="Arial" w:cs="Arial" w:eastAsia="Arial" w:hAnsi="Arial"/>
                <w:sz w:val="13"/>
                <w:szCs w:val="13"/>
                <w:color w:val="auto"/>
              </w:rPr>
              <w:t>cumulative preferred dividends (c)</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14,695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14,566</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14,467</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14,530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14,457</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14,353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9,954</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9,852</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9,728</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114.54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113.54</w:t>
            </w:r>
          </w:p>
        </w:tc>
        <w:tc>
          <w:tcPr>
            <w:tcW w:w="3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110.78</w:t>
            </w: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109.84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107.73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105.04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77.60</w:t>
            </w:r>
          </w:p>
        </w:tc>
        <w:tc>
          <w:tcPr>
            <w:tcW w:w="3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75.44</w:t>
            </w: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71.19</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00" w:hanging="492"/>
        <w:spacing w:after="0" w:line="224" w:lineRule="auto"/>
        <w:tabs>
          <w:tab w:leader="none" w:pos="5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00" w:hanging="492"/>
        <w:spacing w:after="0" w:line="216" w:lineRule="auto"/>
        <w:tabs>
          <w:tab w:leader="none" w:pos="5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00" w:hanging="492"/>
        <w:spacing w:after="0" w:line="228" w:lineRule="auto"/>
        <w:tabs>
          <w:tab w:leader="none" w:pos="50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1" w:lineRule="exact"/>
        <w:rPr>
          <w:rFonts w:ascii="Arial" w:cs="Arial" w:eastAsia="Arial" w:hAnsi="Arial"/>
          <w:sz w:val="13"/>
          <w:szCs w:val="13"/>
          <w:i w:val="1"/>
          <w:iCs w:val="1"/>
          <w:color w:val="auto"/>
        </w:rPr>
      </w:pPr>
    </w:p>
    <w:p>
      <w:pPr>
        <w:ind w:left="5540" w:hanging="111"/>
        <w:spacing w:after="0"/>
        <w:tabs>
          <w:tab w:leader="none" w:pos="5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2</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RECONCILIATION OF QUARTERLY GAAP TO NON-GAAP MEASURES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w w:val="87"/>
              </w:rPr>
              <w:t>2019 Quarters</w:t>
            </w:r>
          </w:p>
        </w:tc>
        <w:tc>
          <w:tcPr>
            <w:tcW w:w="6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w w:val="97"/>
              </w:rPr>
              <w:t>Second</w:t>
            </w:r>
          </w:p>
        </w:tc>
        <w:tc>
          <w:tcPr>
            <w:tcW w:w="92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First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Fourth</w:t>
            </w:r>
          </w:p>
        </w:tc>
        <w:tc>
          <w:tcPr>
            <w:tcW w:w="1460" w:type="dxa"/>
            <w:vAlign w:val="bottom"/>
            <w:gridSpan w:val="3"/>
          </w:tcPr>
          <w:p>
            <w:pPr>
              <w:ind w:left="300"/>
              <w:spacing w:after="0" w:line="142" w:lineRule="exact"/>
              <w:rPr>
                <w:sz w:val="20"/>
                <w:szCs w:val="20"/>
                <w:color w:val="auto"/>
              </w:rPr>
            </w:pPr>
            <w:r>
              <w:rPr>
                <w:rFonts w:ascii="Arial" w:cs="Arial" w:eastAsia="Arial" w:hAnsi="Arial"/>
                <w:sz w:val="13"/>
                <w:szCs w:val="13"/>
                <w:b w:val="1"/>
                <w:bCs w:val="1"/>
                <w:color w:val="auto"/>
              </w:rPr>
              <w:t>Third</w:t>
            </w:r>
          </w:p>
        </w:tc>
        <w:tc>
          <w:tcPr>
            <w:tcW w:w="96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w w:val="80"/>
              </w:rPr>
              <w:t>Second</w:t>
            </w:r>
          </w:p>
        </w:tc>
        <w:tc>
          <w:tcPr>
            <w:tcW w:w="94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241,054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268,822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493,066</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480,081</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473,260</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482,742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2,904</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2,883</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3,171</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3,749</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3,741</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3,698</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Net operating income</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243,958</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271,705</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496,237</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483,830</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477,001</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486,440</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common share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Diluted earnings per common share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intangible assets (a)</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Diluted net operating earnings per common share</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1.95</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3.62</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3.50</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3.37</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807,042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906,416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823,683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877,619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873,032</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894,348</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line="134" w:lineRule="exact"/>
              <w:rPr>
                <w:sz w:val="20"/>
                <w:szCs w:val="20"/>
                <w:color w:val="auto"/>
              </w:rPr>
            </w:pPr>
            <w:r>
              <w:rPr>
                <w:rFonts w:ascii="Arial" w:cs="Arial" w:eastAsia="Arial" w:hAnsi="Arial"/>
                <w:sz w:val="13"/>
                <w:szCs w:val="13"/>
                <w:color w:val="auto"/>
              </w:rPr>
              <w:t>Amortization of core deposit and 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ind w:left="100"/>
              <w:spacing w:after="0"/>
              <w:rPr>
                <w:sz w:val="20"/>
                <w:szCs w:val="20"/>
                <w:color w:val="auto"/>
              </w:rPr>
            </w:pPr>
            <w:r>
              <w:rPr>
                <w:rFonts w:ascii="Arial" w:cs="Arial" w:eastAsia="Arial" w:hAnsi="Arial"/>
                <w:sz w:val="13"/>
                <w:szCs w:val="13"/>
                <w:color w:val="auto"/>
              </w:rPr>
              <w:t>intangible assets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(3,913)</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(3,913)</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(4,305)</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(5,088)</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(5,077)</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(5,020)</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Noninterest operating expense</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803,129</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902,503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819,378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872,531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867,955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889,328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Noninterest operating expense (numerator)</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803,129</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902,503</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819,378</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872,531</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867,955</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889,328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Taxable-equivalent net interest income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961,371</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981,868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1,014,225</w:t>
            </w:r>
          </w:p>
        </w:tc>
        <w:tc>
          <w:tcPr>
            <w:tcW w:w="2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1,035,469</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1,047,406</w:t>
            </w:r>
          </w:p>
        </w:tc>
        <w:tc>
          <w:tcPr>
            <w:tcW w:w="28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1,056,027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487,273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529,360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521,040</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527,779</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512,095</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500,765</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Less: Gain (loss) on bank investment securities</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6,969</w:t>
            </w:r>
          </w:p>
        </w:tc>
        <w:tc>
          <w:tcPr>
            <w:tcW w:w="28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(20,782)</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(6,452)</w:t>
            </w:r>
          </w:p>
        </w:tc>
        <w:tc>
          <w:tcPr>
            <w:tcW w:w="920" w:type="dxa"/>
            <w:vAlign w:val="bottom"/>
          </w:tcPr>
          <w:p>
            <w:pPr>
              <w:jc w:val="right"/>
              <w:spacing w:after="0"/>
              <w:rPr>
                <w:sz w:val="20"/>
                <w:szCs w:val="20"/>
                <w:color w:val="auto"/>
              </w:rPr>
            </w:pPr>
            <w:r>
              <w:rPr>
                <w:rFonts w:ascii="Arial" w:cs="Arial" w:eastAsia="Arial" w:hAnsi="Arial"/>
                <w:sz w:val="13"/>
                <w:szCs w:val="13"/>
                <w:color w:val="auto"/>
              </w:rPr>
              <w:t>3,737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8,911</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11,841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Denominator</w:t>
            </w: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1,441,675</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1,532,010</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1,541,717</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1,559,511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1,550,590</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1,544,951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color w:val="auto"/>
              </w:rPr>
              <w:t>Efficiency ratio</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55.71%</w:t>
            </w:r>
          </w:p>
        </w:tc>
        <w:tc>
          <w:tcPr>
            <w:tcW w:w="104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58.91%</w:t>
            </w:r>
          </w:p>
        </w:tc>
        <w:tc>
          <w:tcPr>
            <w:tcW w:w="160" w:type="dxa"/>
            <w:vAlign w:val="bottom"/>
          </w:tcPr>
          <w:p>
            <w:pPr>
              <w:spacing w:after="0"/>
              <w:rPr>
                <w:sz w:val="14"/>
                <w:szCs w:val="14"/>
                <w:color w:val="auto"/>
              </w:rPr>
            </w:pPr>
          </w:p>
        </w:tc>
        <w:tc>
          <w:tcPr>
            <w:tcW w:w="120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53.15%</w:t>
            </w:r>
          </w:p>
        </w:tc>
        <w:tc>
          <w:tcPr>
            <w:tcW w:w="120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55.95%</w:t>
            </w:r>
          </w:p>
        </w:tc>
        <w:tc>
          <w:tcPr>
            <w:tcW w:w="260" w:type="dxa"/>
            <w:vAlign w:val="bottom"/>
          </w:tcPr>
          <w:p>
            <w:pPr>
              <w:spacing w:after="0"/>
              <w:rPr>
                <w:sz w:val="14"/>
                <w:szCs w:val="14"/>
                <w:color w:val="auto"/>
              </w:rPr>
            </w:pPr>
          </w:p>
        </w:tc>
        <w:tc>
          <w:tcPr>
            <w:tcW w:w="96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55.98%</w:t>
            </w:r>
          </w:p>
        </w:tc>
        <w:tc>
          <w:tcPr>
            <w:tcW w:w="1220" w:type="dxa"/>
            <w:vAlign w:val="bottom"/>
            <w:gridSpan w:val="2"/>
          </w:tcPr>
          <w:p>
            <w:pPr>
              <w:jc w:val="right"/>
              <w:ind w:right="180"/>
              <w:spacing w:after="0" w:line="129" w:lineRule="exact"/>
              <w:rPr>
                <w:sz w:val="20"/>
                <w:szCs w:val="20"/>
                <w:color w:val="auto"/>
              </w:rPr>
            </w:pPr>
            <w:r>
              <w:rPr>
                <w:rFonts w:ascii="Arial" w:cs="Arial" w:eastAsia="Arial" w:hAnsi="Arial"/>
                <w:sz w:val="13"/>
                <w:szCs w:val="13"/>
                <w:color w:val="auto"/>
              </w:rPr>
              <w:t>57.56%</w:t>
            </w:r>
          </w:p>
        </w:tc>
        <w:tc>
          <w:tcPr>
            <w:tcW w:w="0" w:type="dxa"/>
            <w:vAlign w:val="bottom"/>
          </w:tcPr>
          <w:p>
            <w:pPr>
              <w:spacing w:after="0"/>
              <w:rPr>
                <w:sz w:val="1"/>
                <w:szCs w:val="1"/>
                <w:color w:val="auto"/>
              </w:rPr>
            </w:pPr>
          </w:p>
        </w:tc>
      </w:tr>
      <w:tr>
        <w:trPr>
          <w:trHeight w:val="129"/>
        </w:trPr>
        <w:tc>
          <w:tcPr>
            <w:tcW w:w="400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sheet data (in millions)</w:t>
            </w: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b w:val="1"/>
                <w:bCs w:val="1"/>
                <w:color w:val="auto"/>
              </w:rPr>
              <w:t>Average assets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Average assets</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136,446</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120,585</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122,554</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120,388</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118,487</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116,839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(31)</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(36)</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assets</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131,836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115,972</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117,938</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115,769</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113,864</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112,213</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Average common equity</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Average total equity</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15,953</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15,832</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15,837</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15,630</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15,569</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Preferred stock</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(1,250)</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(1,373)</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(1,232)</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400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common equity</w:t>
            </w: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14,703</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14,470</w:t>
            </w: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14,582</w:t>
            </w:r>
          </w:p>
        </w:tc>
        <w:tc>
          <w:tcPr>
            <w:tcW w:w="28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14,464</w:t>
            </w:r>
          </w:p>
        </w:tc>
        <w:tc>
          <w:tcPr>
            <w:tcW w:w="2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14,398</w:t>
            </w:r>
          </w:p>
        </w:tc>
        <w:tc>
          <w:tcPr>
            <w:tcW w:w="28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14,337</w:t>
            </w:r>
          </w:p>
        </w:tc>
        <w:tc>
          <w:tcPr>
            <w:tcW w:w="2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w:t>
            </w: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(31)</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(36)</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(41)</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Average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10,093</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9,857</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9,966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9,845</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9,775</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9,711</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At end of quarter</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Total assets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Total assets</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139,537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124,578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119,873</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125,501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121,555</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(21)</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(29)</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(33)</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(38)</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80" w:type="dxa"/>
            <w:vAlign w:val="bottom"/>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8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CFF0FC"/>
            </w:tcBorders>
          </w:tcPr>
          <w:p>
            <w:pPr>
              <w:ind w:left="260"/>
              <w:spacing w:after="0" w:line="142" w:lineRule="exact"/>
              <w:rPr>
                <w:sz w:val="20"/>
                <w:szCs w:val="20"/>
                <w:color w:val="auto"/>
              </w:rPr>
            </w:pPr>
            <w:r>
              <w:rPr>
                <w:rFonts w:ascii="Arial" w:cs="Arial" w:eastAsia="Arial" w:hAnsi="Arial"/>
                <w:sz w:val="13"/>
                <w:szCs w:val="13"/>
                <w:color w:val="auto"/>
              </w:rPr>
              <w:t>Total tangible assets</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134,928</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119,966</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115,258</w:t>
            </w:r>
          </w:p>
        </w:tc>
        <w:tc>
          <w:tcPr>
            <w:tcW w:w="280" w:type="dxa"/>
            <w:vAlign w:val="bottom"/>
            <w:tcBorders>
              <w:bottom w:val="single" w:sz="8" w:color="CFF0FC"/>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120,883</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116,934</w:t>
            </w:r>
          </w:p>
        </w:tc>
        <w:tc>
          <w:tcPr>
            <w:tcW w:w="28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115,400</w:t>
            </w:r>
          </w:p>
        </w:tc>
        <w:tc>
          <w:tcPr>
            <w:tcW w:w="2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Total common equity</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Total equity</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15,945</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15,816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15,717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15,780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15,692</w:t>
            </w: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15,588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(1,250)</w:t>
            </w: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(1,250)</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(1,232)</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Undeclared dividends - cumulative preferred stock</w:t>
            </w:r>
          </w:p>
        </w:tc>
        <w:tc>
          <w:tcPr>
            <w:tcW w:w="16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6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(3)</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8"/>
        </w:trPr>
        <w:tc>
          <w:tcPr>
            <w:tcW w:w="4000" w:type="dxa"/>
            <w:vAlign w:val="bottom"/>
            <w:tcBorders>
              <w:top w:val="single" w:sz="8" w:color="CFF0FC"/>
            </w:tcBorders>
            <w:shd w:val="clear" w:color="auto" w:fill="CFF0FC"/>
          </w:tcPr>
          <w:p>
            <w:pPr>
              <w:ind w:left="260"/>
              <w:spacing w:after="0" w:line="128" w:lineRule="exact"/>
              <w:rPr>
                <w:sz w:val="20"/>
                <w:szCs w:val="20"/>
                <w:color w:val="auto"/>
              </w:rPr>
            </w:pPr>
            <w:r>
              <w:rPr>
                <w:rFonts w:ascii="Arial" w:cs="Arial" w:eastAsia="Arial" w:hAnsi="Arial"/>
                <w:sz w:val="13"/>
                <w:szCs w:val="13"/>
                <w:color w:val="auto"/>
              </w:rPr>
              <w:t>Common equity, net of undeclared</w:t>
            </w:r>
          </w:p>
        </w:tc>
        <w:tc>
          <w:tcPr>
            <w:tcW w:w="16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cumulative preferred dividends</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14,695</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14,566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14,467</w:t>
            </w: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14,530</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14,457</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14,353</w:t>
            </w:r>
          </w:p>
        </w:tc>
        <w:tc>
          <w:tcPr>
            <w:tcW w:w="2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Arial" w:cs="Arial" w:eastAsia="Arial" w:hAnsi="Arial"/>
                <w:sz w:val="13"/>
                <w:szCs w:val="13"/>
                <w:color w:val="auto"/>
              </w:rPr>
              <w:t>Goodwill</w:t>
            </w:r>
          </w:p>
        </w:tc>
        <w:tc>
          <w:tcPr>
            <w:tcW w:w="1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16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260" w:type="dxa"/>
            <w:vAlign w:val="bottom"/>
          </w:tcPr>
          <w:p>
            <w:pPr>
              <w:spacing w:after="0"/>
              <w:rPr>
                <w:sz w:val="12"/>
                <w:szCs w:val="1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1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(21)</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(29)</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(33)</w:t>
            </w:r>
          </w:p>
        </w:tc>
        <w:tc>
          <w:tcPr>
            <w:tcW w:w="2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(38)</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8"/>
        </w:trPr>
        <w:tc>
          <w:tcPr>
            <w:tcW w:w="40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2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Total tangible common equity</w:t>
            </w: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10,086</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9,954</w:t>
            </w: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9,852</w:t>
            </w:r>
          </w:p>
        </w:tc>
        <w:tc>
          <w:tcPr>
            <w:tcW w:w="28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9,912</w:t>
            </w:r>
          </w:p>
        </w:tc>
        <w:tc>
          <w:tcPr>
            <w:tcW w:w="2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9,836</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9,728</w:t>
            </w:r>
          </w:p>
        </w:tc>
        <w:tc>
          <w:tcPr>
            <w:tcW w:w="2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22"/>
        </w:trPr>
        <w:tc>
          <w:tcPr>
            <w:tcW w:w="7580" w:type="dxa"/>
            <w:vAlign w:val="bottom"/>
            <w:gridSpan w:val="15"/>
          </w:tcPr>
          <w:p>
            <w:pPr>
              <w:spacing w:after="0"/>
              <w:rPr>
                <w:sz w:val="20"/>
                <w:szCs w:val="20"/>
                <w:color w:val="auto"/>
              </w:rPr>
            </w:pPr>
            <w:r>
              <w:rPr>
                <w:rFonts w:ascii="Arial" w:cs="Arial" w:eastAsia="Arial" w:hAnsi="Arial"/>
                <w:sz w:val="20"/>
                <w:szCs w:val="20"/>
                <w:color w:val="auto"/>
                <w:w w:val="99"/>
              </w:rPr>
              <w:t>AVERAGE BALANCE SHEETS AND ANNUALIZED TAXABLE-EQUIVALENT RATES</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6"/>
          </w:tcPr>
          <w:p>
            <w:pPr>
              <w:jc w:val="center"/>
              <w:ind w:left="399"/>
              <w:spacing w:after="0"/>
              <w:rPr>
                <w:sz w:val="20"/>
                <w:szCs w:val="20"/>
                <w:color w:val="auto"/>
              </w:rPr>
            </w:pPr>
            <w:r>
              <w:rPr>
                <w:rFonts w:ascii="Arial" w:cs="Arial" w:eastAsia="Arial" w:hAnsi="Arial"/>
                <w:sz w:val="14"/>
                <w:szCs w:val="14"/>
                <w:b w:val="1"/>
                <w:bCs w:val="1"/>
                <w:color w:val="auto"/>
                <w:w w:val="92"/>
              </w:rPr>
              <w:t>2020 Second Quarter</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2020 First Quarter</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5"/>
          </w:tcPr>
          <w:p>
            <w:pPr>
              <w:jc w:val="center"/>
              <w:ind w:left="480"/>
              <w:spacing w:after="0"/>
              <w:rPr>
                <w:sz w:val="20"/>
                <w:szCs w:val="20"/>
                <w:color w:val="auto"/>
              </w:rPr>
            </w:pPr>
            <w:r>
              <w:rPr>
                <w:rFonts w:ascii="Arial" w:cs="Arial" w:eastAsia="Arial" w:hAnsi="Arial"/>
                <w:sz w:val="14"/>
                <w:szCs w:val="14"/>
                <w:b w:val="1"/>
                <w:bCs w:val="1"/>
                <w:color w:val="auto"/>
                <w:w w:val="97"/>
              </w:rPr>
              <w:t>2019 Fourth Quarter</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Average</w:t>
            </w:r>
          </w:p>
        </w:tc>
        <w:tc>
          <w:tcPr>
            <w:tcW w:w="10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20" w:type="dxa"/>
            <w:vAlign w:val="bottom"/>
          </w:tcPr>
          <w:p>
            <w:pPr>
              <w:jc w:val="right"/>
              <w:ind w:right="100"/>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040" w:type="dxa"/>
            <w:vAlign w:val="bottom"/>
            <w:gridSpan w:val="3"/>
            <w:vMerge w:val="continue"/>
          </w:tcPr>
          <w:p>
            <w:pPr>
              <w:spacing w:after="0"/>
              <w:rPr>
                <w:sz w:val="14"/>
                <w:szCs w:val="14"/>
                <w:color w:val="auto"/>
              </w:rPr>
            </w:pPr>
          </w:p>
        </w:tc>
        <w:tc>
          <w:tcPr>
            <w:tcW w:w="580" w:type="dxa"/>
            <w:vAlign w:val="bottom"/>
          </w:tcPr>
          <w:p>
            <w:pPr>
              <w:jc w:val="right"/>
              <w:ind w:right="9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86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b w:val="1"/>
                <w:bCs w:val="1"/>
                <w:i w:val="1"/>
                <w:iCs w:val="1"/>
                <w:color w:val="auto"/>
              </w:rPr>
              <w:t>Average balance in millions; interest</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29,733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229,058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247,344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23,548</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258,969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36,947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412,362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4.42</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36,034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440,291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35,039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452,752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156,135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160,650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16,330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169,371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187,041</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15,451</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203,546</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15,327</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203,205</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97,797</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984,596</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91,706</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1,051,831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90,244</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1,084,297</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16,454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4,179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6,130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18,966</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8,944</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37,277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419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43,889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45,449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9,272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57,123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subdivisions</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4,704</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47,256</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9,102</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50,194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10,044</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63,551</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123,492</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1,036,476</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108,226</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1,125,482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110,581</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1,191,295</w:t>
            </w: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(1,401)</w:t>
            </w: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(1,191)</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(1,040)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1,298</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1,298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12,252</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11,715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136,446</w:t>
            </w: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120,585</w:t>
            </w:r>
          </w:p>
        </w:tc>
        <w:tc>
          <w:tcPr>
            <w:tcW w:w="220" w:type="dxa"/>
            <w:vAlign w:val="bottom"/>
            <w:tcBorders>
              <w:bottom w:val="single" w:sz="8" w:color="CFF0FC"/>
            </w:tcBorders>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122,554</w:t>
            </w:r>
          </w:p>
        </w:tc>
        <w:tc>
          <w:tcPr>
            <w:tcW w:w="2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gridSpan w:val="2"/>
          </w:tcPr>
          <w:p>
            <w:pPr>
              <w:ind w:left="260"/>
              <w:spacing w:after="0"/>
              <w:rPr>
                <w:sz w:val="20"/>
                <w:szCs w:val="20"/>
                <w:color w:val="auto"/>
              </w:rPr>
            </w:pPr>
            <w:r>
              <w:rPr>
                <w:rFonts w:ascii="Arial" w:cs="Arial" w:eastAsia="Arial" w:hAnsi="Arial"/>
                <w:sz w:val="16"/>
                <w:szCs w:val="16"/>
                <w:color w:val="auto"/>
              </w:rPr>
              <w:t>Savings and interest-checking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38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62,927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26,454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56,366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78,002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57,103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95,585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21,872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23,958</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69,298</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46,498</w:t>
            </w:r>
          </w:p>
        </w:tc>
        <w:tc>
          <w:tcPr>
            <w:tcW w:w="20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63,710</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103,293</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64,834</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124,465</w:t>
            </w:r>
          </w:p>
        </w:tc>
        <w:tc>
          <w:tcPr>
            <w:tcW w:w="2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675</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3,168</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28,605</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6,240</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40,298</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8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6,941</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49,437</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9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75,550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75,105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70,008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143,614</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72,450</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177,070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42,497</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32,456</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32,069</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120,493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104,865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106,722</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15,720</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15,832</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gridSpan w:val="2"/>
            <w:shd w:val="clear" w:color="auto" w:fill="CFF0FC"/>
          </w:tcPr>
          <w:p>
            <w:pPr>
              <w:ind w:left="500"/>
              <w:spacing w:after="0"/>
              <w:rPr>
                <w:sz w:val="20"/>
                <w:szCs w:val="20"/>
                <w:color w:val="auto"/>
              </w:rPr>
            </w:pPr>
            <w:r>
              <w:rPr>
                <w:rFonts w:ascii="Arial" w:cs="Arial" w:eastAsia="Arial" w:hAnsi="Arial"/>
                <w:sz w:val="16"/>
                <w:szCs w:val="16"/>
                <w:color w:val="auto"/>
              </w:rPr>
              <w:t>Total liabilities and</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FF0FC"/>
            </w:tcBorders>
            <w:gridSpan w:val="2"/>
            <w:shd w:val="clear" w:color="auto" w:fill="CFF0FC"/>
          </w:tcPr>
          <w:p>
            <w:pPr>
              <w:ind w:left="660"/>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136,446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120,585</w:t>
            </w:r>
          </w:p>
        </w:tc>
        <w:tc>
          <w:tcPr>
            <w:tcW w:w="2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122,554</w:t>
            </w: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98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gridSpan w:val="2"/>
          </w:tcPr>
          <w:p>
            <w:pPr>
              <w:ind w:left="180"/>
              <w:spacing w:after="0"/>
              <w:rPr>
                <w:sz w:val="20"/>
                <w:szCs w:val="20"/>
                <w:color w:val="auto"/>
              </w:rPr>
            </w:pPr>
            <w:r>
              <w:rPr>
                <w:rFonts w:ascii="Arial" w:cs="Arial" w:eastAsia="Arial" w:hAnsi="Arial"/>
                <w:sz w:val="16"/>
                <w:szCs w:val="16"/>
                <w:color w:val="auto"/>
              </w:rPr>
              <w:t>earning assets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961,371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981,868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1,014,225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3 (continued)</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AVERAGE BALANCE SHEETS AND ANNUALIZED TAXABLE-EQUIVALENT RATES (continued)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7"/>
              </w:rPr>
              <w:t>2019 Third Quarter</w:t>
            </w: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6"/>
                <w:szCs w:val="16"/>
                <w:color w:val="auto"/>
              </w:rPr>
            </w:pPr>
          </w:p>
        </w:tc>
        <w:tc>
          <w:tcPr>
            <w:tcW w:w="72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2019 Second Quarter</w:t>
            </w:r>
          </w:p>
        </w:tc>
        <w:tc>
          <w:tcPr>
            <w:tcW w:w="74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Interest</w:t>
            </w: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Balance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30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i w:val="1"/>
                <w:iCs w:val="1"/>
                <w:color w:val="auto"/>
              </w:rPr>
              <w:t>Average balance in millions; interest in thousands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Loans and leases, net of unearned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Pr>
          <w:p>
            <w:pPr>
              <w:ind w:left="180"/>
              <w:spacing w:after="0"/>
              <w:rPr>
                <w:sz w:val="20"/>
                <w:szCs w:val="20"/>
                <w:color w:val="auto"/>
              </w:rPr>
            </w:pPr>
            <w:r>
              <w:rPr>
                <w:rFonts w:ascii="Arial" w:cs="Arial" w:eastAsia="Arial" w:hAnsi="Arial"/>
                <w:sz w:val="16"/>
                <w:szCs w:val="16"/>
                <w:color w:val="auto"/>
              </w:rPr>
              <w:t>discount (a)</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financial, etc.</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23,326</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283,291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23,335</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288,914</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Real estate – commercial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35,200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462,759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34,768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465,911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Real estate – consumer</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16,673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175,098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16,723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179,218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Consumer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14,879</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204,097</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14,324</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197,418</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loans and leases, net</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90,078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2"/>
              </w:rPr>
              <w:t>1,125,245</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89,150</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1,131,461</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Interest-bearing deposits at banks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40,388</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6,122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36,325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 and agreements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 resell securities</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Trading account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 (b)</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U.S. Treasury and federal agencies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62,506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2.41</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11,364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68,755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6,827</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investment securities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69,173</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12,170</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75,675</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b w:val="1"/>
                <w:bCs w:val="1"/>
                <w:color w:val="auto"/>
              </w:rPr>
              <w:t>Total earning assets</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108,643</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1,235,048</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107,511</w:t>
            </w:r>
          </w:p>
        </w:tc>
        <w:tc>
          <w:tcPr>
            <w:tcW w:w="3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1,243,838</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(1,034)</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(1,024)</w:t>
            </w: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Cash and due from banks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1,260</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11,476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10,740</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120,388</w:t>
            </w: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118,487</w:t>
            </w:r>
          </w:p>
        </w:tc>
        <w:tc>
          <w:tcPr>
            <w:tcW w:w="30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9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Savings and interest-checking 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55,680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104,724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53,495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91,556</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24,931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Deposits at Cayman Islands office</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6,218</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6,040</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interest-bearing deposits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63,545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136,398</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61,272</w:t>
            </w:r>
          </w:p>
        </w:tc>
        <w:tc>
          <w:tcPr>
            <w:tcW w:w="3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122,527</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6,967</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7,893</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56,214</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3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8,278</w:t>
            </w:r>
          </w:p>
        </w:tc>
        <w:tc>
          <w:tcPr>
            <w:tcW w:w="3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66,012</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50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71,878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199,579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70,813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196,432</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30,550</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30,099</w:t>
            </w:r>
          </w:p>
        </w:tc>
        <w:tc>
          <w:tcPr>
            <w:tcW w:w="3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104,551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102,857</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15,837</w:t>
            </w: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15,630</w:t>
            </w:r>
          </w:p>
        </w:tc>
        <w:tc>
          <w:tcPr>
            <w:tcW w:w="3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120,388</w:t>
            </w: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118,487</w:t>
            </w:r>
          </w:p>
        </w:tc>
        <w:tc>
          <w:tcPr>
            <w:tcW w:w="3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Net interest spread</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3.41</w:t>
            </w: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3.53</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Arial" w:cs="Arial" w:eastAsia="Arial" w:hAnsi="Arial"/>
                <w:sz w:val="16"/>
                <w:szCs w:val="16"/>
                <w:color w:val="auto"/>
              </w:rPr>
              <w:t>Net interest income/margin on earning assets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1,035,469</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1,047,406</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rFonts w:ascii="Arial" w:cs="Arial" w:eastAsia="Arial" w:hAnsi="Arial"/>
          <w:sz w:val="18"/>
          <w:szCs w:val="18"/>
          <w:i w:val="1"/>
          <w:iCs w:val="1"/>
          <w:color w:val="auto"/>
        </w:rPr>
      </w:pPr>
    </w:p>
    <w:p>
      <w:pPr>
        <w:ind w:left="500" w:hanging="492"/>
        <w:spacing w:after="0"/>
        <w:tabs>
          <w:tab w:leader="none" w:pos="5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0" w:name="page91"/>
    <w:bookmarkEnd w:id="90"/>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46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10" w:lineRule="exact"/>
        <w:rPr>
          <w:sz w:val="20"/>
          <w:szCs w:val="20"/>
          <w:color w:val="auto"/>
        </w:rPr>
      </w:pPr>
    </w:p>
    <w:p>
      <w:pPr>
        <w:jc w:val="both"/>
        <w:ind w:firstLine="476"/>
        <w:spacing w:after="0" w:line="249" w:lineRule="auto"/>
        <w:tabs>
          <w:tab w:leader="none" w:pos="786" w:val="left"/>
        </w:tabs>
        <w:numPr>
          <w:ilvl w:val="0"/>
          <w:numId w:val="27"/>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June 30, 2020.</w:t>
      </w:r>
    </w:p>
    <w:p>
      <w:pPr>
        <w:spacing w:after="0" w:line="212" w:lineRule="exact"/>
        <w:rPr>
          <w:rFonts w:ascii="Arial" w:cs="Arial" w:eastAsia="Arial" w:hAnsi="Arial"/>
          <w:sz w:val="21"/>
          <w:szCs w:val="21"/>
          <w:color w:val="auto"/>
        </w:rPr>
      </w:pPr>
    </w:p>
    <w:p>
      <w:pPr>
        <w:jc w:val="both"/>
        <w:ind w:firstLine="476"/>
        <w:spacing w:after="0" w:line="258" w:lineRule="auto"/>
        <w:tabs>
          <w:tab w:leader="none" w:pos="806" w:val="left"/>
        </w:tabs>
        <w:numPr>
          <w:ilvl w:val="0"/>
          <w:numId w:val="27"/>
        </w:numPr>
        <w:rPr>
          <w:rFonts w:ascii="Arial" w:cs="Arial" w:eastAsia="Arial" w:hAnsi="Arial"/>
          <w:sz w:val="20"/>
          <w:szCs w:val="20"/>
          <w:color w:val="auto"/>
        </w:rPr>
      </w:pPr>
      <w:r>
        <w:rPr>
          <w:rFonts w:ascii="Arial" w:cs="Arial" w:eastAsia="Arial" w:hAnsi="Arial"/>
          <w:sz w:val="20"/>
          <w:szCs w:val="20"/>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Effective January 1, 2020, M&amp;T adopted a new accounting standard that significantly changed its process for calculating the allowance for credit losses and, as a result, modified many of its control activities associated with the determination of this critical accounting estimate. The revised processes and controls reflect the incorporation of macro-economic forecasts into credit-loss forecasting models for purposes of estimating expected loss amounts over a reasonable and supportable forecast period. No other changes in internal control over financial reporting have been identified in connection with the evaluation of disclosure controls and procedures during the quarter ended June 30, 2020 that have materially affected, or are reasonably likely to materially affect, M&amp;T’s internal control over financial reporting.</w:t>
      </w:r>
    </w:p>
    <w:p>
      <w:pPr>
        <w:spacing w:after="0" w:line="205" w:lineRule="exact"/>
        <w:rPr>
          <w:sz w:val="20"/>
          <w:szCs w:val="20"/>
          <w:color w:val="auto"/>
        </w:rPr>
      </w:pPr>
    </w:p>
    <w:p>
      <w:pPr>
        <w:jc w:val="both"/>
        <w:ind w:firstLine="468"/>
        <w:spacing w:after="0" w:line="252" w:lineRule="auto"/>
        <w:rPr>
          <w:sz w:val="20"/>
          <w:szCs w:val="20"/>
          <w:color w:val="auto"/>
        </w:rPr>
      </w:pPr>
      <w:r>
        <w:rPr>
          <w:rFonts w:ascii="Arial" w:cs="Arial" w:eastAsia="Arial" w:hAnsi="Arial"/>
          <w:sz w:val="21"/>
          <w:szCs w:val="21"/>
          <w:color w:val="auto"/>
        </w:rPr>
        <w:t>The emergence of the COVID-19 pandemic during the first quarter of 2020 necessitated the execution of several M&amp;T contingency plans. Beginning in March 2020 and continuing through this filing date, the Company had a substantial number of its employees working remotely under such contingency plans.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245" w:lineRule="exact"/>
        <w:rPr>
          <w:sz w:val="20"/>
          <w:szCs w:val="20"/>
          <w:color w:val="auto"/>
        </w:rPr>
      </w:pPr>
    </w:p>
    <w:p>
      <w:pPr>
        <w:jc w:val="both"/>
        <w:ind w:firstLine="468"/>
        <w:spacing w:after="0" w:line="272" w:lineRule="auto"/>
        <w:rPr>
          <w:sz w:val="20"/>
          <w:szCs w:val="20"/>
          <w:color w:val="auto"/>
        </w:rPr>
      </w:pPr>
      <w:r>
        <w:rPr>
          <w:rFonts w:ascii="Arial" w:cs="Arial" w:eastAsia="Arial" w:hAnsi="Arial"/>
          <w:sz w:val="19"/>
          <w:szCs w:val="19"/>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ESOP Matters</w:t>
      </w:r>
      <w:r>
        <w:rPr>
          <w:rFonts w:ascii="Arial" w:cs="Arial" w:eastAsia="Arial" w:hAnsi="Arial"/>
          <w:sz w:val="19"/>
          <w:szCs w:val="19"/>
          <w:color w:val="auto"/>
        </w:rPr>
        <w:t>: Wilmington Trust, N.A. provides retirement services, including serving in certain trustee roles relating to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Stock Ownership Plans (“ESOPs”). Beginning in 2010, the U.S. Department of Labor (“DOL”) announced that it would increase its focus on ESOP transactions, particularly with regard to valuation issues relating to ESOP transactions. Beginning in late 2013, Wilmington Trust, N.A. began receiving requests for information and subpoenas relating to certain ESOP transactions for which it acted as trustee. In June 2016, Wilmington Trust, N.A. received a DOL subpoena seeking information on its global ESOP trustee business. In addition to these investigations, the DOL commenced three lawsuits against Wilmington Trust, N.A. relating to its role as trustee of three ESOP transactions. In July 2019, Wilmington Trust, N.A. reached a settlement in principle with the DOL to resolve certain pending DOL ESOP matters. On April 28, 2020, Wilmington Trust N.A. and the DOL executed a formal settlement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1" w:name="page92"/>
    <w:bookmarkEnd w:id="91"/>
    <w:p>
      <w:pPr>
        <w:jc w:val="both"/>
        <w:spacing w:after="0" w:line="274" w:lineRule="auto"/>
        <w:rPr>
          <w:sz w:val="20"/>
          <w:szCs w:val="20"/>
          <w:color w:val="auto"/>
        </w:rPr>
      </w:pPr>
      <w:r>
        <w:rPr>
          <w:rFonts w:ascii="Arial" w:cs="Arial" w:eastAsia="Arial" w:hAnsi="Arial"/>
          <w:sz w:val="19"/>
          <w:szCs w:val="19"/>
          <w:color w:val="auto"/>
        </w:rPr>
        <w:t>agreement. The total amount of the settlement was $88 million, which included $80 million in payments to 21 ESOPs. The settlement amount was within the Company’s reserve for litigation matters and substantially all was paid in the second quarter of 2020. Wilmington Trust, N.A. also was named as a defendant in five private party lawsuits relating to its role as trustee for five ESOP transactions. Three of the five private party lawsuits relating to ESOP transactions have been resolved through settlements, two of which have been preliminarily approved by Courts, and are in the process of administration. The third settled ESOP private action was settled on an individual basis and, therefore, does not require Court approval. None of those three settlements are material. Under applicable transaction documents, Wilmington Trust, N.A. may be entitled to indemnification by the ESOP plan sponsors. These matters could result in damages, settlements, penalties, restitution, reputational damage or additional costs and expenses.</w:t>
      </w:r>
    </w:p>
    <w:p>
      <w:pPr>
        <w:spacing w:after="0" w:line="191" w:lineRule="exact"/>
        <w:rPr>
          <w:sz w:val="20"/>
          <w:szCs w:val="20"/>
          <w:color w:val="auto"/>
        </w:rPr>
      </w:pPr>
    </w:p>
    <w:p>
      <w:pPr>
        <w:jc w:val="both"/>
        <w:ind w:firstLine="468"/>
        <w:spacing w:after="0" w:line="303" w:lineRule="auto"/>
        <w:rPr>
          <w:sz w:val="20"/>
          <w:szCs w:val="20"/>
          <w:color w:val="auto"/>
        </w:rPr>
      </w:pPr>
      <w:r>
        <w:rPr>
          <w:rFonts w:ascii="Arial" w:cs="Arial" w:eastAsia="Arial" w:hAnsi="Arial"/>
          <w:sz w:val="18"/>
          <w:szCs w:val="18"/>
          <w:color w:val="auto"/>
        </w:rPr>
        <w:t>Due to their complex nature, it is difficult to estimate when litigation and investigatory matters such as these may be resolved. As set forth in the introductory paragraph to this Item 3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jc w:val="both"/>
        <w:ind w:right="20" w:firstLine="562"/>
        <w:spacing w:after="0" w:line="264" w:lineRule="auto"/>
        <w:rPr>
          <w:sz w:val="20"/>
          <w:szCs w:val="20"/>
          <w:color w:val="auto"/>
        </w:rPr>
      </w:pPr>
      <w:r>
        <w:rPr>
          <w:rFonts w:ascii="Arial" w:cs="Arial" w:eastAsia="Arial" w:hAnsi="Arial"/>
          <w:sz w:val="21"/>
          <w:szCs w:val="21"/>
          <w:color w:val="auto"/>
        </w:rPr>
        <w:t>In addition to the risk factors relating to M&amp;T as disclosed in response to Item 1A. to Part I of Form 10-K for the year ended December 31, 2019, a supplemental risk factor is presented below.</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i w:val="1"/>
          <w:iCs w:val="1"/>
          <w:color w:val="auto"/>
        </w:rPr>
        <w:t>M&amp;T’s business, financial condition, liquidity, capital and results of operations have been, and will likely continue to be, adversely affected by the COVID-19 pandemic.</w:t>
      </w:r>
    </w:p>
    <w:p>
      <w:pPr>
        <w:spacing w:after="0" w:line="63"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21"/>
          <w:szCs w:val="21"/>
          <w:color w:val="auto"/>
        </w:rPr>
        <w:t>The Coronavirus Disease 2019 (“COVID-19”) pandemic has caused severe disruption to the U.S. and global economy and created significant volatility in the financial markets. The duration of this disruption and impact cannot be reasonably estimated at this time.</w:t>
      </w:r>
    </w:p>
    <w:p>
      <w:pPr>
        <w:spacing w:after="0" w:line="76"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9"/>
          <w:szCs w:val="19"/>
          <w:color w:val="auto"/>
        </w:rPr>
        <w:t>The pandemic has created economic and financial disruptions that have adversely affected, and are likely to continue to adversely affect, the Company’s business, financial condition, liquidity, capital and results of operations. The extent to which the COVID-19 pandemic will continue to negatively affect the Company’s business, financial condition, liquidity, capital and results of operations will depend on future developments (including the scope and duration of the pandemic, the continued effectiveness of M&amp;T’s business continuity plans, the direct and indirect impact of the pandemic on the Company’s employees, customers, clients, counterparties, vendors, service providers and other market participants, and actions taken by governmental authorities and other third parties in response to the pandemic), which are highly uncertain and cannot be reasonably predicted.</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The COVID-19 pandemic contributed to:</w:t>
      </w:r>
    </w:p>
    <w:p>
      <w:pPr>
        <w:spacing w:after="0" w:line="110" w:lineRule="exact"/>
        <w:rPr>
          <w:sz w:val="20"/>
          <w:szCs w:val="20"/>
          <w:color w:val="auto"/>
        </w:rPr>
      </w:pPr>
    </w:p>
    <w:p>
      <w:pPr>
        <w:ind w:left="740" w:right="240" w:hanging="273"/>
        <w:spacing w:after="0" w:line="250"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Increased unemployment levels, interrupted income of consumers and decreased consumer confidence generally, leading to an increased risk of delinquencies, defaults and foreclosures;</w:t>
      </w:r>
    </w:p>
    <w:p>
      <w:pPr>
        <w:ind w:left="740" w:right="20" w:hanging="273"/>
        <w:spacing w:after="0" w:line="241"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Increased disruption to businesses, permanent or temporary closure of businesses and decreased business confidence generally, leading to increased risk of delinquencies, defaults and bankruptcies;</w:t>
      </w:r>
    </w:p>
    <w:p>
      <w:pPr>
        <w:spacing w:after="0" w:line="1" w:lineRule="exact"/>
        <w:rPr>
          <w:rFonts w:ascii="Arial" w:cs="Arial" w:eastAsia="Arial" w:hAnsi="Arial"/>
          <w:sz w:val="21"/>
          <w:szCs w:val="21"/>
          <w:color w:val="auto"/>
        </w:rPr>
      </w:pPr>
    </w:p>
    <w:p>
      <w:pPr>
        <w:ind w:left="740" w:hanging="273"/>
        <w:spacing w:after="0" w:line="241"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 sudden and significant reduction in the valuation of the equity, fixed-income and commodity markets and the significant increase in the volatility of those markets;</w:t>
      </w:r>
    </w:p>
    <w:p>
      <w:pPr>
        <w:spacing w:after="0" w:line="1" w:lineRule="exact"/>
        <w:rPr>
          <w:rFonts w:ascii="Arial" w:cs="Arial" w:eastAsia="Arial" w:hAnsi="Arial"/>
          <w:sz w:val="21"/>
          <w:szCs w:val="21"/>
          <w:color w:val="auto"/>
        </w:rPr>
      </w:pPr>
    </w:p>
    <w:p>
      <w:pPr>
        <w:ind w:left="740" w:hanging="273"/>
        <w:spacing w:after="0" w:line="241"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 decrease in the rates and yields on U.S. Treasury securities, which has negatively impacted the Company’s net interest income and margin;</w:t>
      </w:r>
    </w:p>
    <w:p>
      <w:pPr>
        <w:spacing w:after="0" w:line="1" w:lineRule="exact"/>
        <w:rPr>
          <w:rFonts w:ascii="Arial" w:cs="Arial" w:eastAsia="Arial" w:hAnsi="Arial"/>
          <w:sz w:val="21"/>
          <w:szCs w:val="21"/>
          <w:color w:val="auto"/>
        </w:rPr>
      </w:pPr>
    </w:p>
    <w:p>
      <w:pPr>
        <w:ind w:left="740" w:hanging="273"/>
        <w:spacing w:after="0"/>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Declines in collateral values;</w:t>
      </w:r>
    </w:p>
    <w:p>
      <w:pPr>
        <w:spacing w:after="0" w:line="1" w:lineRule="exact"/>
        <w:rPr>
          <w:rFonts w:ascii="Arial" w:cs="Arial" w:eastAsia="Arial" w:hAnsi="Arial"/>
          <w:sz w:val="21"/>
          <w:szCs w:val="21"/>
          <w:color w:val="auto"/>
        </w:rPr>
      </w:pPr>
    </w:p>
    <w:p>
      <w:pPr>
        <w:ind w:left="740" w:hanging="273"/>
        <w:spacing w:after="0"/>
        <w:tabs>
          <w:tab w:leader="none" w:pos="7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Increased demands on capital and liquidity, leading M&amp;T to cease repurchases of its common stock for the time being;</w:t>
      </w:r>
    </w:p>
    <w:p>
      <w:pPr>
        <w:spacing w:after="0" w:line="13" w:lineRule="exact"/>
        <w:rPr>
          <w:rFonts w:ascii="Arial" w:cs="Arial" w:eastAsia="Arial" w:hAnsi="Arial"/>
          <w:sz w:val="20"/>
          <w:szCs w:val="20"/>
          <w:color w:val="auto"/>
        </w:rPr>
      </w:pPr>
    </w:p>
    <w:p>
      <w:pPr>
        <w:ind w:left="740" w:hanging="273"/>
        <w:spacing w:after="0" w:line="241"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A reduction in the value of the assets that the Company manages or otherwise administers or services for customers, affecting related fee income and demand for the Company’s services;</w:t>
      </w:r>
    </w:p>
    <w:p>
      <w:pPr>
        <w:spacing w:after="0" w:line="1" w:lineRule="exact"/>
        <w:rPr>
          <w:rFonts w:ascii="Arial" w:cs="Arial" w:eastAsia="Arial" w:hAnsi="Arial"/>
          <w:sz w:val="21"/>
          <w:szCs w:val="21"/>
          <w:color w:val="auto"/>
        </w:rPr>
      </w:pPr>
    </w:p>
    <w:p>
      <w:pPr>
        <w:ind w:left="740" w:hanging="273"/>
        <w:spacing w:after="0" w:line="246" w:lineRule="auto"/>
        <w:tabs>
          <w:tab w:leader="none" w:pos="740" w:val="left"/>
        </w:tabs>
        <w:numPr>
          <w:ilvl w:val="0"/>
          <w:numId w:val="28"/>
        </w:numPr>
        <w:rPr>
          <w:rFonts w:ascii="Arial" w:cs="Arial" w:eastAsia="Arial" w:hAnsi="Arial"/>
          <w:sz w:val="21"/>
          <w:szCs w:val="21"/>
          <w:color w:val="auto"/>
        </w:rPr>
      </w:pPr>
      <w:r>
        <w:rPr>
          <w:rFonts w:ascii="Arial" w:cs="Arial" w:eastAsia="Arial" w:hAnsi="Arial"/>
          <w:sz w:val="21"/>
          <w:szCs w:val="21"/>
          <w:color w:val="auto"/>
        </w:rPr>
        <w:t>Heightened cybersecurity, information security and operational risks to the Company, including as a result of work-from-home arrangements;</w:t>
      </w:r>
    </w:p>
    <w:p>
      <w:pPr>
        <w:spacing w:after="0" w:line="188" w:lineRule="exact"/>
        <w:rPr>
          <w:rFonts w:ascii="Arial" w:cs="Arial" w:eastAsia="Arial" w:hAnsi="Arial"/>
          <w:sz w:val="21"/>
          <w:szCs w:val="21"/>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2" w:name="page93"/>
    <w:bookmarkEnd w:id="92"/>
    <w:p>
      <w:pPr>
        <w:ind w:left="740" w:hanging="273"/>
        <w:spacing w:after="0" w:line="250" w:lineRule="auto"/>
        <w:tabs>
          <w:tab w:leader="none" w:pos="7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Disruptions to the business operations of the Company, including disruptions to branch and office openings, supply chains and employee travel and working arrangements; and</w:t>
      </w:r>
    </w:p>
    <w:p>
      <w:pPr>
        <w:ind w:left="740" w:hanging="273"/>
        <w:spacing w:after="0"/>
        <w:tabs>
          <w:tab w:leader="none" w:pos="740" w:val="left"/>
        </w:tabs>
        <w:numPr>
          <w:ilvl w:val="0"/>
          <w:numId w:val="29"/>
        </w:numPr>
        <w:rPr>
          <w:rFonts w:ascii="Arial" w:cs="Arial" w:eastAsia="Arial" w:hAnsi="Arial"/>
          <w:sz w:val="21"/>
          <w:szCs w:val="21"/>
          <w:color w:val="auto"/>
        </w:rPr>
      </w:pPr>
      <w:r>
        <w:rPr>
          <w:rFonts w:ascii="Arial" w:cs="Arial" w:eastAsia="Arial" w:hAnsi="Arial"/>
          <w:sz w:val="21"/>
          <w:szCs w:val="21"/>
          <w:color w:val="auto"/>
        </w:rPr>
        <w:t>Disruptions to business operations at counterparties, vendors and other service providers.</w:t>
      </w:r>
    </w:p>
    <w:p>
      <w:pPr>
        <w:spacing w:after="0" w:line="227"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9"/>
          <w:szCs w:val="19"/>
          <w:color w:val="auto"/>
        </w:rPr>
        <w:t>The pandemic is likely to continue to contribute to these risks and impacts. As a result, the Company’s credit, operational and other risks are generally expected to increase until the pandemic subsides. In addition, the Company’s business operations continue to be at risk of adverse disruption if significant portions of the Company’s workforce are unable to work effectively, including because of illness, quarantines, government actions, failures in systems or technology that disrupt work-from-home arrangements or other effects of the pandemic, or if the Company is unable to keep branches or offices open, including because of risk of infection.</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Governmental authorities have taken unprecedented measures to provide economic assistance to individual households and businesses, stabilize the markets and support economic growth. The success of these measures is not yet entirely known and those measures may not be sufficient to fully mitigate the negative impact of the COVID-19 pandemic. Additionally, some measures, such as a suspension of mortgage and other loan payments and foreclosures, may have a negative impact on the Company’s business, financial condition, liquidity, capital and results of operations. If such measures are not effective in mitigating the effects of the COVID-19 pandemic on the Company’s borrowers, the Company may also experience higher rates of default and increased credit losses in future periods. The Company also faces an increased risk of litigation and governmental and regulatory scrutiny as a result of the effects of the COVID-19 pandemic on market and economic conditions and actions governmental authorities take in response to those conditions. Furthermore, various government programs such as the Paycheck Protection Program are complex and the Company’s participation may lead to litigation and governmental, regulatory and third party scrutiny, negative publicity and damage to its reputation.</w:t>
      </w:r>
    </w:p>
    <w:p>
      <w:pPr>
        <w:spacing w:after="0" w:line="20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20"/>
          <w:szCs w:val="20"/>
          <w:color w:val="auto"/>
        </w:rPr>
        <w:t>The length of the pandemic and the efficacy of the extraordinary measures being put in place to address it are unknown. It is unknown when there will be a return to normal business activity and a subsiding of the economic stress associated with the pandemic. Prolonged continuation of the pandemic could worsen these risks and impacts. Until the pandemic subsides, the Company expects continued draws on lines of credit, reduced revenues in many of its fee-related businesses and increased customer and client defaults, including defaults in unsecured loans. Even after the pandemic subsides, the U.S. economy may experience a prolonged economic slowdown or recession, and M&amp;T anticipates the Company’s businesses would be materially and adversely affected by a prolonged economic slowdown or recession. To the extent the pandemic adversely affects the Company’s business, financial condition, liquidity, capital or results of operations, it may also have the effect of heightening many of the other risks described in the section entitled “Risk Factors” in M&amp;T’s 2019 Annual Report on Form 10-K for the year ended December 31, 2019 and M&amp;T’s other filings with the Securities and Exchange Commission.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3" w:name="page94"/>
    <w:bookmarkEnd w:id="93"/>
    <w:p>
      <w:pPr>
        <w:spacing w:after="0"/>
        <w:tabs>
          <w:tab w:leader="none" w:pos="100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82"/>
        <w:spacing w:after="0"/>
        <w:tabs>
          <w:tab w:leader="none" w:pos="800" w:val="left"/>
        </w:tabs>
        <w:numPr>
          <w:ilvl w:val="0"/>
          <w:numId w:val="30"/>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1"/>
        </w:numPr>
        <w:rPr>
          <w:rFonts w:ascii="Arial" w:cs="Arial" w:eastAsia="Arial" w:hAnsi="Arial"/>
          <w:sz w:val="21"/>
          <w:szCs w:val="21"/>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1"/>
              </w:rPr>
              <w:t>Issuer Purchases of Equity Securities</w:t>
            </w: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(c)Total</w:t>
            </w:r>
          </w:p>
        </w:tc>
        <w:tc>
          <w:tcPr>
            <w:tcW w:w="6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(or Units)</w:t>
            </w: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(a)Total</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Purchased</w:t>
            </w: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 Units)</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(b)Average</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may yet</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Announced</w:t>
            </w: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8"/>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Units)</w:t>
            </w:r>
          </w:p>
        </w:tc>
        <w:tc>
          <w:tcPr>
            <w:tcW w:w="2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or</w:t>
            </w:r>
          </w:p>
        </w:tc>
        <w:tc>
          <w:tcPr>
            <w:tcW w:w="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65"/>
        </w:trPr>
        <w:tc>
          <w:tcPr>
            <w:tcW w:w="4180" w:type="dxa"/>
            <w:vAlign w:val="bottom"/>
            <w:gridSpan w:val="3"/>
            <w:vMerge w:val="continue"/>
          </w:tcPr>
          <w:p>
            <w:pPr>
              <w:spacing w:after="0"/>
              <w:rPr>
                <w:sz w:val="14"/>
                <w:szCs w:val="14"/>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 (1)</w:t>
            </w:r>
          </w:p>
        </w:tc>
        <w:tc>
          <w:tcPr>
            <w:tcW w:w="280" w:type="dxa"/>
            <w:vAlign w:val="bottom"/>
          </w:tcPr>
          <w:p>
            <w:pPr>
              <w:spacing w:after="0"/>
              <w:rPr>
                <w:sz w:val="14"/>
                <w:szCs w:val="14"/>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9"/>
              </w:rPr>
              <w:t>(or Unit)</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4"/>
                <w:szCs w:val="14"/>
                <w:color w:val="auto"/>
              </w:rPr>
            </w:pPr>
          </w:p>
        </w:tc>
        <w:tc>
          <w:tcPr>
            <w:tcW w:w="12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0"/>
        </w:trPr>
        <w:tc>
          <w:tcPr>
            <w:tcW w:w="420" w:type="dxa"/>
            <w:vAlign w:val="bottom"/>
            <w:tcBorders>
              <w:top w:val="single" w:sz="8" w:color="auto"/>
            </w:tcBorders>
          </w:tcPr>
          <w:p>
            <w:pPr>
              <w:spacing w:after="0"/>
              <w:rPr>
                <w:sz w:val="19"/>
                <w:szCs w:val="19"/>
                <w:color w:val="auto"/>
              </w:rPr>
            </w:pP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April 1 - April 30, 2020</w:t>
            </w: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4"/>
              </w:rPr>
              <w:t>$  679,076,785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tcPr>
          <w:p>
            <w:pPr>
              <w:spacing w:after="0"/>
              <w:rPr>
                <w:sz w:val="20"/>
                <w:szCs w:val="20"/>
                <w:color w:val="auto"/>
              </w:rPr>
            </w:pPr>
            <w:r>
              <w:rPr>
                <w:rFonts w:ascii="Arial" w:cs="Arial" w:eastAsia="Arial" w:hAnsi="Arial"/>
                <w:sz w:val="18"/>
                <w:szCs w:val="18"/>
                <w:color w:val="auto"/>
              </w:rPr>
              <w:t>May 1 - May 31, 2020</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679,076,785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June 1 - June 30, 2020</w:t>
            </w:r>
          </w:p>
        </w:tc>
        <w:tc>
          <w:tcPr>
            <w:tcW w:w="1120" w:type="dxa"/>
            <w:vAlign w:val="bottom"/>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679,076,785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500" w:hanging="492"/>
        <w:spacing w:after="0" w:line="254"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00" w:hanging="492"/>
        <w:spacing w:after="0" w:line="260" w:lineRule="auto"/>
        <w:tabs>
          <w:tab w:leader="none" w:pos="50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On July 17, 2019, M&amp;T’s Board of Directors authorized a new stock repurchase program to repurchase up to $1.635 billion of common shares, including the remaining shares not purchased related to M&amp;T’s 2018 revised capital plan.</w:t>
      </w:r>
    </w:p>
    <w:p>
      <w:pPr>
        <w:spacing w:after="0" w:line="213"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280" w:type="dxa"/>
            <w:vAlign w:val="bottom"/>
          </w:tcPr>
          <w:p>
            <w:pPr>
              <w:ind w:left="60"/>
              <w:spacing w:after="0"/>
              <w:rPr>
                <w:sz w:val="20"/>
                <w:szCs w:val="20"/>
                <w:color w:val="auto"/>
              </w:rPr>
            </w:pPr>
            <w:r>
              <w:rPr>
                <w:rFonts w:ascii="Arial" w:cs="Arial" w:eastAsia="Arial" w:hAnsi="Arial"/>
                <w:sz w:val="21"/>
                <w:szCs w:val="21"/>
                <w:color w:val="auto"/>
              </w:rPr>
              <w:t>Exhibits.</w:t>
            </w:r>
          </w:p>
        </w:tc>
      </w:tr>
      <w:tr>
        <w:trPr>
          <w:trHeight w:val="351"/>
        </w:trPr>
        <w:tc>
          <w:tcPr>
            <w:tcW w:w="11240" w:type="dxa"/>
            <w:vAlign w:val="bottom"/>
            <w:gridSpan w:val="2"/>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8"/>
        </w:trPr>
        <w:tc>
          <w:tcPr>
            <w:tcW w:w="960" w:type="dxa"/>
            <w:vAlign w:val="bottom"/>
          </w:tcPr>
          <w:p>
            <w:pPr>
              <w:ind w:left="180"/>
              <w:spacing w:after="0"/>
              <w:rPr>
                <w:sz w:val="20"/>
                <w:szCs w:val="20"/>
                <w:color w:val="auto"/>
              </w:rPr>
            </w:pPr>
            <w:r>
              <w:rPr>
                <w:rFonts w:ascii="Arial" w:cs="Arial" w:eastAsia="Arial" w:hAnsi="Arial"/>
                <w:sz w:val="21"/>
                <w:szCs w:val="21"/>
                <w:color w:val="auto"/>
              </w:rPr>
              <w:t>Exhibit</w:t>
            </w:r>
          </w:p>
        </w:tc>
        <w:tc>
          <w:tcPr>
            <w:tcW w:w="1028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ind w:left="320"/>
              <w:spacing w:after="0"/>
              <w:rPr>
                <w:sz w:val="20"/>
                <w:szCs w:val="20"/>
                <w:color w:val="auto"/>
              </w:rPr>
            </w:pPr>
            <w:r>
              <w:rPr>
                <w:rFonts w:ascii="Arial" w:cs="Arial" w:eastAsia="Arial" w:hAnsi="Arial"/>
                <w:sz w:val="21"/>
                <w:szCs w:val="21"/>
                <w:color w:val="auto"/>
              </w:rPr>
              <w:t>No.</w:t>
            </w:r>
          </w:p>
        </w:tc>
        <w:tc>
          <w:tcPr>
            <w:tcW w:w="10280" w:type="dxa"/>
            <w:vAlign w:val="bottom"/>
          </w:tcPr>
          <w:p>
            <w:pPr>
              <w:spacing w:after="0"/>
              <w:rPr>
                <w:sz w:val="22"/>
                <w:szCs w:val="22"/>
                <w:color w:val="auto"/>
              </w:rPr>
            </w:pPr>
          </w:p>
        </w:tc>
      </w:tr>
      <w:tr>
        <w:trPr>
          <w:trHeight w:val="488"/>
        </w:trPr>
        <w:tc>
          <w:tcPr>
            <w:tcW w:w="960" w:type="dxa"/>
            <w:vAlign w:val="bottom"/>
          </w:tcPr>
          <w:p>
            <w:pPr>
              <w:ind w:left="120"/>
              <w:spacing w:after="0"/>
              <w:rPr>
                <w:rFonts w:ascii="Arial" w:cs="Arial" w:eastAsia="Arial" w:hAnsi="Arial"/>
                <w:sz w:val="21"/>
                <w:szCs w:val="21"/>
                <w:u w:val="single" w:color="auto"/>
                <w:color w:val="0000EE"/>
              </w:rPr>
            </w:pPr>
            <w:hyperlink w:anchor="page96">
              <w:r>
                <w:rPr>
                  <w:rFonts w:ascii="Arial" w:cs="Arial" w:eastAsia="Arial" w:hAnsi="Arial"/>
                  <w:sz w:val="21"/>
                  <w:szCs w:val="21"/>
                  <w:u w:val="single" w:color="auto"/>
                  <w:color w:val="0000EE"/>
                </w:rPr>
                <w:t>31.1</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Executive Officer under Section 302 of the Sarbanes-Oxley Act of 2002. Filed herewith.</w:t>
            </w:r>
          </w:p>
        </w:tc>
      </w:tr>
      <w:tr>
        <w:trPr>
          <w:trHeight w:val="486"/>
        </w:trPr>
        <w:tc>
          <w:tcPr>
            <w:tcW w:w="960" w:type="dxa"/>
            <w:vAlign w:val="bottom"/>
          </w:tcPr>
          <w:p>
            <w:pPr>
              <w:ind w:left="120"/>
              <w:spacing w:after="0"/>
              <w:rPr>
                <w:rFonts w:ascii="Arial" w:cs="Arial" w:eastAsia="Arial" w:hAnsi="Arial"/>
                <w:sz w:val="21"/>
                <w:szCs w:val="21"/>
                <w:u w:val="single" w:color="auto"/>
                <w:color w:val="0000EE"/>
              </w:rPr>
            </w:pPr>
            <w:hyperlink w:anchor="page97">
              <w:r>
                <w:rPr>
                  <w:rFonts w:ascii="Arial" w:cs="Arial" w:eastAsia="Arial" w:hAnsi="Arial"/>
                  <w:sz w:val="21"/>
                  <w:szCs w:val="21"/>
                  <w:u w:val="single" w:color="auto"/>
                  <w:color w:val="0000EE"/>
                </w:rPr>
                <w:t>31.2</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rPr>
              <w:t>Certification of Chief Financial Officer under Section 302 of the Sarbanes-Oxley Act of 2002. Filed herewith.</w:t>
            </w:r>
          </w:p>
        </w:tc>
      </w:tr>
      <w:tr>
        <w:trPr>
          <w:trHeight w:val="465"/>
        </w:trPr>
        <w:tc>
          <w:tcPr>
            <w:tcW w:w="960" w:type="dxa"/>
            <w:vAlign w:val="bottom"/>
          </w:tcPr>
          <w:p>
            <w:pPr>
              <w:ind w:left="120"/>
              <w:spacing w:after="0"/>
              <w:rPr>
                <w:rFonts w:ascii="Arial" w:cs="Arial" w:eastAsia="Arial" w:hAnsi="Arial"/>
                <w:sz w:val="21"/>
                <w:szCs w:val="21"/>
                <w:u w:val="single" w:color="auto"/>
                <w:color w:val="0000EE"/>
              </w:rPr>
            </w:pPr>
            <w:hyperlink w:anchor="page98">
              <w:r>
                <w:rPr>
                  <w:rFonts w:ascii="Arial" w:cs="Arial" w:eastAsia="Arial" w:hAnsi="Arial"/>
                  <w:sz w:val="21"/>
                  <w:szCs w:val="21"/>
                  <w:u w:val="single" w:color="auto"/>
                  <w:color w:val="0000EE"/>
                </w:rPr>
                <w:t>32.1</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w w:val="93"/>
              </w:rPr>
              <w:t>Certification of Chief Executive Officer under 18 U.S.C. §1350 pursuant to Section 906 of the Sarbanes-Oxley Act of</w:t>
            </w:r>
          </w:p>
        </w:tc>
      </w:tr>
      <w:tr>
        <w:trPr>
          <w:trHeight w:val="264"/>
        </w:trPr>
        <w:tc>
          <w:tcPr>
            <w:tcW w:w="96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65"/>
        </w:trPr>
        <w:tc>
          <w:tcPr>
            <w:tcW w:w="960" w:type="dxa"/>
            <w:vAlign w:val="bottom"/>
          </w:tcPr>
          <w:p>
            <w:pPr>
              <w:ind w:left="120"/>
              <w:spacing w:after="0"/>
              <w:rPr>
                <w:rFonts w:ascii="Arial" w:cs="Arial" w:eastAsia="Arial" w:hAnsi="Arial"/>
                <w:sz w:val="21"/>
                <w:szCs w:val="21"/>
                <w:u w:val="single" w:color="auto"/>
                <w:color w:val="0000EE"/>
              </w:rPr>
            </w:pPr>
            <w:hyperlink w:anchor="page99">
              <w:r>
                <w:rPr>
                  <w:rFonts w:ascii="Arial" w:cs="Arial" w:eastAsia="Arial" w:hAnsi="Arial"/>
                  <w:sz w:val="21"/>
                  <w:szCs w:val="21"/>
                  <w:u w:val="single" w:color="auto"/>
                  <w:color w:val="0000EE"/>
                </w:rPr>
                <w:t>32.2</w:t>
              </w:r>
            </w:hyperlink>
          </w:p>
        </w:tc>
        <w:tc>
          <w:tcPr>
            <w:tcW w:w="10280" w:type="dxa"/>
            <w:vAlign w:val="bottom"/>
          </w:tcPr>
          <w:p>
            <w:pPr>
              <w:ind w:left="180"/>
              <w:spacing w:after="0"/>
              <w:rPr>
                <w:sz w:val="20"/>
                <w:szCs w:val="20"/>
                <w:color w:val="auto"/>
              </w:rPr>
            </w:pPr>
            <w:r>
              <w:rPr>
                <w:rFonts w:ascii="Arial" w:cs="Arial" w:eastAsia="Arial" w:hAnsi="Arial"/>
                <w:sz w:val="21"/>
                <w:szCs w:val="21"/>
                <w:color w:val="auto"/>
                <w:w w:val="94"/>
              </w:rPr>
              <w:t>Certification of Chief Financial Officer under 18 U.S.C. §1350 pursuant to Section 906 of the Sarbanes-Oxley Act of</w:t>
            </w:r>
          </w:p>
        </w:tc>
      </w:tr>
      <w:tr>
        <w:trPr>
          <w:trHeight w:val="264"/>
        </w:trPr>
        <w:tc>
          <w:tcPr>
            <w:tcW w:w="960" w:type="dxa"/>
            <w:vAlign w:val="bottom"/>
          </w:tcPr>
          <w:p>
            <w:pPr>
              <w:spacing w:after="0"/>
              <w:rPr>
                <w:sz w:val="22"/>
                <w:szCs w:val="22"/>
                <w:color w:val="auto"/>
              </w:rPr>
            </w:pPr>
          </w:p>
        </w:tc>
        <w:tc>
          <w:tcPr>
            <w:tcW w:w="10280" w:type="dxa"/>
            <w:vAlign w:val="bottom"/>
          </w:tcPr>
          <w:p>
            <w:pPr>
              <w:ind w:left="180"/>
              <w:spacing w:after="0"/>
              <w:rPr>
                <w:sz w:val="20"/>
                <w:szCs w:val="20"/>
                <w:color w:val="auto"/>
              </w:rPr>
            </w:pPr>
            <w:r>
              <w:rPr>
                <w:rFonts w:ascii="Arial" w:cs="Arial" w:eastAsia="Arial" w:hAnsi="Arial"/>
                <w:sz w:val="21"/>
                <w:szCs w:val="21"/>
                <w:color w:val="auto"/>
              </w:rPr>
              <w:t>2002.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Instance Document.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Schema.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Calculation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Definition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Label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10280" w:type="dxa"/>
            <w:vAlign w:val="bottom"/>
          </w:tcPr>
          <w:p>
            <w:pPr>
              <w:ind w:left="180"/>
              <w:spacing w:after="0"/>
              <w:rPr>
                <w:sz w:val="20"/>
                <w:szCs w:val="20"/>
                <w:color w:val="auto"/>
              </w:rPr>
            </w:pPr>
            <w:r>
              <w:rPr>
                <w:rFonts w:ascii="Arial" w:cs="Arial" w:eastAsia="Arial" w:hAnsi="Arial"/>
                <w:sz w:val="21"/>
                <w:szCs w:val="21"/>
                <w:color w:val="auto"/>
              </w:rPr>
              <w:t>Inline XBRL Taxonomy Extension Presentation Linkbase. Filed herewith.</w:t>
            </w:r>
          </w:p>
        </w:tc>
      </w:tr>
    </w:tbl>
    <w:p>
      <w:pPr>
        <w:spacing w:after="0" w:line="222" w:lineRule="exact"/>
        <w:rPr>
          <w:sz w:val="20"/>
          <w:szCs w:val="20"/>
          <w:color w:val="auto"/>
        </w:rPr>
      </w:pPr>
    </w:p>
    <w:p>
      <w:pPr>
        <w:ind w:left="1140" w:right="1700" w:hanging="1132"/>
        <w:spacing w:after="0" w:line="264" w:lineRule="auto"/>
        <w:tabs>
          <w:tab w:leader="none" w:pos="11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cover page from M&amp;T Bank Corporation’s Quarterly Report on Form 10-Q for the quarter ended June 30, 2020 has been formatted in Inline XBRL.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ind w:right="20" w:firstLine="510"/>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6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580" w:val="left"/>
          <w:tab w:leader="none" w:pos="7040" w:val="left"/>
        </w:tabs>
        <w:rPr>
          <w:sz w:val="20"/>
          <w:szCs w:val="20"/>
          <w:color w:val="auto"/>
        </w:rPr>
      </w:pPr>
      <w:r>
        <w:rPr>
          <w:rFonts w:ascii="Arial" w:cs="Arial" w:eastAsia="Arial" w:hAnsi="Arial"/>
          <w:sz w:val="20"/>
          <w:szCs w:val="20"/>
          <w:color w:val="auto"/>
        </w:rPr>
        <w:t>Date: August 5,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10160</wp:posOffset>
            </wp:positionV>
            <wp:extent cx="26574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ind w:left="70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060"/>
        <w:spacing w:after="0"/>
        <w:rPr>
          <w:sz w:val="20"/>
          <w:szCs w:val="20"/>
          <w:color w:val="auto"/>
        </w:rPr>
      </w:pPr>
      <w:r>
        <w:rPr>
          <w:rFonts w:ascii="Arial" w:cs="Arial" w:eastAsia="Arial" w:hAnsi="Arial"/>
          <w:sz w:val="20"/>
          <w:szCs w:val="20"/>
          <w:color w:val="auto"/>
        </w:rPr>
        <w:t>Executive Vice President</w:t>
      </w:r>
    </w:p>
    <w:p>
      <w:pPr>
        <w:ind w:left="7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342"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31.1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3"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2020</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9525</wp:posOffset>
            </wp:positionV>
            <wp:extent cx="25285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20" w:hanging="412"/>
        <w:spacing w:after="0" w:line="204" w:lineRule="auto"/>
        <w:tabs>
          <w:tab w:leader="none" w:pos="4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Arial" w:cs="Arial" w:eastAsia="Arial" w:hAnsi="Arial"/>
          <w:sz w:val="20"/>
          <w:szCs w:val="20"/>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20" w:hanging="412"/>
        <w:spacing w:after="0" w:line="194" w:lineRule="auto"/>
        <w:tabs>
          <w:tab w:leader="none" w:pos="420" w:val="left"/>
        </w:tabs>
        <w:numPr>
          <w:ilvl w:val="0"/>
          <w:numId w:val="39"/>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2" w:lineRule="exact"/>
        <w:rPr>
          <w:sz w:val="20"/>
          <w:szCs w:val="20"/>
          <w:color w:val="auto"/>
        </w:rPr>
      </w:pPr>
    </w:p>
    <w:p>
      <w:pPr>
        <w:jc w:val="both"/>
        <w:ind w:left="420" w:hanging="412"/>
        <w:spacing w:after="0" w:line="194" w:lineRule="auto"/>
        <w:tabs>
          <w:tab w:leader="none" w:pos="42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jc w:val="both"/>
        <w:ind w:left="420" w:right="20" w:hanging="412"/>
        <w:spacing w:after="0" w:line="250" w:lineRule="auto"/>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412"/>
        <w:spacing w:after="0" w:line="211" w:lineRule="auto"/>
        <w:tabs>
          <w:tab w:leader="none" w:pos="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color w:val="auto"/>
        </w:rPr>
        <w:t>Date: August 5, 2020</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9525</wp:posOffset>
            </wp:positionV>
            <wp:extent cx="25457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240"/>
          </w:cols>
          <w:pgMar w:left="320" w:top="85" w:right="339" w:bottom="1440" w:gutter="0" w:footer="0" w:header="0"/>
        </w:sectPr>
      </w:pPr>
    </w:p>
    <w:bookmarkStart w:id="97" w:name="page98"/>
    <w:bookmarkEnd w:id="97"/>
    <w:p>
      <w:pPr>
        <w:ind w:left="1000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jc w:val="both"/>
        <w:ind w:left="1880" w:right="1860" w:hanging="941"/>
        <w:spacing w:after="0" w:line="262" w:lineRule="auto"/>
        <w:tabs>
          <w:tab w:leader="none" w:pos="18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June 30, 2020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René F. Jones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August 5,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240"/>
          </w:cols>
          <w:pgMar w:left="320" w:top="114" w:right="339" w:bottom="1440" w:gutter="0" w:footer="0" w:header="0"/>
        </w:sectPr>
      </w:pPr>
    </w:p>
    <w:bookmarkStart w:id="98" w:name="page99"/>
    <w:bookmarkEnd w:id="98"/>
    <w:p>
      <w:pPr>
        <w:ind w:left="1000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880" w:right="1860" w:hanging="941"/>
        <w:spacing w:after="0" w:line="262" w:lineRule="auto"/>
        <w:tabs>
          <w:tab w:leader="none" w:pos="18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Quarterly Report on Form 10-Q of M&amp;T Bank Corporation for the quarterly period ended June 30, 2020 (the "Report") fully complies with the requirements of Section 13(a) or 15(d) of the Securities Exchange Act of 1934 (15 U.S.C. 78m or 78o(d)); and</w:t>
      </w:r>
    </w:p>
    <w:p>
      <w:pPr>
        <w:spacing w:after="0" w:line="148" w:lineRule="exact"/>
        <w:rPr>
          <w:rFonts w:ascii="Arial" w:cs="Arial" w:eastAsia="Arial" w:hAnsi="Arial"/>
          <w:sz w:val="19"/>
          <w:szCs w:val="19"/>
          <w:color w:val="auto"/>
        </w:rPr>
      </w:pPr>
    </w:p>
    <w:p>
      <w:pPr>
        <w:ind w:left="1880" w:right="1860" w:hanging="941"/>
        <w:spacing w:after="0" w:line="238" w:lineRule="auto"/>
        <w:tabs>
          <w:tab w:leader="none" w:pos="18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jc w:val="both"/>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8256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Darren J. King</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August 5,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abstractNum>
  <w:abstractNum w:abstractNumId="3">
    <w:nsid w:val="6763845E"/>
    <w:multiLevelType w:val="hybridMultilevel"/>
    <w:lvl w:ilvl="0">
      <w:lvlJc w:val="left"/>
      <w:lvlText w:val="(%1)"/>
      <w:numFmt w:val="lowerLetter"/>
      <w:start w:val="1"/>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lowerLetter"/>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lowerLetter"/>
      <w:start w:val="1"/>
    </w:lvl>
    <w:lvl w:ilvl="1">
      <w:lvlJc w:val="left"/>
      <w:lvlText w:val="-"/>
      <w:numFmt w:val="bullet"/>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Letter"/>
      <w:start w:val="1"/>
    </w:lvl>
    <w:lvl w:ilvl="1">
      <w:lvlJc w:val="left"/>
      <w:lvlText w:val="-"/>
      <w:numFmt w:val="bullet"/>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
      <w:numFmt w:val="bullet"/>
      <w:start w:val="1"/>
    </w:lvl>
    <w:lvl w:ilvl="2">
      <w:lvlJc w:val="left"/>
      <w:lvlText w:val="\endash "/>
      <w:numFmt w:val="bullet"/>
      <w:start w:val="1"/>
    </w:lvl>
    <w:lvl w:ilvl="3">
      <w:lvlJc w:val="left"/>
      <w:lvlText w:val="-"/>
      <w:numFmt w:val="bullet"/>
      <w:start w:val="1"/>
    </w:lvl>
  </w:abstractNum>
  <w:abstractNum w:abstractNumId="18">
    <w:nsid w:val="7C3DBD3D"/>
    <w:multiLevelType w:val="hybridMultilevel"/>
    <w:lvl w:ilvl="0">
      <w:lvlJc w:val="left"/>
      <w:lvlText w:val="(%1)"/>
      <w:numFmt w:val="lowerLetter"/>
      <w:start w:val="1"/>
    </w:lvl>
    <w:lvl w:ilvl="1">
      <w:lvlJc w:val="left"/>
      <w:lvlText w:val="-"/>
      <w:numFmt w:val="bullet"/>
      <w:start w:val="1"/>
    </w:lvl>
  </w:abstractNum>
  <w:abstractNum w:abstractNumId="19">
    <w:nsid w:val="737B8DDC"/>
    <w:multiLevelType w:val="hybridMultilevel"/>
    <w:lvl w:ilvl="0">
      <w:lvlJc w:val="left"/>
      <w:lvlText w:val="(%1)"/>
      <w:numFmt w:val="lowerLetter"/>
      <w:start w:val="1"/>
    </w:lvl>
    <w:lvl w:ilvl="1">
      <w:lvlJc w:val="left"/>
      <w:lvlText w:val="-"/>
      <w:numFmt w:val="bullet"/>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decimal"/>
      <w:start w:val="19"/>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Letter"/>
      <w:start w:val="1"/>
    </w:lvl>
    <w:lvl w:ilvl="1">
      <w:lvlJc w:val="left"/>
      <w:lvlText w:val="-"/>
      <w:numFmt w:val="bullet"/>
      <w:start w:val="1"/>
    </w:lvl>
  </w:abstractNum>
  <w:abstractNum w:abstractNumId="24">
    <w:nsid w:val="614FD4A1"/>
    <w:multiLevelType w:val="hybridMultilevel"/>
    <w:lvl w:ilvl="0">
      <w:lvlJc w:val="left"/>
      <w:lvlText w:val="(%1)"/>
      <w:numFmt w:val="lowerLetter"/>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1"/>
    </w:lvl>
  </w:abstractNum>
  <w:abstractNum w:abstractNumId="27">
    <w:nsid w:val="440BADFC"/>
    <w:multiLevelType w:val="hybridMultilevel"/>
    <w:lvl w:ilvl="0">
      <w:lvlJc w:val="left"/>
      <w:lvlText w:val="•"/>
      <w:numFmt w:val="bullet"/>
      <w:start w:val="1"/>
    </w:lvl>
    <w:lvl w:ilvl="1">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3"/>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04"/>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2020-08-05T15:48:17Z</dcterms:created>
  <dcterms:modified xsi:type="dcterms:W3CDTF">2020-08-05T15:48:17Z</dcterms:modified>
</cp:coreProperties>
</file>