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M&amp;T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8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16-0968385</w:t>
            </w:r>
          </w:p>
        </w:tc>
        <w:tc>
          <w:tcPr>
            <w:tcW w:w="0" w:type="dxa"/>
            <w:vAlign w:val="bottom"/>
          </w:tcPr>
          <w:p>
            <w:pPr>
              <w:spacing w:after="0"/>
              <w:rPr>
                <w:sz w:val="1"/>
                <w:szCs w:val="1"/>
                <w:color w:val="auto"/>
              </w:rPr>
            </w:pPr>
          </w:p>
        </w:tc>
      </w:tr>
      <w:tr>
        <w:trPr>
          <w:trHeight w:val="162"/>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5"/>
        </w:trPr>
        <w:tc>
          <w:tcPr>
            <w:tcW w:w="2680" w:type="dxa"/>
            <w:vAlign w:val="bottom"/>
          </w:tcPr>
          <w:p>
            <w:pPr>
              <w:jc w:val="center"/>
              <w:ind w:right="199"/>
              <w:spacing w:after="0"/>
              <w:rPr>
                <w:sz w:val="20"/>
                <w:szCs w:val="20"/>
                <w:color w:val="auto"/>
              </w:rPr>
            </w:pPr>
            <w:r>
              <w:rPr>
                <w:rFonts w:ascii="Times New Roman" w:cs="Times New Roman" w:eastAsia="Times New Roman" w:hAnsi="Times New Roman"/>
                <w:sz w:val="18"/>
                <w:szCs w:val="18"/>
                <w:b w:val="1"/>
                <w:bCs w:val="1"/>
                <w:color w:val="auto"/>
                <w:w w:val="99"/>
              </w:rPr>
              <w:t>One M &amp; T Plaza</w:t>
            </w:r>
          </w:p>
        </w:tc>
        <w:tc>
          <w:tcPr>
            <w:tcW w:w="582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14203</w:t>
            </w:r>
          </w:p>
        </w:tc>
        <w:tc>
          <w:tcPr>
            <w:tcW w:w="0" w:type="dxa"/>
            <w:vAlign w:val="bottom"/>
          </w:tcPr>
          <w:p>
            <w:pPr>
              <w:spacing w:after="0"/>
              <w:rPr>
                <w:sz w:val="1"/>
                <w:szCs w:val="1"/>
                <w:color w:val="auto"/>
              </w:rPr>
            </w:pPr>
          </w:p>
        </w:tc>
      </w:tr>
      <w:tr>
        <w:trPr>
          <w:trHeight w:val="227"/>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8"/>
                <w:szCs w:val="18"/>
                <w:b w:val="1"/>
                <w:bCs w:val="1"/>
                <w:color w:val="auto"/>
                <w:w w:val="98"/>
              </w:rPr>
              <w:t>Buffalo, New York</w:t>
            </w:r>
          </w:p>
        </w:tc>
        <w:tc>
          <w:tcPr>
            <w:tcW w:w="5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6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820" w:type="dxa"/>
            <w:vAlign w:val="bottom"/>
          </w:tcPr>
          <w:p>
            <w:pPr>
              <w:jc w:val="center"/>
              <w:ind w:left="46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5820" w:type="dxa"/>
            <w:vAlign w:val="bottom"/>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4"/>
                <w:szCs w:val="24"/>
                <w:color w:val="auto"/>
              </w:rPr>
            </w:pPr>
          </w:p>
        </w:tc>
        <w:tc>
          <w:tcPr>
            <w:tcW w:w="5820" w:type="dxa"/>
            <w:vAlign w:val="bottom"/>
          </w:tcPr>
          <w:p>
            <w:pPr>
              <w:jc w:val="right"/>
              <w:ind w:right="3300"/>
              <w:spacing w:after="0"/>
              <w:rPr>
                <w:sz w:val="20"/>
                <w:szCs w:val="20"/>
                <w:color w:val="auto"/>
              </w:rPr>
            </w:pPr>
            <w:r>
              <w:rPr>
                <w:rFonts w:ascii="Times New Roman" w:cs="Times New Roman" w:eastAsia="Times New Roman" w:hAnsi="Times New Roman"/>
                <w:sz w:val="18"/>
                <w:szCs w:val="18"/>
                <w:b w:val="1"/>
                <w:bCs w:val="1"/>
                <w:color w:val="auto"/>
              </w:rPr>
              <w:t>(716) 635-4000</w:t>
            </w:r>
          </w:p>
        </w:tc>
        <w:tc>
          <w:tcPr>
            <w:tcW w:w="0" w:type="dxa"/>
            <w:vAlign w:val="bottom"/>
          </w:tcPr>
          <w:p>
            <w:pPr>
              <w:spacing w:after="0"/>
              <w:rPr>
                <w:sz w:val="1"/>
                <w:szCs w:val="1"/>
                <w:color w:val="auto"/>
              </w:rPr>
            </w:pPr>
          </w:p>
        </w:tc>
      </w:tr>
    </w:tbl>
    <w:p>
      <w:pPr>
        <w:spacing w:after="0" w:line="16" w:lineRule="exact"/>
        <w:rPr>
          <w:sz w:val="24"/>
          <w:szCs w:val="24"/>
          <w:color w:val="auto"/>
        </w:rPr>
      </w:pPr>
    </w:p>
    <w:p>
      <w:pPr>
        <w:sectPr>
          <w:pgSz w:w="11900" w:h="16838" w:orient="portrait"/>
          <w:cols w:equalWidth="0" w:num="1">
            <w:col w:w="11240"/>
          </w:cols>
          <w:pgMar w:left="320" w:top="682" w:right="339" w:bottom="1440" w:gutter="0" w:footer="0" w:header="0"/>
        </w:sectPr>
      </w:pPr>
    </w:p>
    <w:p>
      <w:pPr>
        <w:spacing w:after="0" w:line="28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u w:val="single" w:color="auto"/>
          <w:color w:val="auto"/>
        </w:rPr>
        <w:t>Title of Each Class</w:t>
      </w:r>
    </w:p>
    <w:p>
      <w:pPr>
        <w:spacing w:after="0" w:line="2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4"/>
          <w:szCs w:val="14"/>
          <w:color w:val="auto"/>
        </w:rPr>
        <w:t>Common Stock, $.50 par value</w:t>
      </w:r>
    </w:p>
    <w:p>
      <w:pPr>
        <w:spacing w:after="0" w:line="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4"/>
          <w:szCs w:val="14"/>
          <w:color w:val="auto"/>
        </w:rPr>
        <w:t>Perpetual Fixed-to-Floating Rate</w:t>
      </w:r>
    </w:p>
    <w:p>
      <w:pPr>
        <w:ind w:left="1020"/>
        <w:spacing w:after="0"/>
        <w:rPr>
          <w:sz w:val="20"/>
          <w:szCs w:val="20"/>
          <w:color w:val="auto"/>
        </w:rPr>
      </w:pPr>
      <w:r>
        <w:rPr>
          <w:rFonts w:ascii="Times New Roman" w:cs="Times New Roman" w:eastAsia="Times New Roman" w:hAnsi="Times New Roman"/>
          <w:sz w:val="14"/>
          <w:szCs w:val="14"/>
          <w:color w:val="auto"/>
        </w:rPr>
        <w:t>Non-Cumulative Preferred Stock, Series 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253"/>
        </w:trPr>
        <w:tc>
          <w:tcPr>
            <w:tcW w:w="124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8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6"/>
        </w:trPr>
        <w:tc>
          <w:tcPr>
            <w:tcW w:w="1240" w:type="dxa"/>
            <w:vAlign w:val="bottom"/>
          </w:tcPr>
          <w:p>
            <w:pPr>
              <w:spacing w:after="0"/>
              <w:rPr>
                <w:sz w:val="16"/>
                <w:szCs w:val="16"/>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w w:val="98"/>
              </w:rPr>
              <w:t>MTB</w:t>
            </w:r>
          </w:p>
        </w:tc>
        <w:tc>
          <w:tcPr>
            <w:tcW w:w="2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43"/>
        </w:trPr>
        <w:tc>
          <w:tcPr>
            <w:tcW w:w="1240" w:type="dxa"/>
            <w:vAlign w:val="bottom"/>
          </w:tcPr>
          <w:p>
            <w:pPr>
              <w:spacing w:after="0"/>
              <w:rPr>
                <w:sz w:val="21"/>
                <w:szCs w:val="21"/>
                <w:color w:val="auto"/>
              </w:rPr>
            </w:pPr>
          </w:p>
        </w:tc>
        <w:tc>
          <w:tcPr>
            <w:tcW w:w="254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194945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p>
      <w:pPr>
        <w:sectPr>
          <w:pgSz w:w="11900" w:h="16838" w:orient="portrait"/>
          <w:cols w:equalWidth="0" w:num="2">
            <w:col w:w="3480" w:space="380"/>
            <w:col w:w="7380"/>
          </w:cols>
          <w:pgMar w:left="320" w:top="682" w:right="339" w:bottom="1440" w:gutter="0" w:footer="0" w:header="0"/>
          <w:type w:val="continuous"/>
        </w:sectPr>
      </w:pPr>
    </w:p>
    <w:p>
      <w:pPr>
        <w:spacing w:after="0" w:line="141"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75"/>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2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34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80" w:lineRule="exact"/>
        <w:rPr>
          <w:sz w:val="24"/>
          <w:szCs w:val="24"/>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4" w:lineRule="exact"/>
        <w:rPr>
          <w:sz w:val="24"/>
          <w:szCs w:val="24"/>
          <w:color w:val="auto"/>
        </w:rPr>
      </w:pPr>
    </w:p>
    <w:p>
      <w:pPr>
        <w:spacing w:after="0" w:line="173" w:lineRule="exact"/>
        <w:tabs>
          <w:tab w:leader="none" w:pos="71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Yes</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of the registrant's Common Stock, $0.50 par value, outstanding as of the close of business on November 1, 2022: 172,613,343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M&amp;T BANK CORPORATION</w:t>
            </w:r>
          </w:p>
        </w:tc>
        <w:tc>
          <w:tcPr>
            <w:tcW w:w="38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12"/>
          </w:tcPr>
          <w:p>
            <w:pPr>
              <w:jc w:val="center"/>
              <w:ind w:right="4520"/>
              <w:spacing w:after="0"/>
              <w:rPr>
                <w:sz w:val="20"/>
                <w:szCs w:val="20"/>
                <w:color w:val="auto"/>
              </w:rPr>
            </w:pPr>
            <w:r>
              <w:rPr>
                <w:rFonts w:ascii="Times New Roman" w:cs="Times New Roman" w:eastAsia="Times New Roman" w:hAnsi="Times New Roman"/>
                <w:sz w:val="18"/>
                <w:szCs w:val="18"/>
                <w:color w:val="auto"/>
                <w:w w:val="99"/>
              </w:rPr>
              <w:t>FORM 10-Q</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60" w:type="dxa"/>
            <w:vAlign w:val="bottom"/>
            <w:gridSpan w:val="16"/>
          </w:tcPr>
          <w:p>
            <w:pPr>
              <w:jc w:val="center"/>
              <w:ind w:right="3100"/>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58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Table of Contents of Information Required in Report</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Borders>
              <w:top w:val="single" w:sz="8" w:color="auto"/>
              <w:bottom w:val="single" w:sz="8" w:color="auto"/>
            </w:tcBorders>
            <w:gridSpan w:val="17"/>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780" w:type="dxa"/>
            <w:vAlign w:val="bottom"/>
            <w:gridSpan w:val="15"/>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3800" w:type="dxa"/>
            <w:vAlign w:val="bottom"/>
            <w:gridSpan w:val="17"/>
            <w:vMerge w:val="continue"/>
          </w:tcPr>
          <w:p>
            <w:pPr>
              <w:spacing w:after="0"/>
              <w:rPr>
                <w:sz w:val="24"/>
                <w:szCs w:val="24"/>
                <w:color w:val="auto"/>
              </w:rPr>
            </w:pPr>
          </w:p>
        </w:tc>
        <w:tc>
          <w:tcPr>
            <w:tcW w:w="6780" w:type="dxa"/>
            <w:vAlign w:val="bottom"/>
            <w:gridSpan w:val="15"/>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760" w:type="dxa"/>
            <w:vAlign w:val="bottom"/>
            <w:gridSpan w:val="20"/>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BALANCE SHEET – September 30, 2022 and December 31, 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 Three and nine months ended September 30, 2022 and 2021</w:t>
            </w:r>
          </w:p>
        </w:tc>
        <w:tc>
          <w:tcPr>
            <w:tcW w:w="12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 OF COMPREHENSIVE INCOME – Three and nine months ended September 30, 2022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40" w:type="dxa"/>
            <w:vAlign w:val="bottom"/>
            <w:tcBorders>
              <w:top w:val="single" w:sz="8" w:color="0000FF"/>
              <w:bottom w:val="single" w:sz="8" w:color="0000EE"/>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 OF CASH FLOWS – Nine months ended September 30, 2022 and 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 OF CHANGES IN SHAREHOLDERS' EQUITY – Three and nine months ended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tcBorders>
              <w:top w:val="single" w:sz="8" w:color="0000FF"/>
              <w:bottom w:val="single" w:sz="8" w:color="0000EE"/>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September 30, 2022 and 2021</w:t>
            </w:r>
          </w:p>
        </w:tc>
        <w:tc>
          <w:tcPr>
            <w:tcW w:w="6220" w:type="dxa"/>
            <w:vAlign w:val="bottom"/>
            <w:tcBorders>
              <w:top w:val="single" w:sz="8" w:color="0000FF"/>
            </w:tcBorders>
            <w:gridSpan w:val="16"/>
          </w:tcPr>
          <w:p>
            <w:pPr>
              <w:spacing w:after="0"/>
              <w:rPr>
                <w:sz w:val="14"/>
                <w:szCs w:val="14"/>
                <w:color w:val="auto"/>
              </w:rPr>
            </w:pPr>
          </w:p>
        </w:tc>
        <w:tc>
          <w:tcPr>
            <w:tcW w:w="880" w:type="dxa"/>
            <w:vAlign w:val="bottom"/>
            <w:gridSpan w:val="2"/>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NOTES TO FINANCIAL STATEMENTS</w:t>
            </w:r>
          </w:p>
        </w:tc>
        <w:tc>
          <w:tcPr>
            <w:tcW w:w="624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60" w:type="dxa"/>
            <w:vAlign w:val="bottom"/>
            <w:tcBorders>
              <w:top w:val="single" w:sz="8" w:color="0000FF"/>
            </w:tcBorders>
            <w:gridSpan w:val="5"/>
          </w:tcPr>
          <w:p>
            <w:pPr>
              <w:spacing w:after="0"/>
              <w:rPr>
                <w:sz w:val="24"/>
                <w:szCs w:val="24"/>
                <w:color w:val="auto"/>
              </w:rPr>
            </w:pPr>
          </w:p>
        </w:tc>
        <w:tc>
          <w:tcPr>
            <w:tcW w:w="28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20" w:type="dxa"/>
            <w:vAlign w:val="bottom"/>
            <w:tcBorders>
              <w:bottom w:val="single" w:sz="8" w:color="0000EE"/>
            </w:tcBorders>
          </w:tcPr>
          <w:p>
            <w:pPr>
              <w:spacing w:after="0"/>
              <w:rPr>
                <w:sz w:val="24"/>
                <w:szCs w:val="24"/>
                <w:color w:val="auto"/>
              </w:rPr>
            </w:pPr>
          </w:p>
        </w:tc>
        <w:tc>
          <w:tcPr>
            <w:tcW w:w="8120" w:type="dxa"/>
            <w:vAlign w:val="bottom"/>
            <w:gridSpan w:val="24"/>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960" w:type="dxa"/>
            <w:vAlign w:val="bottom"/>
            <w:gridSpan w:val="2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94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6980" w:type="dxa"/>
            <w:vAlign w:val="bottom"/>
            <w:gridSpan w:val="1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2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31"/>
        </w:trPr>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21"/>
          </w:tcPr>
          <w:p>
            <w:pPr>
              <w:jc w:val="center"/>
              <w:ind w:left="3790"/>
              <w:spacing w:after="0"/>
              <w:rPr>
                <w:sz w:val="20"/>
                <w:szCs w:val="20"/>
                <w:color w:val="auto"/>
              </w:rPr>
            </w:pPr>
            <w:r>
              <w:rPr>
                <w:rFonts w:ascii="Times New Roman" w:cs="Times New Roman" w:eastAsia="Times New Roman" w:hAnsi="Times New Roman"/>
                <w:sz w:val="18"/>
                <w:szCs w:val="18"/>
                <w:color w:val="auto"/>
                <w:w w:val="99"/>
              </w:rPr>
              <w:t>- 2 -</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BALANCE SHEET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2,255,810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Interest-bearing deposits at banks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25,391,528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41,872,304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Trading account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129,672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Investment securities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Available for sale (cost: $11,340,155 at September 30, 2022;</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$3,849,347 at December 31, 2021)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10,870,346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3,955,804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5"/>
                <w:szCs w:val="15"/>
                <w:color w:val="auto"/>
              </w:rPr>
              <w:t>Held to maturity (fair value: $11,554,655 at September 30, 2022;</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1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$2,771,290 at December 31, 2021)</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12,898,862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2,734,674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00"/>
              <w:spacing w:after="0" w:line="145" w:lineRule="exact"/>
              <w:rPr>
                <w:sz w:val="20"/>
                <w:szCs w:val="20"/>
                <w:color w:val="auto"/>
              </w:rPr>
            </w:pPr>
            <w:r>
              <w:rPr>
                <w:rFonts w:ascii="Times New Roman" w:cs="Times New Roman" w:eastAsia="Times New Roman" w:hAnsi="Times New Roman"/>
                <w:sz w:val="15"/>
                <w:szCs w:val="15"/>
                <w:color w:val="auto"/>
              </w:rPr>
              <w:t>Equity and other securities (cost: $832,604 at September 30, 2022;</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10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5"/>
                <w:szCs w:val="15"/>
                <w:color w:val="auto"/>
              </w:rPr>
              <w:t>$461,516 at December 31, 2021)</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834,557</w:t>
            </w: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465,382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investment securities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24,603,765</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7,155,860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Loans and leases</w:t>
            </w: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128,608,538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93,136,678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Unearned discount</w:t>
            </w: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(382,951 )</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(224,226 )</w:t>
            </w:r>
          </w:p>
        </w:tc>
        <w:tc>
          <w:tcPr>
            <w:tcW w:w="0" w:type="dxa"/>
            <w:vAlign w:val="bottom"/>
          </w:tcPr>
          <w:p>
            <w:pPr>
              <w:spacing w:after="0"/>
              <w:rPr>
                <w:sz w:val="1"/>
                <w:szCs w:val="1"/>
                <w:color w:val="auto"/>
              </w:rPr>
            </w:pPr>
          </w:p>
        </w:tc>
      </w:tr>
      <w:tr>
        <w:trPr>
          <w:trHeight w:val="183"/>
        </w:trPr>
        <w:tc>
          <w:tcPr>
            <w:tcW w:w="81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5"/>
                <w:szCs w:val="15"/>
                <w:color w:val="auto"/>
              </w:rPr>
              <w:t>Loans and leases, net of unearned discount</w:t>
            </w: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128,225,587</w:t>
            </w: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92,912,452</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(1,875,591 )</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(1,469,226 )</w:t>
            </w:r>
          </w:p>
        </w:tc>
        <w:tc>
          <w:tcPr>
            <w:tcW w:w="0" w:type="dxa"/>
            <w:vAlign w:val="bottom"/>
          </w:tcPr>
          <w:p>
            <w:pPr>
              <w:spacing w:after="0"/>
              <w:rPr>
                <w:sz w:val="1"/>
                <w:szCs w:val="1"/>
                <w:color w:val="auto"/>
              </w:rPr>
            </w:pPr>
          </w:p>
        </w:tc>
      </w:tr>
      <w:tr>
        <w:trPr>
          <w:trHeight w:val="183"/>
        </w:trPr>
        <w:tc>
          <w:tcPr>
            <w:tcW w:w="810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5"/>
                <w:szCs w:val="15"/>
                <w:color w:val="auto"/>
              </w:rPr>
              <w:t>Loans and leases, net</w:t>
            </w: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126,349,996</w:t>
            </w:r>
          </w:p>
        </w:tc>
        <w:tc>
          <w:tcPr>
            <w:tcW w:w="1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91,443,226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Premises and equipment</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1,620,339</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1,144,765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8,501,357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4,593,112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Core deposit and other intangible assets</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226,974</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interest and other assets</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8,876,038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7,506,573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197,955,479</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155,107,160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Noninterest-bearing deposits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73,023,271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60,131,480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Savings and interest-checking deposits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86,015,700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68,603,966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Time deposits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4,806,417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2,807,963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deposits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163,845,388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131,543,409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Short-term borrowings</w:t>
            </w: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917,806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47,046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interest and other liabilities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4,476,456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2,127,931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Long-term borrowings</w:t>
            </w:r>
          </w:p>
        </w:tc>
        <w:tc>
          <w:tcPr>
            <w:tcW w:w="1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3,459,336</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3,485,369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liabilities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172,698,986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137,203,755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Preferred stock, $1.00 par, 20,000,000 shares authorized;</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Issued and outstanding: Liquidation preference of $1,000 per share: 350,000</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shares at September 30, 2022 and December 31, 2021; Liquidation preference of</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$10,000 per share: 140,000 shares at September 30, 2022 and December 31, 2021;</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2,010,600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1,750,000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Liquidation preference of $25 per share: 10,000,000 shares at September 30, 2022</w:t>
            </w: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100" w:type="dxa"/>
            <w:vAlign w:val="bottom"/>
            <w:shd w:val="clear" w:color="auto" w:fill="CFF0FC"/>
          </w:tcPr>
          <w:p>
            <w:pPr>
              <w:ind w:left="20"/>
              <w:spacing w:after="0" w:line="145" w:lineRule="exact"/>
              <w:rPr>
                <w:sz w:val="20"/>
                <w:szCs w:val="20"/>
                <w:color w:val="auto"/>
              </w:rPr>
            </w:pPr>
            <w:r>
              <w:rPr>
                <w:rFonts w:ascii="Times New Roman" w:cs="Times New Roman" w:eastAsia="Times New Roman" w:hAnsi="Times New Roman"/>
                <w:sz w:val="15"/>
                <w:szCs w:val="15"/>
                <w:color w:val="auto"/>
              </w:rPr>
              <w:t>Common stock, $.50 par, 250,000,000 shares authorized,</w:t>
            </w: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1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179,436,779 shares issued at September 30, 2022 and</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159,741,898 shares issued at December 31, 2021</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89,718</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79,871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10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Common stock issuable, 13,951 shares at September 30, 2022;</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15,769 shares at December 31, 2021</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9,994,395</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6,635,000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15,219,828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14,646,448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income (loss), net</w:t>
            </w: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(899,993 )</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(127,578 )</w:t>
            </w:r>
          </w:p>
        </w:tc>
        <w:tc>
          <w:tcPr>
            <w:tcW w:w="0" w:type="dxa"/>
            <w:vAlign w:val="bottom"/>
          </w:tcPr>
          <w:p>
            <w:pPr>
              <w:spacing w:after="0"/>
              <w:rPr>
                <w:sz w:val="1"/>
                <w:szCs w:val="1"/>
                <w:color w:val="auto"/>
              </w:rPr>
            </w:pPr>
          </w:p>
        </w:tc>
      </w:tr>
      <w:tr>
        <w:trPr>
          <w:trHeight w:val="145"/>
        </w:trPr>
        <w:tc>
          <w:tcPr>
            <w:tcW w:w="8100" w:type="dxa"/>
            <w:vAlign w:val="bottom"/>
          </w:tcPr>
          <w:p>
            <w:pPr>
              <w:ind w:left="20"/>
              <w:spacing w:after="0" w:line="145" w:lineRule="exact"/>
              <w:rPr>
                <w:sz w:val="20"/>
                <w:szCs w:val="20"/>
                <w:color w:val="auto"/>
              </w:rPr>
            </w:pPr>
            <w:r>
              <w:rPr>
                <w:rFonts w:ascii="Times New Roman" w:cs="Times New Roman" w:eastAsia="Times New Roman" w:hAnsi="Times New Roman"/>
                <w:sz w:val="15"/>
                <w:szCs w:val="15"/>
                <w:color w:val="auto"/>
              </w:rPr>
              <w:t>Treasury stock — common, at cost — 6,551,133 shares at September 30, 2022;</w:t>
            </w:r>
          </w:p>
        </w:tc>
        <w:tc>
          <w:tcPr>
            <w:tcW w:w="160" w:type="dxa"/>
            <w:vAlign w:val="bottom"/>
          </w:tcPr>
          <w:p>
            <w:pPr>
              <w:spacing w:after="0"/>
              <w:rPr>
                <w:sz w:val="12"/>
                <w:szCs w:val="12"/>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(1,159,153 )</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(5,081,548 )</w:t>
            </w:r>
          </w:p>
        </w:tc>
        <w:tc>
          <w:tcPr>
            <w:tcW w:w="0" w:type="dxa"/>
            <w:vAlign w:val="bottom"/>
          </w:tcPr>
          <w:p>
            <w:pPr>
              <w:spacing w:after="0"/>
              <w:rPr>
                <w:sz w:val="1"/>
                <w:szCs w:val="1"/>
                <w:color w:val="auto"/>
              </w:rPr>
            </w:pPr>
          </w:p>
        </w:tc>
      </w:tr>
      <w:tr>
        <w:trPr>
          <w:trHeight w:val="193"/>
        </w:trPr>
        <w:tc>
          <w:tcPr>
            <w:tcW w:w="8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31,052,845 shares at December 31, 2021</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25,256,493</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17,903,405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197,955,479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155,107,160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-4589780</wp:posOffset>
            </wp:positionV>
            <wp:extent cx="7145020" cy="269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26987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-4199890</wp:posOffset>
            </wp:positionV>
            <wp:extent cx="6858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-3950970</wp:posOffset>
            </wp:positionV>
            <wp:extent cx="685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-3205480</wp:posOffset>
            </wp:positionV>
            <wp:extent cx="11398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9825" cy="154305"/>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-2703830</wp:posOffset>
            </wp:positionV>
            <wp:extent cx="11652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65225" cy="1625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-2193925</wp:posOffset>
            </wp:positionV>
            <wp:extent cx="685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-153670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INCOME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7"/>
                <w:szCs w:val="17"/>
                <w:color w:val="auto"/>
              </w:rPr>
            </w:pPr>
          </w:p>
        </w:tc>
        <w:tc>
          <w:tcPr>
            <w:tcW w:w="2200" w:type="dxa"/>
            <w:vAlign w:val="bottom"/>
            <w:gridSpan w:val="5"/>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8"/>
                <w:szCs w:val="18"/>
                <w:color w:val="auto"/>
              </w:rPr>
            </w:pPr>
          </w:p>
        </w:tc>
        <w:tc>
          <w:tcPr>
            <w:tcW w:w="220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8"/>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 except per share)</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income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Loans and leases, including fees</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1,455,612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944,422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3,572,954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2,843,969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securities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Fully taxable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135,766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33,209</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294,290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104,736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Exempt from federal taxes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16,555</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34,388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Deposits at banks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172,956</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14,923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272,009</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30,507</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tcPr>
          <w:p>
            <w:pPr>
              <w:spacing w:after="0"/>
              <w:rPr>
                <w:sz w:val="17"/>
                <w:szCs w:val="17"/>
                <w:color w:val="auto"/>
              </w:rPr>
            </w:pPr>
          </w:p>
        </w:tc>
      </w:tr>
      <w:tr>
        <w:trPr>
          <w:trHeight w:val="196"/>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Total interest income</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1,781,513</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992,946</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4,174,911</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2,980,266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Savings and interest-checking deposits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68,690</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103,344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26,556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15,667</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Deposits at Cayman Islands office</w:t>
            </w: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7"/>
                <w:szCs w:val="17"/>
                <w:color w:val="auto"/>
              </w:rPr>
            </w:pPr>
          </w:p>
        </w:tc>
      </w:tr>
      <w:tr>
        <w:trPr>
          <w:trHeight w:val="20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Long-term borrowings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30,338</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15,121</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67,147</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interest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102,822</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25,696</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180,329</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89,281</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Net interest income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1,678,691</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967,250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3,994,582</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2,890,985</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(20,000 )</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(60,000 )</w:t>
            </w:r>
          </w:p>
        </w:tc>
      </w:tr>
      <w:tr>
        <w:trPr>
          <w:trHeight w:val="19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1,563,691</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987,250</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3,567,582</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2,950,985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 banking revenues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83,041</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159,995</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275,115</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432,062</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115,213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105,426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340,890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296,721</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Trust income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186,577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156,876</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545,874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475,889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Brokerage services income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65,414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43,868</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Trading account and non-hedging derivative gains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5,081</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5,563</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12,743</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18,349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Gain/(loss) on bank investment securities</w:t>
            </w:r>
          </w:p>
        </w:tc>
        <w:tc>
          <w:tcPr>
            <w:tcW w:w="2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(1,108 )</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(1,913 )</w:t>
            </w:r>
          </w:p>
        </w:tc>
        <w:tc>
          <w:tcPr>
            <w:tcW w:w="2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(22,646 )</w:t>
            </w:r>
          </w:p>
        </w:tc>
      </w:tr>
      <w:tr>
        <w:trPr>
          <w:trHeight w:val="20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revenues from operations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153,189</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120,485</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436,943</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344,114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other income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563,079</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569,126</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1,675,066</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1,588,357</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Other expense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736,354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510,422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2,090,075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1,530,634</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Equipment and net occupancy</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127,117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80,738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337,584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244,057</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Outside data processing and software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95,068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72,782</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268,607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213,025</w:t>
            </w:r>
          </w:p>
        </w:tc>
        <w:tc>
          <w:tcPr>
            <w:tcW w:w="100" w:type="dxa"/>
            <w:vAlign w:val="bottom"/>
          </w:tcPr>
          <w:p>
            <w:pPr>
              <w:spacing w:after="0"/>
              <w:rPr>
                <w:sz w:val="17"/>
                <w:szCs w:val="17"/>
                <w:color w:val="auto"/>
              </w:rPr>
            </w:pPr>
          </w:p>
        </w:tc>
      </w:tr>
      <w:tr>
        <w:trPr>
          <w:trHeight w:val="202"/>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FDIC assessments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28,105</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18,810</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66,266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50,874</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21,398</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58,057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43,200</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Printing, postage and supplies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14,768</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7,917</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40,488</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28,367</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core deposit and other intangible assets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38,024</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8,213</w:t>
            </w:r>
          </w:p>
        </w:tc>
        <w:tc>
          <w:tcPr>
            <w:tcW w:w="100" w:type="dxa"/>
            <w:vAlign w:val="bottom"/>
          </w:tcPr>
          <w:p>
            <w:pPr>
              <w:spacing w:after="0"/>
              <w:rPr>
                <w:sz w:val="17"/>
                <w:szCs w:val="17"/>
                <w:color w:val="auto"/>
              </w:rPr>
            </w:pPr>
          </w:p>
        </w:tc>
      </w:tr>
      <w:tr>
        <w:trPr>
          <w:trHeight w:val="20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costs of operations</w:t>
            </w: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238,059</w:t>
            </w:r>
          </w:p>
        </w:tc>
        <w:tc>
          <w:tcPr>
            <w:tcW w:w="3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190,719</w:t>
            </w:r>
          </w:p>
        </w:tc>
        <w:tc>
          <w:tcPr>
            <w:tcW w:w="3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743,047</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565,753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other expense</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1,279,253</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899,334</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3,642,148</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2,684,123</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847,517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657,042</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1,600,500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1,855,219</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200,921</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161,582</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374,208</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454,441</w:t>
            </w:r>
          </w:p>
        </w:tc>
        <w:tc>
          <w:tcPr>
            <w:tcW w:w="10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i w:val="1"/>
                <w:iCs w:val="1"/>
                <w:color w:val="auto"/>
              </w:rPr>
              <w:t>Net income</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646,596</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495,460</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1,226,292</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1,400,778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20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Net income available to common shareholders</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620,549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475,958</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1,152,400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1,342,805</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620,554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475,961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1,152,406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1,342,812</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share</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34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3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3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Average common shares outstanding</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174,609</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128,689</w:t>
            </w: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160,474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128,632</w:t>
            </w:r>
          </w:p>
        </w:tc>
        <w:tc>
          <w:tcPr>
            <w:tcW w:w="100" w:type="dxa"/>
            <w:vAlign w:val="bottom"/>
            <w:shd w:val="clear" w:color="auto" w:fill="CFF0FC"/>
          </w:tcPr>
          <w:p>
            <w:pPr>
              <w:spacing w:after="0"/>
              <w:rPr>
                <w:sz w:val="17"/>
                <w:szCs w:val="17"/>
                <w:color w:val="auto"/>
              </w:rPr>
            </w:pPr>
          </w:p>
        </w:tc>
      </w:tr>
      <w:tr>
        <w:trPr>
          <w:trHeight w:val="222"/>
        </w:trPr>
        <w:tc>
          <w:tcPr>
            <w:tcW w:w="62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175,682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128,844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161,295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-5395595</wp:posOffset>
            </wp:positionV>
            <wp:extent cx="7683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-5395595</wp:posOffset>
            </wp:positionV>
            <wp:extent cx="685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-5395595</wp:posOffset>
            </wp:positionV>
            <wp:extent cx="685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-5395595</wp:posOffset>
            </wp:positionV>
            <wp:extent cx="6858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-4615180</wp:posOffset>
            </wp:positionV>
            <wp:extent cx="7683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-4615180</wp:posOffset>
            </wp:positionV>
            <wp:extent cx="6858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-4615180</wp:posOffset>
            </wp:positionV>
            <wp:extent cx="6858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-4615180</wp:posOffset>
            </wp:positionV>
            <wp:extent cx="68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-4075430</wp:posOffset>
            </wp:positionV>
            <wp:extent cx="7683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-4075430</wp:posOffset>
            </wp:positionV>
            <wp:extent cx="6858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-4075430</wp:posOffset>
            </wp:positionV>
            <wp:extent cx="6858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-4075430</wp:posOffset>
            </wp:positionV>
            <wp:extent cx="6858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-3037840</wp:posOffset>
            </wp:positionV>
            <wp:extent cx="7683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-3037840</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-3037840</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-3037840</wp:posOffset>
            </wp:positionV>
            <wp:extent cx="6858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-1734820</wp:posOffset>
            </wp:positionV>
            <wp:extent cx="7683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-1734820</wp:posOffset>
            </wp:positionV>
            <wp:extent cx="6858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-1734820</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-1734820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-1195070</wp:posOffset>
            </wp:positionV>
            <wp:extent cx="257175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1543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COMPREHENSIVE INCOME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20" w:type="dxa"/>
            <w:vAlign w:val="bottom"/>
          </w:tcPr>
          <w:p>
            <w:pPr>
              <w:spacing w:after="0"/>
              <w:rPr>
                <w:sz w:val="15"/>
                <w:szCs w:val="15"/>
                <w:color w:val="auto"/>
              </w:rPr>
            </w:pPr>
          </w:p>
        </w:tc>
        <w:tc>
          <w:tcPr>
            <w:tcW w:w="2620" w:type="dxa"/>
            <w:vAlign w:val="bottom"/>
            <w:gridSpan w:val="6"/>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646,596</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495,460</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1,226,292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1,400,778</w:t>
            </w:r>
          </w:p>
        </w:tc>
        <w:tc>
          <w:tcPr>
            <w:tcW w:w="100" w:type="dxa"/>
            <w:vAlign w:val="bottom"/>
            <w:shd w:val="clear" w:color="auto" w:fill="CFF0FC"/>
          </w:tcPr>
          <w:p>
            <w:pPr>
              <w:spacing w:after="0"/>
              <w:rPr>
                <w:sz w:val="18"/>
                <w:szCs w:val="18"/>
                <w:color w:val="auto"/>
              </w:rPr>
            </w:pPr>
          </w:p>
        </w:tc>
      </w:tr>
      <w:tr>
        <w:trPr>
          <w:trHeight w:val="171"/>
        </w:trPr>
        <w:tc>
          <w:tcPr>
            <w:tcW w:w="632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Other comprehensive income (loss), net of tax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losses on investment securities</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(218,852 )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(9,314 )</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(425,770 )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(39,808 )</w:t>
            </w:r>
          </w:p>
        </w:tc>
      </w:tr>
      <w:tr>
        <w:trPr>
          <w:trHeight w:val="216"/>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 hedges adjustments</w:t>
            </w:r>
          </w:p>
        </w:tc>
        <w:tc>
          <w:tcPr>
            <w:tcW w:w="18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(172,285 )</w:t>
            </w:r>
          </w:p>
        </w:tc>
        <w:tc>
          <w:tcPr>
            <w:tcW w:w="22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(38,038 )</w:t>
            </w:r>
          </w:p>
        </w:tc>
        <w:tc>
          <w:tcPr>
            <w:tcW w:w="140" w:type="dxa"/>
            <w:vAlign w:val="bottom"/>
          </w:tcPr>
          <w:p>
            <w:pPr>
              <w:spacing w:after="0"/>
              <w:rPr>
                <w:sz w:val="18"/>
                <w:szCs w:val="18"/>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(344,534 )</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(152,175 )</w:t>
            </w:r>
          </w:p>
        </w:tc>
      </w:tr>
      <w:tr>
        <w:trPr>
          <w:trHeight w:val="216"/>
        </w:trPr>
        <w:tc>
          <w:tcPr>
            <w:tcW w:w="6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(5,359 )</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(1,579 )</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(11,271 )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(886 )</w:t>
            </w:r>
          </w:p>
        </w:tc>
      </w:tr>
      <w:tr>
        <w:trPr>
          <w:trHeight w:val="216"/>
        </w:trPr>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 liability adjustments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45,482</w:t>
            </w:r>
          </w:p>
        </w:tc>
        <w:tc>
          <w:tcPr>
            <w:tcW w:w="100" w:type="dxa"/>
            <w:vAlign w:val="bottom"/>
          </w:tcPr>
          <w:p>
            <w:pPr>
              <w:spacing w:after="0"/>
              <w:rPr>
                <w:sz w:val="18"/>
                <w:szCs w:val="18"/>
                <w:color w:val="auto"/>
              </w:rPr>
            </w:pPr>
          </w:p>
        </w:tc>
      </w:tr>
      <w:tr>
        <w:trPr>
          <w:trHeight w:val="209"/>
        </w:trPr>
        <w:tc>
          <w:tcPr>
            <w:tcW w:w="6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(393,503</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(33,445</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(772,415</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253,093</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462,015</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453,877</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1,253,391</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-170815</wp:posOffset>
            </wp:positionV>
            <wp:extent cx="7683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774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CASH FLOWS (Unaudited)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5"/>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92"/>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6"/>
                <w:szCs w:val="16"/>
                <w:color w:val="auto"/>
              </w:rPr>
            </w:pPr>
          </w:p>
        </w:tc>
      </w:tr>
      <w:tr>
        <w:trPr>
          <w:trHeight w:val="16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1,226,292</w:t>
            </w:r>
          </w:p>
        </w:tc>
        <w:tc>
          <w:tcPr>
            <w:tcW w:w="34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1,400,778</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427,000</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(60,000 )</w:t>
            </w: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Depreciation and amortization of premises and equipment</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219,737</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169,232</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Amortization of capitalized servicing rights</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75,165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66,000</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Amortization of core deposit and other intangible assets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38,024</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8,213</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Provision for deferred income taxes</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(89,413 )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70,190</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Asset write-downs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7,358</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5,046</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gain on sales of assets</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(14,583 )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(15,260 )</w:t>
            </w: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change in accrued interest receivable, payable</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(58,629 )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20,395</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change in other accrued income and expense</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(71,004 )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50,804</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change in loans originated for sale</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560,861</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(117,139 )</w:t>
            </w: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change in trading account and non-hedging derivative assets and liabilities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1,299,313</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419,772</w:t>
            </w:r>
          </w:p>
        </w:tc>
        <w:tc>
          <w:tcPr>
            <w:tcW w:w="100" w:type="dxa"/>
            <w:vAlign w:val="bottom"/>
          </w:tcPr>
          <w:p>
            <w:pPr>
              <w:spacing w:after="0"/>
              <w:rPr>
                <w:sz w:val="15"/>
                <w:szCs w:val="15"/>
                <w:color w:val="auto"/>
              </w:rPr>
            </w:pPr>
          </w:p>
        </w:tc>
      </w:tr>
      <w:tr>
        <w:trPr>
          <w:trHeight w:val="169"/>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3,620,121</w:t>
            </w:r>
          </w:p>
        </w:tc>
        <w:tc>
          <w:tcPr>
            <w:tcW w:w="3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2,018,031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sales of investment securities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42,999</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8,937</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maturities of investment securities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Available for sale</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641,573</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1,139,203</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Held to maturity</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1,053,989</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476,352</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 securities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Available for sale</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(7,219,785 )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(5,389 )</w:t>
            </w: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Held to maturity</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(796,312 )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(1,087,656 )</w:t>
            </w: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Equity and other securities</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(155,290 )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(27,270 )</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loans and leases</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(58,942 )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4,977,272</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interest-bearing deposits at banks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25,674,122</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(14,781,978 )</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 net</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(126,810 )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(87,165 )</w:t>
            </w: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loan servicing advances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1,324,912</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(402,175 )</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net of cash consideration</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Bank and bank holding company</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393,923</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(516,504 )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(388,305 )</w:t>
            </w:r>
          </w:p>
        </w:tc>
      </w:tr>
      <w:tr>
        <w:trPr>
          <w:trHeight w:val="169"/>
        </w:trPr>
        <w:tc>
          <w:tcPr>
            <w:tcW w:w="8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cash provided (used) by investing activities</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20,257,875</w:t>
            </w:r>
          </w:p>
        </w:tc>
        <w:tc>
          <w:tcPr>
            <w:tcW w:w="3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(10,178,174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deposits</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(20,663,949 )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8,895,558</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short-term borrowings</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(24,111 )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44,066</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499,250</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Payments on long-term borrowings</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(907,191 )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(853,041 )</w:t>
            </w: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(1,200,000 )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 common</w:t>
            </w:r>
          </w:p>
        </w:tc>
        <w:tc>
          <w:tcPr>
            <w:tcW w:w="2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(578,968 )</w:t>
            </w:r>
          </w:p>
        </w:tc>
        <w:tc>
          <w:tcPr>
            <w:tcW w:w="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(425,541 )</w:t>
            </w: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 preferred</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(80,600 )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(55,388 )</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Series I preferred stock</w:t>
            </w:r>
          </w:p>
        </w:tc>
        <w:tc>
          <w:tcPr>
            <w:tcW w:w="280" w:type="dxa"/>
            <w:vAlign w:val="bottom"/>
          </w:tcPr>
          <w:p>
            <w:pPr>
              <w:spacing w:after="0"/>
              <w:rPr>
                <w:sz w:val="15"/>
                <w:szCs w:val="15"/>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(4,194 )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(23,042 )</w:t>
            </w:r>
          </w:p>
        </w:tc>
      </w:tr>
      <w:tr>
        <w:trPr>
          <w:trHeight w:val="20"/>
        </w:trPr>
        <w:tc>
          <w:tcPr>
            <w:tcW w:w="8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Net cash provided (used) by financing activities</w:t>
            </w:r>
          </w:p>
        </w:tc>
        <w:tc>
          <w:tcPr>
            <w:tcW w:w="28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(22,959,763 )</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8,087,112</w:t>
            </w:r>
          </w:p>
        </w:tc>
        <w:tc>
          <w:tcPr>
            <w:tcW w:w="100" w:type="dxa"/>
            <w:vAlign w:val="bottom"/>
          </w:tcPr>
          <w:p>
            <w:pPr>
              <w:spacing w:after="0"/>
              <w:rPr>
                <w:sz w:val="14"/>
                <w:szCs w:val="14"/>
                <w:color w:val="auto"/>
              </w:rPr>
            </w:pPr>
          </w:p>
        </w:tc>
      </w:tr>
      <w:tr>
        <w:trPr>
          <w:trHeight w:val="169"/>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28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918,233</w:t>
            </w:r>
          </w:p>
        </w:tc>
        <w:tc>
          <w:tcPr>
            <w:tcW w:w="3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1,337,577</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1,552,743</w:t>
            </w:r>
          </w:p>
        </w:tc>
        <w:tc>
          <w:tcPr>
            <w:tcW w:w="100" w:type="dxa"/>
            <w:vAlign w:val="bottom"/>
          </w:tcPr>
          <w:p>
            <w:pPr>
              <w:spacing w:after="0"/>
              <w:rPr>
                <w:sz w:val="15"/>
                <w:szCs w:val="15"/>
                <w:color w:val="auto"/>
              </w:rPr>
            </w:pPr>
          </w:p>
        </w:tc>
      </w:tr>
      <w:tr>
        <w:trPr>
          <w:trHeight w:val="209"/>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period</w:t>
            </w:r>
          </w:p>
        </w:tc>
        <w:tc>
          <w:tcPr>
            <w:tcW w:w="28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2,255,810</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1,479,712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7"/>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received during the period</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4,145,231</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2,976,574</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214,552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116,402</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taxes paid during the period</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362,866</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278,783</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schedule of noncash investing and financing activities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Real estate acquired in settlement of loans</w:t>
            </w:r>
          </w:p>
        </w:tc>
        <w:tc>
          <w:tcPr>
            <w:tcW w:w="28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21,017</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6,822</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to right-of-use assets under operating leases</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99,705</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34,404</w:t>
            </w: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Loans held for sale transferred to loans held for investment</w:t>
            </w:r>
          </w:p>
        </w:tc>
        <w:tc>
          <w:tcPr>
            <w:tcW w:w="2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330,188</w:t>
            </w: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bank and bank holding company</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Common stock issued</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8,286,515</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82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Common stock awards converted</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104,810</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8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Fair value of</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2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Assets acquired (noncash)</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63,757,316</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8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3"/>
                <w:szCs w:val="13"/>
                <w:color w:val="auto"/>
              </w:rPr>
              <w:t>Liabilities assumed</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55,499,314</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r>
        <w:trPr>
          <w:trHeight w:val="174"/>
        </w:trPr>
        <w:tc>
          <w:tcPr>
            <w:tcW w:w="82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Preferred stock converted</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260,600</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-5313680</wp:posOffset>
            </wp:positionV>
            <wp:extent cx="6858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-5313680</wp:posOffset>
            </wp:positionV>
            <wp:extent cx="6858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-3290570</wp:posOffset>
            </wp:positionV>
            <wp:extent cx="68580" cy="1200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-3290570</wp:posOffset>
            </wp:positionV>
            <wp:extent cx="6858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-2167255</wp:posOffset>
            </wp:positionV>
            <wp:extent cx="6858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-2167255</wp:posOffset>
            </wp:positionV>
            <wp:extent cx="6858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-1696085</wp:posOffset>
            </wp:positionV>
            <wp:extent cx="101981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19810" cy="13716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CONSOLIDATED STATEMENT OF CHANGES IN SHAREHOLDERS’ EQUITY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5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5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15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Preferred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4"/>
                <w:szCs w:val="14"/>
                <w:color w:val="auto"/>
              </w:rPr>
            </w:pPr>
          </w:p>
        </w:tc>
        <w:tc>
          <w:tcPr>
            <w:tcW w:w="1060" w:type="dxa"/>
            <w:vAlign w:val="bottom"/>
            <w:gridSpan w:val="2"/>
          </w:tcPr>
          <w:p>
            <w:pPr>
              <w:jc w:val="center"/>
              <w:ind w:right="258"/>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92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w:t>
            </w:r>
          </w:p>
        </w:tc>
        <w:tc>
          <w:tcPr>
            <w:tcW w:w="120" w:type="dxa"/>
            <w:vAlign w:val="bottom"/>
          </w:tcPr>
          <w:p>
            <w:pPr>
              <w:spacing w:after="0"/>
              <w:rPr>
                <w:sz w:val="13"/>
                <w:szCs w:val="13"/>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Issuable</w:t>
            </w:r>
          </w:p>
        </w:tc>
        <w:tc>
          <w:tcPr>
            <w:tcW w:w="10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3"/>
                <w:szCs w:val="13"/>
                <w:color w:val="auto"/>
              </w:rPr>
            </w:pPr>
          </w:p>
        </w:tc>
        <w:tc>
          <w:tcPr>
            <w:tcW w:w="1060" w:type="dxa"/>
            <w:vAlign w:val="bottom"/>
            <w:gridSpan w:val="2"/>
          </w:tcPr>
          <w:p>
            <w:pPr>
              <w:jc w:val="center"/>
              <w:ind w:right="278"/>
              <w:spacing w:after="0"/>
              <w:rPr>
                <w:sz w:val="20"/>
                <w:szCs w:val="20"/>
                <w:color w:val="auto"/>
              </w:rPr>
            </w:pPr>
            <w:r>
              <w:rPr>
                <w:rFonts w:ascii="Times New Roman" w:cs="Times New Roman" w:eastAsia="Times New Roman" w:hAnsi="Times New Roman"/>
                <w:sz w:val="13"/>
                <w:szCs w:val="13"/>
                <w:b w:val="1"/>
                <w:bCs w:val="1"/>
                <w:color w:val="auto"/>
                <w:w w:val="96"/>
              </w:rPr>
              <w:t>(Loss), Net</w:t>
            </w:r>
          </w:p>
        </w:tc>
        <w:tc>
          <w:tcPr>
            <w:tcW w:w="120" w:type="dxa"/>
            <w:vAlign w:val="bottom"/>
          </w:tcPr>
          <w:p>
            <w:pPr>
              <w:spacing w:after="0"/>
              <w:rPr>
                <w:sz w:val="13"/>
                <w:szCs w:val="13"/>
                <w:color w:val="auto"/>
              </w:rPr>
            </w:pPr>
          </w:p>
        </w:tc>
        <w:tc>
          <w:tcPr>
            <w:tcW w:w="92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6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Three Months Ended September 30, 2022</w:t>
            </w: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 — July 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2,010,600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9,986,881</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14,808,637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(506,490 )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(595,905 )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25,794,531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646,596</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(393,503 )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(24,941 )</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(24,941 )</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(600,000 )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(600,000 )</w:t>
            </w: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(327 )</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60" w:type="dxa"/>
            <w:vAlign w:val="bottom"/>
            <w:gridSpan w:val="3"/>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Common stock cash dividends —</w:t>
            </w:r>
          </w:p>
        </w:tc>
        <w:tc>
          <w:tcPr>
            <w:tcW w:w="12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(210,137 )</w:t>
            </w:r>
          </w:p>
        </w:tc>
        <w:tc>
          <w:tcPr>
            <w:tcW w:w="10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(210,137 )</w:t>
            </w: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2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$1.20 per share</w:t>
            </w: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 — September 30,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2,010,600</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89,718</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9,994,395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15,219,828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(899,993 )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(1,159,153 )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25,256,493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2022</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6,635,000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14,646,448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(127,578 )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(5,081,548 )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17,903,405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(772,415 )</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Acquisition of People's United Financial, Inc.:</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Common stock issued</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3,256,821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5,019,870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8,286,515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7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Common stock awards converted</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104,810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104,810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Conversion of Series H preferred stock</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(71,647 )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(71,647 )</w:t>
            </w: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Purchases of treasury stock</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(1,200,000 )</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(1,200,000 )</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(2,236 )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(970 )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102,525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Common stock cash dividends —</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(580,295 )</w:t>
            </w:r>
          </w:p>
        </w:tc>
        <w:tc>
          <w:tcPr>
            <w:tcW w:w="100" w:type="dxa"/>
            <w:vAlign w:val="bottom"/>
          </w:tcPr>
          <w:p>
            <w:pPr>
              <w:spacing w:after="0"/>
              <w:rPr>
                <w:sz w:val="9"/>
                <w:szCs w:val="9"/>
                <w:color w:val="auto"/>
              </w:rPr>
            </w:pPr>
          </w:p>
        </w:tc>
        <w:tc>
          <w:tcPr>
            <w:tcW w:w="106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(580,295 )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$3.60 per share</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September 30,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2,010,600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89,718</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9,994,395</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15,219,828</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(899,993</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(1,159,153</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25,256,493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2021</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 — July 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6,620,528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14,030,215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(176,974 )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(5,084,515 )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16,720,304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495,460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(33,445 )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462,015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(17,050 )</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(17,050 )</w:t>
            </w: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Series I preferred stock</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(5,000 )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(207 )</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60" w:type="dxa"/>
            <w:vAlign w:val="bottom"/>
            <w:gridSpan w:val="3"/>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Common stock cash dividends —</w:t>
            </w:r>
          </w:p>
        </w:tc>
        <w:tc>
          <w:tcPr>
            <w:tcW w:w="12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(142,505 )</w:t>
            </w:r>
          </w:p>
        </w:tc>
        <w:tc>
          <w:tcPr>
            <w:tcW w:w="10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(142,505 )</w:t>
            </w: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2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$1.10 per share</w:t>
            </w:r>
          </w:p>
        </w:tc>
        <w:tc>
          <w:tcPr>
            <w:tcW w:w="12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Balance — September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6,624,656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14,365,913</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(210,419 )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(5,082,446 )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17,528,771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January 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6,617,404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13,444,428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FF0FC"/>
          </w:tcPr>
          <w:p>
            <w:pPr>
              <w:jc w:val="right"/>
              <w:ind w:right="118"/>
              <w:spacing w:after="0"/>
              <w:rPr>
                <w:sz w:val="20"/>
                <w:szCs w:val="20"/>
                <w:color w:val="auto"/>
              </w:rPr>
            </w:pPr>
            <w:r>
              <w:rPr>
                <w:rFonts w:ascii="Times New Roman" w:cs="Times New Roman" w:eastAsia="Times New Roman" w:hAnsi="Times New Roman"/>
                <w:sz w:val="13"/>
                <w:szCs w:val="13"/>
                <w:color w:val="auto"/>
              </w:rPr>
              <w:t>(63,032 )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(5,142,732 )</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16,187,283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Total comprehensive income</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1,400,778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auto"/>
              </w:rPr>
              <w:t>(147,387 )</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1,253,391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 cash dividends (a)</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(51,150 )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(51,150 )</w:t>
            </w:r>
          </w:p>
        </w:tc>
        <w:tc>
          <w:tcPr>
            <w:tcW w:w="0" w:type="dxa"/>
            <w:vAlign w:val="bottom"/>
          </w:tcPr>
          <w:p>
            <w:pPr>
              <w:spacing w:after="0"/>
              <w:rPr>
                <w:sz w:val="1"/>
                <w:szCs w:val="1"/>
                <w:color w:val="auto"/>
              </w:rPr>
            </w:pPr>
          </w:p>
        </w:tc>
      </w:tr>
      <w:tr>
        <w:trPr>
          <w:trHeight w:val="162"/>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Series I preferred stock</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(5,000 )</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transactions, net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(148 )</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12,252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(616 )</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Common stock cash dividends —</w:t>
            </w: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(427,527 )</w:t>
            </w:r>
          </w:p>
        </w:tc>
        <w:tc>
          <w:tcPr>
            <w:tcW w:w="100" w:type="dxa"/>
            <w:vAlign w:val="bottom"/>
          </w:tcPr>
          <w:p>
            <w:pPr>
              <w:spacing w:after="0"/>
              <w:rPr>
                <w:sz w:val="9"/>
                <w:szCs w:val="9"/>
                <w:color w:val="auto"/>
              </w:rPr>
            </w:pPr>
          </w:p>
        </w:tc>
        <w:tc>
          <w:tcPr>
            <w:tcW w:w="1060" w:type="dxa"/>
            <w:vAlign w:val="bottom"/>
            <w:gridSpan w:val="2"/>
            <w:vMerge w:val="restart"/>
          </w:tcPr>
          <w:p>
            <w:pPr>
              <w:jc w:val="right"/>
              <w:ind w:right="1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(427,527 )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$3.30 per share</w:t>
            </w: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6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 September 30, 2021</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1,750,000</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79,871</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1,196</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6,624,656</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14,365,913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(210,419</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(5,082,446</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17,528,771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-3659505</wp:posOffset>
            </wp:positionV>
            <wp:extent cx="7683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-3659505</wp:posOffset>
            </wp:positionV>
            <wp:extent cx="7683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-3659505</wp:posOffset>
            </wp:positionV>
            <wp:extent cx="68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-3659505</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-3659505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-3659505</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-3659505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-2099945</wp:posOffset>
            </wp:positionV>
            <wp:extent cx="485203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52035" cy="12890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-1174115</wp:posOffset>
            </wp:positionV>
            <wp:extent cx="7683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-1174115</wp:posOffset>
            </wp:positionV>
            <wp:extent cx="7683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-1174115</wp:posOffset>
            </wp:positionV>
            <wp:extent cx="6858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-1174115</wp:posOffset>
            </wp:positionV>
            <wp:extent cx="6858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-1174115</wp:posOffset>
            </wp:positionV>
            <wp:extent cx="6858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-1174115</wp:posOffset>
            </wp:positionV>
            <wp:extent cx="6858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-1174115</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-25400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-8255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-25400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5" w:lineRule="exact"/>
        <w:rPr>
          <w:sz w:val="20"/>
          <w:szCs w:val="20"/>
          <w:color w:val="auto"/>
        </w:rPr>
      </w:pPr>
    </w:p>
    <w:p>
      <w:pPr>
        <w:jc w:val="both"/>
        <w:ind w:left="560" w:hanging="365"/>
        <w:spacing w:after="0" w:line="262" w:lineRule="auto"/>
        <w:tabs>
          <w:tab w:leader="none" w:pos="56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4"/>
          <w:szCs w:val="14"/>
          <w:i w:val="1"/>
          <w:iCs w:val="1"/>
          <w:color w:val="auto"/>
        </w:rPr>
        <w:t>For the three-month and nine-month periods ended September 30, 2022, dividends per preferred share were: Preferred Series E - $16.125 and $48.375, respectively; Preferred Series F - $128.125 and $384.375, respectively; Preferred Series G - $125.00 and $375.00, respectively; Preferred Series H - $0.3516 and $0.7031, respectively; and Preferred Series I - $87.50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9030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560"/>
        <w:spacing w:after="0" w:line="263" w:lineRule="auto"/>
        <w:rPr>
          <w:sz w:val="20"/>
          <w:szCs w:val="20"/>
          <w:color w:val="auto"/>
        </w:rPr>
      </w:pPr>
      <w:r>
        <w:rPr>
          <w:rFonts w:ascii="Times New Roman" w:cs="Times New Roman" w:eastAsia="Times New Roman" w:hAnsi="Times New Roman"/>
          <w:sz w:val="14"/>
          <w:szCs w:val="14"/>
          <w:i w:val="1"/>
          <w:iCs w:val="1"/>
          <w:color w:val="auto"/>
        </w:rPr>
        <w:t>and $269.31, respectively. Dividends per preferred share for the three-month and nine-month periods ended September 30, 2021 were: Preferred Series E - $16.125 and $48.375, respectively; Preferred Series F - $128.125 and $384.375, respectively; and Preferred Series G - $125.00 and $375.00, respectively.</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i w:val="1"/>
          <w:iCs w:val="1"/>
          <w:color w:val="auto"/>
        </w:rPr>
        <w:t>See accompanying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NOTES TO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Significant accounting policies</w:t>
      </w:r>
    </w:p>
    <w:p>
      <w:pPr>
        <w:spacing w:after="0" w:line="1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2021 (“2021 Annual Report”). Following the acquisition of People's United Financial, Inc. ("People's United") on April 1, 2022 and conformance of financial statement presentation, certain reclassifications have been made to prior period amounts to conform with current period presentation. The reclassifications had no effect on previously reported total assets, total liabilities, shareholders' equity or net income. Specifically, the fair values of interest rate and foreign exchange derivative contracts not designated as hedging instruments as presented in note 11 have been included in other assets and other liabilities rather than in trading account assets and liabilities. The financial statements contain all adjustments which are, in the opinion of management, necessary for a fair statement of the Company’s financial position, results of operations and cash flows for the interim periods presented.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Acquisition and divestiture</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On April 1, 2022, M&amp;T completed the acquisition of People's United. Through subsidiaries, People's United provided commercial banking, retail banking and wealth management services to individual, corporate and municipal customers through a network of branches located in Connecticut, southeastern New York, Massachusetts, Vermont, New Hampshire and Maine. Following the merger, People's United Bank, National Association, a national banking association and a wholly owned subsidiary of People's United, merged with and into Manufacturers and Traders Trust Company ("M&amp;T Bank"), the principal banking subsidiary of M&amp;T, with M&amp;T Bank as the surviving entity. The results of operations acquired from People's United have been included in the Company's financial results since April 1, 2022.</w:t>
      </w:r>
    </w:p>
    <w:p>
      <w:pPr>
        <w:spacing w:after="0" w:line="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Pursuant to the terms of the merger agreement dated February 22, 2021, People’s United shareholders received consideration valued at .118 of an M&amp;T common share in exchange for each common share of People’s United. The purchase price totaled approximately $8.4 billion (with the price based on M&amp;T’s closing price of $164.66 per share as of April 1, 2022). M&amp;T issued 50,325,004 common shares in completing the transaction. Additionally, People’s United outstanding preferred stock was converted into new shares of Series H Preferred Stock of M&amp;T. The acquisition of People's United expanded the Company's geographical footprint and management expects the Company will benefit from greater geographical diversity and the advantages of scale associated with a larger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Acquisition and divestiture, continued</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The People’s United transaction has been accounted for using the acquisition method of accounting and, accordingly, assets acquired, liabilities assumed and preferred stock converted were recorded at estimated fair value on the acquisition date. The consideration paid for People’s United common equity and the preliminary amounts of identifiable assets acquired, liabilities assumed and preferred stock converted as of the acquisition date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issued (50,325,004 shares)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8,286,515</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awards converted</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104,810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r>
      <w:tr>
        <w:trPr>
          <w:trHeight w:val="209"/>
        </w:trPr>
        <w:tc>
          <w:tcPr>
            <w:tcW w:w="92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8,393,149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395,747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9,193,346</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11,574,689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35,840,648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2,979,388</w:t>
            </w:r>
          </w:p>
        </w:tc>
        <w:tc>
          <w:tcPr>
            <w:tcW w:w="100" w:type="dxa"/>
            <w:vAlign w:val="bottom"/>
          </w:tcPr>
          <w:p>
            <w:pPr>
              <w:spacing w:after="0"/>
              <w:rPr>
                <w:sz w:val="18"/>
                <w:szCs w:val="18"/>
                <w:color w:val="auto"/>
              </w:rPr>
            </w:pPr>
          </w:p>
        </w:tc>
      </w:tr>
      <w:tr>
        <w:trPr>
          <w:trHeight w:val="209"/>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60,244,818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preferred stock</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52,967,915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1,389,012</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55,499,314</w:t>
            </w:r>
          </w:p>
        </w:tc>
        <w:tc>
          <w:tcPr>
            <w:tcW w:w="100" w:type="dxa"/>
            <w:vAlign w:val="bottom"/>
          </w:tcPr>
          <w:p>
            <w:pPr>
              <w:spacing w:after="0"/>
              <w:rPr>
                <w:sz w:val="18"/>
                <w:szCs w:val="18"/>
                <w:color w:val="auto"/>
              </w:rPr>
            </w:pPr>
          </w:p>
        </w:tc>
      </w:tr>
      <w:tr>
        <w:trPr>
          <w:trHeight w:val="209"/>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preferred stock</w:t>
            </w: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55,759,914</w:t>
            </w:r>
          </w:p>
        </w:tc>
        <w:tc>
          <w:tcPr>
            <w:tcW w:w="100" w:type="dxa"/>
            <w:vAlign w:val="bottom"/>
          </w:tcPr>
          <w:p>
            <w:pPr>
              <w:spacing w:after="0"/>
              <w:rPr>
                <w:sz w:val="18"/>
                <w:szCs w:val="18"/>
                <w:color w:val="auto"/>
              </w:rPr>
            </w:pPr>
          </w:p>
        </w:tc>
      </w:tr>
      <w:tr>
        <w:trPr>
          <w:trHeight w:val="209"/>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4,484,904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3,908,245</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1"/>
          <w:szCs w:val="21"/>
          <w:color w:val="auto"/>
        </w:rPr>
        <w:t>The following is a description of the methodologies used to estimate the fair values of the significant assets acquired, liabilities assumed and preferred stock converted at the acquisition date:</w:t>
      </w:r>
    </w:p>
    <w:p>
      <w:pPr>
        <w:spacing w:after="0" w:line="63"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1"/>
          <w:szCs w:val="21"/>
          <w:i w:val="1"/>
          <w:iCs w:val="1"/>
          <w:color w:val="auto"/>
        </w:rPr>
        <w:t xml:space="preserve">Cash and due from banks and interest-bearing deposits in banks: </w:t>
      </w:r>
      <w:r>
        <w:rPr>
          <w:rFonts w:ascii="Times New Roman" w:cs="Times New Roman" w:eastAsia="Times New Roman" w:hAnsi="Times New Roman"/>
          <w:sz w:val="21"/>
          <w:szCs w:val="21"/>
          <w:color w:val="auto"/>
        </w:rPr>
        <w:t>Given the short-term nature of these assets, the carrying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amount was determined to be a reasonable estimate of fair value.</w:t>
      </w:r>
    </w:p>
    <w:p>
      <w:pPr>
        <w:spacing w:after="0" w:line="3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Investment securities: </w:t>
      </w:r>
      <w:r>
        <w:rPr>
          <w:rFonts w:ascii="Times New Roman" w:cs="Times New Roman" w:eastAsia="Times New Roman" w:hAnsi="Times New Roman"/>
          <w:sz w:val="21"/>
          <w:szCs w:val="21"/>
          <w:color w:val="auto"/>
        </w:rPr>
        <w:t>Investment securities have been determined using quoted market prices, if available. If quoted market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prices were not available, investment securities were valued by reference to quoted prices for similar securities or through model-based techniques.</w:t>
      </w:r>
    </w:p>
    <w:p>
      <w:pPr>
        <w:spacing w:after="0" w:line="5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Loans and leases: </w:t>
      </w:r>
      <w:r>
        <w:rPr>
          <w:rFonts w:ascii="Times New Roman" w:cs="Times New Roman" w:eastAsia="Times New Roman" w:hAnsi="Times New Roman"/>
          <w:sz w:val="21"/>
          <w:szCs w:val="21"/>
          <w:color w:val="auto"/>
        </w:rPr>
        <w:t>The fair values of loans and leases were generally based on a discounted cash flow methodology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considered market interest rates, expected credit losses, prepayment assumptions and other market factors for loans with similar characteristics including loan type, collateral, fixed or variable interest rate and credit risk characteristics. Expected credit losses were determined based on credit characteristics and other factors such as default and recovery rates of similar products.</w:t>
      </w:r>
    </w:p>
    <w:p>
      <w:pPr>
        <w:spacing w:after="0" w:line="7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Core deposit and other intangible assets: </w:t>
      </w:r>
      <w:r>
        <w:rPr>
          <w:rFonts w:ascii="Times New Roman" w:cs="Times New Roman" w:eastAsia="Times New Roman" w:hAnsi="Times New Roman"/>
          <w:sz w:val="21"/>
          <w:szCs w:val="21"/>
          <w:color w:val="auto"/>
        </w:rPr>
        <w:t>The core deposit intangible asset represents the value of certain customer deposit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relationships. The fair value of the core deposit intangible asset was based on a discounted cash flow methodology that considered expected customer attrition rates, costs associated with maintaining the deposit relationships and alternative funding costs. Other intangible assets were also valued using expected and contractual cash flows.</w:t>
      </w:r>
    </w:p>
    <w:p>
      <w:pPr>
        <w:spacing w:after="0" w:line="5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21"/>
          <w:szCs w:val="21"/>
          <w:i w:val="1"/>
          <w:iCs w:val="1"/>
          <w:color w:val="auto"/>
        </w:rPr>
        <w:t xml:space="preserve">Deposits: </w:t>
      </w:r>
      <w:r>
        <w:rPr>
          <w:rFonts w:ascii="Times New Roman" w:cs="Times New Roman" w:eastAsia="Times New Roman" w:hAnsi="Times New Roman"/>
          <w:sz w:val="21"/>
          <w:szCs w:val="21"/>
          <w:color w:val="auto"/>
        </w:rPr>
        <w:t>The fair value of deposits with no maturity date was determined to be the amount payable on demand at the acquisition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date. The fair value of time deposits was determined by discounting contractual cash flows, that considered market interest rates in relation to contractual interest rates for instruments with like remaining maturities.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Acquisition and divestiture, continued</w:t>
      </w:r>
    </w:p>
    <w:p>
      <w:pPr>
        <w:spacing w:after="0" w:line="96"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21"/>
          <w:szCs w:val="21"/>
          <w:i w:val="1"/>
          <w:iCs w:val="1"/>
          <w:color w:val="auto"/>
        </w:rPr>
        <w:t xml:space="preserve">Borrowings: </w:t>
      </w:r>
      <w:r>
        <w:rPr>
          <w:rFonts w:ascii="Times New Roman" w:cs="Times New Roman" w:eastAsia="Times New Roman" w:hAnsi="Times New Roman"/>
          <w:sz w:val="21"/>
          <w:szCs w:val="21"/>
          <w:color w:val="auto"/>
        </w:rPr>
        <w:t>The fair value of borrowings was determined using quoted market prices for the instrument, if available. If quoted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market prices for the instrument were not available, similar instruments with quoted market prices were referenced.</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i w:val="1"/>
          <w:iCs w:val="1"/>
          <w:color w:val="auto"/>
        </w:rPr>
        <w:t xml:space="preserve">Preferred stock: </w:t>
      </w:r>
      <w:r>
        <w:rPr>
          <w:rFonts w:ascii="Times New Roman" w:cs="Times New Roman" w:eastAsia="Times New Roman" w:hAnsi="Times New Roman"/>
          <w:sz w:val="21"/>
          <w:szCs w:val="21"/>
          <w:color w:val="auto"/>
        </w:rPr>
        <w:t>The fair value of preferred stock converted was determined using quoted market prices.</w:t>
      </w:r>
    </w:p>
    <w:p>
      <w:pPr>
        <w:spacing w:after="0" w:line="9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GAAP requires loans and leases obtained through an acquisition that have experienced a more-than-insignificant deterioration in credit quality since origination be considered purchased credit deteriorated (“PCD”). The Company considered several factors in the determination of PCD loans, including loan grades assigned to acquired commercial loans and leases and commercial real estate loans utilizing the Company's loan grading system and delinquency status and history for acquired loans backed by residential real estate. Loans and leases acquired from People's United and identified as PCD totaled $3.4 billion at April 1, 2022. For those loans and leases, the initial estimate of expected credit losses of $99 million was established through an adjustment to increase both the initial carrying value and allowance for credit losses. GAAP also provides that an allowance for credit losses on loans acquired, but not classified as PCD, also be recognized. Accordingly, the Company recorded $242 million of provision for credit losses for non-PCD acquired loans and leases at the acquisition date. The following table reconciles the unpaid principal balance to the fair value of PCD loans and leases at April 1, 2022:</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9"/>
        </w:trPr>
        <w:tc>
          <w:tcPr>
            <w:tcW w:w="94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Unpaid principal balance (a)</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3,410,506</w:t>
            </w:r>
          </w:p>
        </w:tc>
        <w:tc>
          <w:tcPr>
            <w:tcW w:w="100" w:type="dxa"/>
            <w:vAlign w:val="bottom"/>
            <w:shd w:val="clear" w:color="auto" w:fill="CFF0FC"/>
          </w:tcPr>
          <w:p>
            <w:pPr>
              <w:spacing w:after="0"/>
              <w:rPr>
                <w:sz w:val="18"/>
                <w:szCs w:val="18"/>
                <w:color w:val="auto"/>
              </w:rPr>
            </w:pPr>
          </w:p>
        </w:tc>
      </w:tr>
      <w:tr>
        <w:trPr>
          <w:trHeight w:val="216"/>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acquisition (a)</w:t>
            </w: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(99,000 )</w:t>
            </w:r>
          </w:p>
        </w:tc>
      </w:tr>
      <w:tr>
        <w:trPr>
          <w:trHeight w:val="216"/>
        </w:trPr>
        <w:tc>
          <w:tcPr>
            <w:tcW w:w="9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Non-credit discount</w:t>
            </w:r>
          </w:p>
        </w:tc>
        <w:tc>
          <w:tcPr>
            <w:tcW w:w="3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(106,814 )</w:t>
            </w:r>
          </w:p>
        </w:tc>
      </w:tr>
      <w:tr>
        <w:trPr>
          <w:trHeight w:val="209"/>
        </w:trPr>
        <w:tc>
          <w:tcPr>
            <w:tcW w:w="94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3,204,692</w:t>
            </w:r>
          </w:p>
        </w:tc>
        <w:tc>
          <w:tcPr>
            <w:tcW w:w="100" w:type="dxa"/>
            <w:vAlign w:val="bottom"/>
            <w:tcBorders>
              <w:top w:val="single" w:sz="8" w:color="CFF0FC"/>
            </w:tcBorders>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903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The unpaid principal balance and allowance for credit losses at acquisition is net of charge-offs of $33 million recognized on the PCD loans.</w:t>
      </w:r>
    </w:p>
    <w:p>
      <w:pPr>
        <w:spacing w:after="0" w:line="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In connection with the acquisition, the Company recorded approximately $3.9 billion of goodwill, which represents the excess of the purchase price over the fair value of the net assets acquired, and $261 million of core deposit and other intangible assets. The core deposit and other intangible assets are being amortized over periods of three to seven years. The preliminary allocation of goodwill recorded as a result of the acquisition to the Company’s reportable segments is as follows:</w:t>
      </w:r>
    </w:p>
    <w:tbl>
      <w:tblPr>
        <w:tblLayout w:type="fixed"/>
        <w:tblInd w:w="0" w:type="dxa"/>
        <w:tblCellMar>
          <w:top w:w="0" w:type="dxa"/>
          <w:left w:w="0" w:type="dxa"/>
          <w:bottom w:w="0" w:type="dxa"/>
          <w:right w:w="0" w:type="dxa"/>
        </w:tblCellMar>
      </w:tblPr>
      <w:tr>
        <w:trPr>
          <w:trHeight w:val="145"/>
        </w:trPr>
        <w:tc>
          <w:tcPr>
            <w:tcW w:w="5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95"/>
              <w:spacing w:after="0" w:line="145" w:lineRule="exact"/>
              <w:rPr>
                <w:sz w:val="20"/>
                <w:szCs w:val="20"/>
                <w:color w:val="auto"/>
              </w:rPr>
            </w:pPr>
            <w:r>
              <w:rPr>
                <w:rFonts w:ascii="Times New Roman" w:cs="Times New Roman" w:eastAsia="Times New Roman" w:hAnsi="Times New Roman"/>
                <w:sz w:val="14"/>
                <w:szCs w:val="14"/>
                <w:b w:val="1"/>
                <w:bCs w:val="1"/>
                <w:color w:val="auto"/>
              </w:rPr>
              <w:t>Acquisition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People's United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Banking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864,366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693,905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Banking</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1,401,873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2,686,253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654,389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Discretionary Portfolio</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Banking</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1,309,191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1,530,387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363,293</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4,593,112</w:t>
            </w: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3,908,245</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8,501,357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Due to the integration of People's United operating systems and activities with those of the Company, the Company's ability to report on the former operations of People's United is inherently limited. The Company estimates that included in the Consolidated Statement of Income from the acquisition date through September 30, 2022 are total revenues of approximately $1.0 billion and a net loss of approximately $13 million related to the acquisition of People's United.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Acquisition and divestiture, continued</w:t>
      </w:r>
    </w:p>
    <w:p>
      <w:pPr>
        <w:spacing w:after="0" w:line="9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The following table presents certain pro forma information as if People’s United had been acquired on January 1, 2021. These results combine the historical results of People’s United into the Company’s consolidated statement of income and, while adjustments were made for the estimated impact of certain fair valuation adjustments and other acquisition-related activity, they are not indicative of what would have occurred had the acquisition taken place as indicated. For example, merger-related expenses noted below are included in the periods where such expenses were incurred. Additionally, the Company expects to achieve operating cost savings and other business synergies as a result of the acquisition which are not reflected in the pro forma amounts that follow: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4"/>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8"/>
                <w:szCs w:val="18"/>
                <w:color w:val="auto"/>
              </w:rPr>
            </w:pPr>
          </w:p>
        </w:tc>
      </w:tr>
      <w:tr>
        <w:trPr>
          <w:trHeight w:val="23"/>
        </w:trPr>
        <w:tc>
          <w:tcPr>
            <w:tcW w:w="5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9"/>
                <w:szCs w:val="19"/>
                <w:color w:val="auto"/>
              </w:rPr>
            </w:pPr>
          </w:p>
        </w:tc>
      </w:tr>
      <w:tr>
        <w:trPr>
          <w:trHeight w:val="21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revenues(a)</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6,134,400</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6,056,364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2,054,462</w:t>
            </w:r>
          </w:p>
        </w:tc>
        <w:tc>
          <w:tcPr>
            <w:tcW w:w="100" w:type="dxa"/>
            <w:vAlign w:val="bottom"/>
            <w:shd w:val="clear" w:color="auto" w:fill="CFF0FC"/>
          </w:tcPr>
          <w:p>
            <w:pPr>
              <w:spacing w:after="0"/>
              <w:rPr>
                <w:sz w:val="18"/>
                <w:szCs w:val="18"/>
                <w:color w:val="auto"/>
              </w:rPr>
            </w:pP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1,769,781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664,820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9030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8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total of net interest income and other income.</w:t>
      </w:r>
    </w:p>
    <w:p>
      <w:pPr>
        <w:spacing w:after="0" w:line="11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In connection with the People’s United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preparing for systems conversions and/or integration of operations; costs related to termination of existing contractual arrangements for various services; initial marketing and promotion expenses designed to introduce M&amp;T Bank to its new customers; severance (for former People’s United employees); travel costs; and other costs of completing the transaction and commencing operations in new markets and offices. The Company expects that there will be additional merger-related expenses in 2022. A summary of merger-related expenses included in the consolidated statement of income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3"/>
                <w:szCs w:val="13"/>
                <w:color w:val="auto"/>
              </w:rPr>
            </w:pPr>
          </w:p>
        </w:tc>
      </w:tr>
      <w:tr>
        <w:trPr>
          <w:trHeight w:val="187"/>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7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98,480</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Outside data processing software</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cost of operations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179,231</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0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53,027</w:t>
            </w:r>
          </w:p>
        </w:tc>
        <w:tc>
          <w:tcPr>
            <w:tcW w:w="3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293,208</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-24765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 also recognized a $242 million provision for credit losses on acquired loans that were not deemed to be PCD on April 1, 2022. GAAP requires that acquired loans be recorded at estimated fair value, which includes the use of interest rate and expected credit loss assumptions to forecast estimated cash flows. GAAP also provides that an allowance for credit losses on loans acquired, but not classified as PCD also be recognized above and beyond the impact of forecasted losses used in determining the fair value of acquired loans. Accordingly, the Company recorded a $242 million provision for credit losses related to such loans obtained in the People's United transaction in the three months ended June 30, 2022.</w:t>
      </w:r>
    </w:p>
    <w:p>
      <w:pPr>
        <w:spacing w:after="0" w:line="8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20"/>
          <w:szCs w:val="20"/>
          <w:color w:val="auto"/>
        </w:rPr>
        <w:t>On September 29, 2022 M&amp;T Bank announced it had entered into a definitive agreement to sell M&amp;T Insurance Agency, Inc. ("MTIA"), a wholly owned insurance agency subsidiary of M&amp;T Bank to Arthur J. Gallagher &amp; Co. The transaction was completed on October 31, 2022. The Company expects to recognize a pre-tax gain on the sale of approximately $135 million. MTIA had assets of $25 million and shareholders' equity of $10 million at September 30, 2022. For the nine months ended September 30, 2022 and 2021, MTIA recorded revenues of $31 million and $29 million, respectively, and net income of $4 million and $1 million,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amortized cost and estimated fair value of investment securities were as follows:</w:t>
      </w:r>
    </w:p>
    <w:tbl>
      <w:tblPr>
        <w:tblLayout w:type="fixed"/>
        <w:tblInd w:w="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3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7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0"/>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31"/>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12"/>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2"/>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1"/>
              <w:spacing w:after="0" w:line="160"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9"/>
        </w:trPr>
        <w:tc>
          <w:tcPr>
            <w:tcW w:w="4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7,908,153</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249,838</w:t>
            </w: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7,658,728</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2,635,976</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205,157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2,430,946</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182,274</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174,101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11,340,155</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470,660</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10,870,346</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1,199,539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1,149,906</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2,663,917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2,442,292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927,503</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821,288</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8,053,619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7,085,966</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Privately issued</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52,479</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53,398</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4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12,898,862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9,266</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1,353,473</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11,554,655</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24,239,017</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1,824,133</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22,425,001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7"/>
        </w:trPr>
        <w:tc>
          <w:tcPr>
            <w:tcW w:w="4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and other securities: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192,584</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 at cost</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640,020</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640,020</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832,604</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834,557</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682,267</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3,042,771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124,309</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3,849,347</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115,305</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2,667,328</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2,708,173</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Privately issued</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80" w:type="dxa"/>
            <w:vAlign w:val="bottom"/>
            <w:tcBorders>
              <w:bottom w:val="single" w:sz="8" w:color="CFF0FC"/>
            </w:tcBorders>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2,734,674</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2,771,290</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6,584,021</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175,048</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6,727,094</w:t>
            </w: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4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Equity and other securities: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Readily marketable equity — at fair value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73,774</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80" w:type="dxa"/>
            <w:vAlign w:val="bottom"/>
            <w:shd w:val="clear" w:color="auto" w:fill="CFF0FC"/>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 at cost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387,742</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9"/>
        </w:trPr>
        <w:tc>
          <w:tcPr>
            <w:tcW w:w="4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equity and other securities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461,516</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465,382</w:t>
            </w: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Pr>
          <w:p>
            <w:pPr>
              <w:spacing w:after="0"/>
              <w:rPr>
                <w:sz w:val="21"/>
                <w:szCs w:val="21"/>
                <w:color w:val="auto"/>
              </w:rPr>
            </w:pPr>
          </w:p>
        </w:tc>
      </w:tr>
      <w:tr>
        <w:trPr>
          <w:trHeight w:val="615"/>
        </w:trPr>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7"/>
              </w:rPr>
              <w:t>- 12 -</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-5871210</wp:posOffset>
            </wp:positionV>
            <wp:extent cx="6858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-5871210</wp:posOffset>
            </wp:positionV>
            <wp:extent cx="60325"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-5871210</wp:posOffset>
            </wp:positionV>
            <wp:extent cx="5969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-5871210</wp:posOffset>
            </wp:positionV>
            <wp:extent cx="5969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-4482465</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-4482465</wp:posOffset>
            </wp:positionV>
            <wp:extent cx="6032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-4482465</wp:posOffset>
            </wp:positionV>
            <wp:extent cx="5969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-4482465</wp:posOffset>
            </wp:positionV>
            <wp:extent cx="5969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-3899535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-3899535</wp:posOffset>
            </wp:positionV>
            <wp:extent cx="603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-3899535</wp:posOffset>
            </wp:positionV>
            <wp:extent cx="5969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-3899535</wp:posOffset>
            </wp:positionV>
            <wp:extent cx="5969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-2485390</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-2485390</wp:posOffset>
            </wp:positionV>
            <wp:extent cx="60325"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-2485390</wp:posOffset>
            </wp:positionV>
            <wp:extent cx="5969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-2485390</wp:posOffset>
            </wp:positionV>
            <wp:extent cx="5969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-1379220</wp:posOffset>
            </wp:positionV>
            <wp:extent cx="6858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-1379220</wp:posOffset>
            </wp:positionV>
            <wp:extent cx="6032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-1379220</wp:posOffset>
            </wp:positionV>
            <wp:extent cx="5969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-1379220</wp:posOffset>
            </wp:positionV>
            <wp:extent cx="5969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-1087755</wp:posOffset>
            </wp:positionV>
            <wp:extent cx="305181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51810" cy="16256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-504825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-487680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-504825</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-487680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-504825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-487680</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-504825</wp:posOffset>
            </wp:positionV>
            <wp:extent cx="596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-487680</wp:posOffset>
            </wp:positionV>
            <wp:extent cx="596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9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There were no significant gross realized gains or losses from sales of investment securities for the three-month and nine-month periods ended September 30, 2022 and 2021. Unrealized losses on equity securities were $1 million and $2 million during the three months and nine months ended September 30, 2022, respectively, compared with unrealized gains on equity securities of less than $1 million and unrealized losses of $23 million during the three months and nine months ended September 30, 2021, respectively.</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 September 30, 2022, the amortized cost and estimated fair value of debt securities by contractual maturity were as follows:</w:t>
      </w:r>
    </w:p>
    <w:tbl>
      <w:tblPr>
        <w:tblLayout w:type="fixed"/>
        <w:tblInd w:w="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113"/>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2"/>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securities available for sale:</w:t>
            </w:r>
          </w:p>
        </w:tc>
        <w:tc>
          <w:tcPr>
            <w:tcW w:w="2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7,979,072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7,727,233</w:t>
            </w: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80" w:type="dxa"/>
            <w:vAlign w:val="bottom"/>
            <w:tcBorders>
              <w:bottom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8,090,427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7,832,829</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 available for sale</w:t>
            </w:r>
          </w:p>
        </w:tc>
        <w:tc>
          <w:tcPr>
            <w:tcW w:w="2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3,249,728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3,037,517</w:t>
            </w:r>
          </w:p>
        </w:tc>
        <w:tc>
          <w:tcPr>
            <w:tcW w:w="80" w:type="dxa"/>
            <w:vAlign w:val="bottom"/>
            <w:tcBorders>
              <w:bottom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11,340,155</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10,870,346</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Debt securities held to maturity:</w:t>
            </w:r>
          </w:p>
        </w:tc>
        <w:tc>
          <w:tcPr>
            <w:tcW w:w="2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292,223</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290,088</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1,096,658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1,045,997</w:t>
            </w: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1,045,507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992,244</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1,430,873</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1,265,674</w:t>
            </w:r>
          </w:p>
        </w:tc>
        <w:tc>
          <w:tcPr>
            <w:tcW w:w="80" w:type="dxa"/>
            <w:vAlign w:val="bottom"/>
            <w:tcBorders>
              <w:bottom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3,594,003</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 held to maturity</w:t>
            </w:r>
          </w:p>
        </w:tc>
        <w:tc>
          <w:tcPr>
            <w:tcW w:w="2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9,033,601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7,960,652</w:t>
            </w:r>
          </w:p>
        </w:tc>
        <w:tc>
          <w:tcPr>
            <w:tcW w:w="80" w:type="dxa"/>
            <w:vAlign w:val="bottom"/>
            <w:tcBorders>
              <w:bottom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12,898,862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11,554,655</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- 13 -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-2082165</wp:posOffset>
            </wp:positionV>
            <wp:extent cx="5969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-2082165</wp:posOffset>
            </wp:positionV>
            <wp:extent cx="5143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-1799590</wp:posOffset>
            </wp:positionV>
            <wp:extent cx="5969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-1799590</wp:posOffset>
            </wp:positionV>
            <wp:extent cx="5143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-942340</wp:posOffset>
            </wp:positionV>
            <wp:extent cx="5969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-942340</wp:posOffset>
            </wp:positionV>
            <wp:extent cx="51435"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-659765</wp:posOffset>
            </wp:positionV>
            <wp:extent cx="5969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-659765</wp:posOffset>
            </wp:positionV>
            <wp:extent cx="5143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98" w:lineRule="exact"/>
        <w:rPr>
          <w:sz w:val="20"/>
          <w:szCs w:val="20"/>
          <w:color w:val="auto"/>
        </w:rPr>
      </w:pPr>
    </w:p>
    <w:p>
      <w:pPr>
        <w:jc w:val="both"/>
        <w:ind w:right="20" w:firstLine="509"/>
        <w:spacing w:after="0" w:line="245" w:lineRule="auto"/>
        <w:rPr>
          <w:sz w:val="20"/>
          <w:szCs w:val="20"/>
          <w:color w:val="auto"/>
        </w:rPr>
      </w:pPr>
      <w:r>
        <w:rPr>
          <w:rFonts w:ascii="Times New Roman" w:cs="Times New Roman" w:eastAsia="Times New Roman" w:hAnsi="Times New Roman"/>
          <w:sz w:val="21"/>
          <w:szCs w:val="21"/>
          <w:color w:val="auto"/>
        </w:rPr>
        <w:t>A summary of investment securities that as of September 30, 2022 and December 31, 2021 had been in a continuous unrealized loss position for less than twelve months and those that had been in a continuous unrealized loss position for twelve months or longer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00" w:type="dxa"/>
            <w:vAlign w:val="bottom"/>
          </w:tcPr>
          <w:p>
            <w:pPr>
              <w:spacing w:after="0"/>
              <w:rPr>
                <w:sz w:val="14"/>
                <w:szCs w:val="14"/>
                <w:color w:val="auto"/>
              </w:rPr>
            </w:pPr>
          </w:p>
        </w:tc>
      </w:tr>
      <w:tr>
        <w:trPr>
          <w:trHeight w:val="131"/>
        </w:trPr>
        <w:tc>
          <w:tcPr>
            <w:tcW w:w="5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92"/>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r>
      <w:tr>
        <w:trPr>
          <w:trHeight w:val="187"/>
        </w:trPr>
        <w:tc>
          <w:tcPr>
            <w:tcW w:w="5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7,159,893</w:t>
            </w: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224,986</w:t>
            </w:r>
          </w:p>
        </w:tc>
        <w:tc>
          <w:tcPr>
            <w:tcW w:w="6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253,585</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2,401,907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204,279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Pr>
          <w:p>
            <w:pPr>
              <w:spacing w:after="0"/>
              <w:rPr>
                <w:sz w:val="18"/>
                <w:szCs w:val="18"/>
                <w:color w:val="auto"/>
              </w:rPr>
            </w:pPr>
          </w:p>
        </w:tc>
      </w:tr>
      <w:tr>
        <w:trPr>
          <w:trHeight w:val="209"/>
        </w:trPr>
        <w:tc>
          <w:tcPr>
            <w:tcW w:w="5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10,267,718</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439,273</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341,125</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1,146,912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49,618</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821,288</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148,290</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9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10,810,641</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1,196,827</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710,448</w:t>
            </w: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156,646</w:t>
            </w:r>
          </w:p>
        </w:tc>
        <w:tc>
          <w:tcPr>
            <w:tcW w:w="100" w:type="dxa"/>
            <w:vAlign w:val="bottom"/>
            <w:tcBorders>
              <w:bottom w:val="single" w:sz="8" w:color="CFF0FC"/>
            </w:tcBorders>
          </w:tcPr>
          <w:p>
            <w:pPr>
              <w:spacing w:after="0"/>
              <w:rPr>
                <w:sz w:val="18"/>
                <w:szCs w:val="18"/>
                <w:color w:val="auto"/>
              </w:rPr>
            </w:pPr>
          </w:p>
        </w:tc>
      </w:tr>
      <w:tr>
        <w:trPr>
          <w:trHeight w:val="250"/>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21,078,359</w:t>
            </w:r>
          </w:p>
        </w:tc>
        <w:tc>
          <w:tcPr>
            <w:tcW w:w="40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1,636,100</w:t>
            </w:r>
          </w:p>
        </w:tc>
        <w:tc>
          <w:tcPr>
            <w:tcW w:w="36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1,051,573</w:t>
            </w:r>
          </w:p>
        </w:tc>
        <w:tc>
          <w:tcPr>
            <w:tcW w:w="36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598,566</w:t>
            </w: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6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r>
      <w:tr>
        <w:trPr>
          <w:trHeight w:val="216"/>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debt securities</w:t>
            </w: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18"/>
                <w:szCs w:val="18"/>
                <w:color w:val="auto"/>
              </w:rPr>
            </w:pPr>
          </w:p>
        </w:tc>
      </w:tr>
      <w:tr>
        <w:trPr>
          <w:trHeight w:val="22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1,372,236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Privately issued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100" w:type="dxa"/>
            <w:vAlign w:val="bottom"/>
          </w:tcPr>
          <w:p>
            <w:pPr>
              <w:spacing w:after="0"/>
              <w:rPr>
                <w:sz w:val="18"/>
                <w:szCs w:val="18"/>
                <w:color w:val="auto"/>
              </w:rPr>
            </w:pPr>
          </w:p>
        </w:tc>
      </w:tr>
      <w:tr>
        <w:trPr>
          <w:trHeight w:val="210"/>
        </w:trPr>
        <w:tc>
          <w:tcPr>
            <w:tcW w:w="5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1,375,279</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1,987,716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6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-3908425</wp:posOffset>
            </wp:positionV>
            <wp:extent cx="7683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-3908425</wp:posOffset>
            </wp:positionV>
            <wp:extent cx="6858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-3908425</wp:posOffset>
            </wp:positionV>
            <wp:extent cx="6858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-2802255</wp:posOffset>
            </wp:positionV>
            <wp:extent cx="2717165" cy="4540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17165" cy="45402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-1336675</wp:posOffset>
            </wp:positionV>
            <wp:extent cx="7683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-1336675</wp:posOffset>
            </wp:positionV>
            <wp:extent cx="685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-1336675</wp:posOffset>
            </wp:positionV>
            <wp:extent cx="6858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1"/>
          <w:szCs w:val="21"/>
          <w:color w:val="auto"/>
        </w:rPr>
        <w:t>The Company owned 4,330 individual debt securities with aggregate gross unrealized losses of $1.8 billion at September 30, 2022. Based on a review of each of the securities in the investment securities portfolio at September 30, 2022, the Company concluded that it expected to recover the amortized cost basis of its investment. As of September 30, 2022, the Company does not intend to sell nor is it anticipated that it would be required to sell any of its impaired investment securities at a loss. At September 30, 2022, the Company has not identified events or changes in circumstances which may have a significant adverse effect on the fair value of the $640 million of cost method equity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Investment securities, continued</w:t>
      </w:r>
    </w:p>
    <w:p>
      <w:pPr>
        <w:spacing w:after="0" w:line="98" w:lineRule="exact"/>
        <w:rPr>
          <w:sz w:val="20"/>
          <w:szCs w:val="20"/>
          <w:color w:val="auto"/>
        </w:rPr>
      </w:pPr>
    </w:p>
    <w:p>
      <w:pPr>
        <w:jc w:val="both"/>
        <w:ind w:firstLine="469"/>
        <w:spacing w:after="0" w:line="270" w:lineRule="auto"/>
        <w:rPr>
          <w:sz w:val="20"/>
          <w:szCs w:val="20"/>
          <w:color w:val="auto"/>
        </w:rPr>
      </w:pPr>
      <w:r>
        <w:rPr>
          <w:rFonts w:ascii="Times New Roman" w:cs="Times New Roman" w:eastAsia="Times New Roman" w:hAnsi="Times New Roman"/>
          <w:sz w:val="21"/>
          <w:szCs w:val="21"/>
          <w:color w:val="auto"/>
        </w:rPr>
        <w:t>The Company estimated no material allowance for credit losses for its investment securities classified as held-to-maturity at September 30, 2022 or December 31, 2021.</w:t>
      </w:r>
    </w:p>
    <w:p>
      <w:pPr>
        <w:spacing w:after="0" w:line="51" w:lineRule="exact"/>
        <w:rPr>
          <w:sz w:val="20"/>
          <w:szCs w:val="20"/>
          <w:color w:val="auto"/>
        </w:rPr>
      </w:pPr>
    </w:p>
    <w:p>
      <w:pPr>
        <w:jc w:val="both"/>
        <w:ind w:firstLine="469"/>
        <w:spacing w:after="0" w:line="249" w:lineRule="auto"/>
        <w:rPr>
          <w:sz w:val="20"/>
          <w:szCs w:val="20"/>
          <w:color w:val="auto"/>
        </w:rPr>
      </w:pPr>
      <w:r>
        <w:rPr>
          <w:rFonts w:ascii="Times New Roman" w:cs="Times New Roman" w:eastAsia="Times New Roman" w:hAnsi="Times New Roman"/>
          <w:sz w:val="21"/>
          <w:szCs w:val="21"/>
          <w:color w:val="auto"/>
        </w:rPr>
        <w:t>At September 30, 2022 and December 31, 2021 investment securities with carrying values of $10.3 billion (including $581 million related to repurchase transactions) and $5.1 billion (including $96 million related to repurchase transactions), respectively, were pledged to secure borrowings, lines of credit and governmental deposits.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current, past due and nonaccrual loans as of September 30, 2022 and December 31, 2021 follows:</w:t>
      </w:r>
    </w:p>
    <w:p>
      <w:pPr>
        <w:spacing w:after="0" w:line="1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Accruing</w:t>
      </w:r>
    </w:p>
    <w:p>
      <w:pPr>
        <w:ind w:left="7380"/>
        <w:spacing w:after="0"/>
        <w:rPr>
          <w:sz w:val="20"/>
          <w:szCs w:val="20"/>
          <w:color w:val="auto"/>
        </w:rPr>
      </w:pPr>
      <w:r>
        <w:rPr>
          <w:rFonts w:ascii="Times New Roman" w:cs="Times New Roman" w:eastAsia="Times New Roman" w:hAnsi="Times New Roman"/>
          <w:sz w:val="14"/>
          <w:szCs w:val="14"/>
          <w:b w:val="1"/>
          <w:bCs w:val="1"/>
          <w:color w:val="auto"/>
        </w:rPr>
        <w:t>Loans Past</w:t>
      </w:r>
    </w:p>
    <w:tbl>
      <w:tblPr>
        <w:tblLayout w:type="fixed"/>
        <w:tblInd w:w="0" w:type="dxa"/>
        <w:tblCellMar>
          <w:top w:w="0" w:type="dxa"/>
          <w:left w:w="0" w:type="dxa"/>
          <w:bottom w:w="0" w:type="dxa"/>
          <w:right w:w="0" w:type="dxa"/>
        </w:tblCellMar>
      </w:tblPr>
      <w:tr>
        <w:trPr>
          <w:trHeight w:val="132"/>
        </w:trPr>
        <w:tc>
          <w:tcPr>
            <w:tcW w:w="4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300"/>
              <w:spacing w:after="0" w:line="132" w:lineRule="exact"/>
              <w:rPr>
                <w:sz w:val="20"/>
                <w:szCs w:val="20"/>
                <w:color w:val="auto"/>
              </w:rPr>
            </w:pPr>
            <w:r>
              <w:rPr>
                <w:rFonts w:ascii="Times New Roman" w:cs="Times New Roman" w:eastAsia="Times New Roman" w:hAnsi="Times New Roman"/>
                <w:sz w:val="14"/>
                <w:szCs w:val="14"/>
                <w:b w:val="1"/>
                <w:bCs w:val="1"/>
                <w:color w:val="auto"/>
              </w:rPr>
              <w:t>Due 90</w:t>
            </w: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gridSpan w:val="2"/>
            <w:vMerge w:val="restart"/>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30-89 Days</w:t>
            </w:r>
          </w:p>
        </w:tc>
        <w:tc>
          <w:tcPr>
            <w:tcW w:w="80" w:type="dxa"/>
            <w:vAlign w:val="bottom"/>
          </w:tcPr>
          <w:p>
            <w:pPr>
              <w:spacing w:after="0"/>
              <w:rPr>
                <w:sz w:val="13"/>
                <w:szCs w:val="13"/>
                <w:color w:val="auto"/>
              </w:rPr>
            </w:pPr>
          </w:p>
        </w:tc>
        <w:tc>
          <w:tcPr>
            <w:tcW w:w="12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Days or</w:t>
            </w:r>
          </w:p>
        </w:tc>
        <w:tc>
          <w:tcPr>
            <w:tcW w:w="20" w:type="dxa"/>
            <w:vAlign w:val="bottom"/>
          </w:tcPr>
          <w:p>
            <w:pPr>
              <w:spacing w:after="0"/>
              <w:rPr>
                <w:sz w:val="13"/>
                <w:szCs w:val="13"/>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2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More</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37,938,053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368,166</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35,880,425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1,406,200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37,552,494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1,377,505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6,981,412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66,187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20,709,362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580,357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411,731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285,395</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21,986,845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95,382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78,208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Recreational finance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8,738,849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41,758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38,718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8,819,325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Automobile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4,282,895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40,318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1,897,867</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48,822</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123,740,992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1,578,766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476,503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2,429,326</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128,225,587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23,101,810</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142,208</w:t>
            </w:r>
          </w:p>
        </w:tc>
        <w:tc>
          <w:tcPr>
            <w:tcW w:w="1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8,284</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221,022</w:t>
            </w:r>
          </w:p>
        </w:tc>
        <w:tc>
          <w:tcPr>
            <w:tcW w:w="2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23,473,324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24,712,643</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319,099</w:t>
            </w:r>
          </w:p>
        </w:tc>
        <w:tc>
          <w:tcPr>
            <w:tcW w:w="1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1,069,280</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26,132,755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 builder and developer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1,400,437</w:t>
            </w:r>
          </w:p>
        </w:tc>
        <w:tc>
          <w:tcPr>
            <w:tcW w:w="8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commercial construction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7,722,049</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7,850,629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13,294,872</w:t>
            </w:r>
          </w:p>
        </w:tc>
        <w:tc>
          <w:tcPr>
            <w:tcW w:w="8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239,561</w:t>
            </w: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920,080</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355,858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Residential — limited documentation</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1,124,520</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3,476,617</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70,488</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Recreational finance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7,985,173</w:t>
            </w:r>
          </w:p>
        </w:tc>
        <w:tc>
          <w:tcPr>
            <w:tcW w:w="8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Automobile</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4,604,772</w:t>
            </w:r>
          </w:p>
        </w:tc>
        <w:tc>
          <w:tcPr>
            <w:tcW w:w="8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40,064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34,037</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4,678,873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1,620,147</w:t>
            </w:r>
          </w:p>
        </w:tc>
        <w:tc>
          <w:tcPr>
            <w:tcW w:w="8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12,223</w:t>
            </w:r>
          </w:p>
        </w:tc>
        <w:tc>
          <w:tcPr>
            <w:tcW w:w="1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89,043,040</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845,930</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963,399</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2,060,083</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92,912,452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-2253615</wp:posOffset>
            </wp:positionV>
            <wp:extent cx="7747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-2253615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-2253615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-2253615</wp:posOffset>
            </wp:positionV>
            <wp:extent cx="685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-25400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At September 30, 2022 and December 31, 2021, the Company had $39 million and $1.2 billion, respectively, of outstanding loan balances, consisting predominantly of residential real estate loans, for which COVID-19 related payment deferrals were granted. Those loans met the criteria described in note 1 of Notes to Financial Statements in the 2021 Annual Report and, accordingly, are not considered past due or otherwise in default of loan terms as of the date presented. Included in those loan balances were $20 million and $974 million of government-guaranteed loans at September 30, 2022 and December 31, 2021, respectively. Payment deferrals are generally scheduled to expire in 2022 and/or are in the process of formal modification of repayment terms for previously deferred payments.</w:t>
      </w:r>
    </w:p>
    <w:p>
      <w:pPr>
        <w:spacing w:after="0" w:line="8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One-to-four family residential mortgage loans held for sale were $43 million and $474 million at September 30, 2022 and December 31, 2021, respectively. Commercial real estate loans held for sale were $300 million at September 30, 2022 and $425 million at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ind w:right="5500" w:firstLine="8"/>
        <w:spacing w:after="0" w:line="343" w:lineRule="auto"/>
        <w:tabs>
          <w:tab w:leader="none" w:pos="207" w:val="left"/>
        </w:tabs>
        <w:numPr>
          <w:ilvl w:val="0"/>
          <w:numId w:val="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Credit quality indicators</w:t>
      </w: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21"/>
          <w:szCs w:val="21"/>
          <w:color w:val="auto"/>
        </w:rPr>
        <w:t>The following table summarizes the loan grades applied at September 30, 2022 to the various classes of the Company’s commercial loans and commercial real estate loans by origination year.</w:t>
      </w:r>
    </w:p>
    <w:tbl>
      <w:tblPr>
        <w:tblLayout w:type="fixed"/>
        <w:tblInd w:w="0" w:type="dxa"/>
        <w:tblCellMar>
          <w:top w:w="0" w:type="dxa"/>
          <w:left w:w="0" w:type="dxa"/>
          <w:bottom w:w="0" w:type="dxa"/>
          <w:right w:w="0" w:type="dxa"/>
        </w:tblCellMar>
      </w:tblPr>
      <w:tr>
        <w:trPr>
          <w:trHeight w:val="108"/>
        </w:trPr>
        <w:tc>
          <w:tcPr>
            <w:tcW w:w="3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w w:val="98"/>
              </w:rPr>
              <w:t>Term Loans by Origination Year</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Term</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60" w:type="dxa"/>
            <w:vAlign w:val="bottom"/>
          </w:tcPr>
          <w:p>
            <w:pPr>
              <w:spacing w:after="0"/>
              <w:rPr>
                <w:sz w:val="12"/>
                <w:szCs w:val="12"/>
                <w:color w:val="auto"/>
              </w:rPr>
            </w:pPr>
          </w:p>
        </w:tc>
        <w:tc>
          <w:tcPr>
            <w:tcW w:w="5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20" w:type="dxa"/>
            <w:vAlign w:val="bottom"/>
          </w:tcPr>
          <w:p>
            <w:pPr>
              <w:spacing w:after="0"/>
              <w:rPr>
                <w:sz w:val="12"/>
                <w:szCs w:val="12"/>
                <w:color w:val="auto"/>
              </w:rPr>
            </w:pPr>
          </w:p>
        </w:tc>
        <w:tc>
          <w:tcPr>
            <w:tcW w:w="5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2"/>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Commercial, financial, leasing, etc.:</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rPr>
              <w:t>(In</w:t>
            </w:r>
          </w:p>
        </w:tc>
        <w:tc>
          <w:tcPr>
            <w:tcW w:w="920" w:type="dxa"/>
            <w:vAlign w:val="bottom"/>
            <w:gridSpan w:val="2"/>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w w:val="85"/>
              </w:rPr>
              <w:t>thousands)</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260" w:type="dxa"/>
            <w:vAlign w:val="bottom"/>
          </w:tcPr>
          <w:p>
            <w:pPr>
              <w:ind w:left="320"/>
              <w:spacing w:after="0" w:line="114" w:lineRule="exact"/>
              <w:rPr>
                <w:sz w:val="20"/>
                <w:szCs w:val="20"/>
                <w:color w:val="auto"/>
              </w:rPr>
            </w:pPr>
            <w:r>
              <w:rPr>
                <w:rFonts w:ascii="Times New Roman" w:cs="Times New Roman" w:eastAsia="Times New Roman" w:hAnsi="Times New Roman"/>
                <w:sz w:val="12"/>
                <w:szCs w:val="12"/>
                <w:color w:val="auto"/>
              </w:rPr>
              <w:t>Pass</w:t>
            </w: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5,781,78</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5,344,49</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2,395,09</w:t>
            </w:r>
          </w:p>
        </w:tc>
        <w:tc>
          <w:tcPr>
            <w:tcW w:w="8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2,002,26</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984,260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2,170,726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17,905,476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33,403</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36,617,515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Criticized accrual</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183,126</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255,935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159,898</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119,906</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67,885</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302,787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715,190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17,541</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1,822,268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Criticized nonaccrual</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15,954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47,840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42,491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43,953</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64,076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110,414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5,649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368,166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commercial,</w:t>
            </w:r>
          </w:p>
        </w:tc>
        <w:tc>
          <w:tcPr>
            <w:tcW w:w="12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5,980,86</w:t>
            </w: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5,648,27</w:t>
            </w: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2,597,48</w:t>
            </w:r>
          </w:p>
        </w:tc>
        <w:tc>
          <w:tcPr>
            <w:tcW w:w="260" w:type="dxa"/>
            <w:vAlign w:val="bottom"/>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2,166,12</w:t>
            </w:r>
          </w:p>
        </w:tc>
        <w:tc>
          <w:tcPr>
            <w:tcW w:w="2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1,089,93</w:t>
            </w:r>
          </w:p>
        </w:tc>
        <w:tc>
          <w:tcPr>
            <w:tcW w:w="22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60" w:type="dxa"/>
            <w:vAlign w:val="bottom"/>
            <w:vMerge w:val="continue"/>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2,537,589</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18,731,080</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56,593</w:t>
            </w:r>
          </w:p>
        </w:tc>
        <w:tc>
          <w:tcPr>
            <w:tcW w:w="420" w:type="dxa"/>
            <w:vAlign w:val="bottom"/>
            <w:gridSpan w:val="2"/>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38,807,949</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26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financial, leasing, etc.</w:t>
            </w:r>
          </w:p>
        </w:tc>
        <w:tc>
          <w:tcPr>
            <w:tcW w:w="120" w:type="dxa"/>
            <w:vAlign w:val="bottom"/>
            <w:vMerge w:val="continue"/>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Real estate:</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60" w:type="dxa"/>
            <w:vAlign w:val="bottom"/>
          </w:tcPr>
          <w:p>
            <w:pPr>
              <w:ind w:left="320"/>
              <w:spacing w:after="0" w:line="114" w:lineRule="exact"/>
              <w:rPr>
                <w:sz w:val="20"/>
                <w:szCs w:val="20"/>
                <w:color w:val="auto"/>
              </w:rPr>
            </w:pPr>
            <w:r>
              <w:rPr>
                <w:rFonts w:ascii="Times New Roman" w:cs="Times New Roman" w:eastAsia="Times New Roman" w:hAnsi="Times New Roman"/>
                <w:sz w:val="12"/>
                <w:szCs w:val="12"/>
                <w:color w:val="auto"/>
              </w:rPr>
              <w:t>Pass</w:t>
            </w:r>
          </w:p>
        </w:tc>
        <w:tc>
          <w:tcPr>
            <w:tcW w:w="120" w:type="dxa"/>
            <w:vAlign w:val="bottom"/>
          </w:tcPr>
          <w:p>
            <w:pPr>
              <w:spacing w:after="0"/>
              <w:rPr>
                <w:sz w:val="9"/>
                <w:szCs w:val="9"/>
                <w:color w:val="auto"/>
              </w:rPr>
            </w:pPr>
          </w:p>
        </w:tc>
        <w:tc>
          <w:tcPr>
            <w:tcW w:w="4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3,169,81</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3,566,81</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3,480,60</w:t>
            </w:r>
          </w:p>
        </w:tc>
        <w:tc>
          <w:tcPr>
            <w:tcW w:w="8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4,628,81</w:t>
            </w:r>
          </w:p>
        </w:tc>
        <w:tc>
          <w:tcPr>
            <w:tcW w:w="220" w:type="dxa"/>
            <w:vAlign w:val="bottom"/>
          </w:tcPr>
          <w:p>
            <w:pPr>
              <w:spacing w:after="0"/>
              <w:rPr>
                <w:sz w:val="9"/>
                <w:szCs w:val="9"/>
                <w:color w:val="auto"/>
              </w:rPr>
            </w:pP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2"/>
                <w:szCs w:val="12"/>
                <w:color w:val="auto"/>
              </w:rPr>
              <w:t>3,534,62</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11,778,026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852,233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45,264</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31,056,194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60" w:type="dxa"/>
            <w:vAlign w:val="bottom"/>
            <w:shd w:val="clear" w:color="auto" w:fill="CFF0FC"/>
          </w:tcPr>
          <w:p>
            <w:pPr>
              <w:ind w:left="320"/>
              <w:spacing w:after="0" w:line="117" w:lineRule="exact"/>
              <w:rPr>
                <w:sz w:val="20"/>
                <w:szCs w:val="20"/>
                <w:color w:val="auto"/>
              </w:rPr>
            </w:pPr>
            <w:r>
              <w:rPr>
                <w:rFonts w:ascii="Times New Roman" w:cs="Times New Roman" w:eastAsia="Times New Roman" w:hAnsi="Times New Roman"/>
                <w:sz w:val="12"/>
                <w:szCs w:val="12"/>
                <w:color w:val="auto"/>
              </w:rPr>
              <w:t>Criticized accrual</w:t>
            </w: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spacing w:after="0" w:line="117" w:lineRule="exact"/>
              <w:rPr>
                <w:sz w:val="20"/>
                <w:szCs w:val="20"/>
                <w:color w:val="auto"/>
              </w:rPr>
            </w:pPr>
            <w:r>
              <w:rPr>
                <w:rFonts w:ascii="Times New Roman" w:cs="Times New Roman" w:eastAsia="Times New Roman" w:hAnsi="Times New Roman"/>
                <w:sz w:val="12"/>
                <w:szCs w:val="12"/>
                <w:color w:val="auto"/>
              </w:rPr>
              <w:t>1,028,85</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2"/>
                <w:szCs w:val="12"/>
                <w:color w:val="auto"/>
              </w:rPr>
              <w:t>1,040,89</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116,303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325,114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532,354</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1,987,906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58,670</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5,090,100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Criticized nonaccrual</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9,119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199,654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185,468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187,115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791,882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23,649</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commercial real</w:t>
            </w:r>
          </w:p>
        </w:tc>
        <w:tc>
          <w:tcPr>
            <w:tcW w:w="12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3,295,42</w:t>
            </w: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3,901,04</w:t>
            </w: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4,212,61</w:t>
            </w:r>
          </w:p>
        </w:tc>
        <w:tc>
          <w:tcPr>
            <w:tcW w:w="260" w:type="dxa"/>
            <w:vAlign w:val="bottom"/>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5,843,13</w:t>
            </w:r>
          </w:p>
        </w:tc>
        <w:tc>
          <w:tcPr>
            <w:tcW w:w="2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4,762,64</w:t>
            </w:r>
          </w:p>
        </w:tc>
        <w:tc>
          <w:tcPr>
            <w:tcW w:w="22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60" w:type="dxa"/>
            <w:vAlign w:val="bottom"/>
            <w:vMerge w:val="continue"/>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9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14,557,814</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934,552</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45,264</w:t>
            </w:r>
          </w:p>
        </w:tc>
        <w:tc>
          <w:tcPr>
            <w:tcW w:w="420" w:type="dxa"/>
            <w:vAlign w:val="bottom"/>
            <w:gridSpan w:val="2"/>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37,552,494</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26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estate</w:t>
            </w:r>
          </w:p>
        </w:tc>
        <w:tc>
          <w:tcPr>
            <w:tcW w:w="120" w:type="dxa"/>
            <w:vAlign w:val="bottom"/>
            <w:vMerge w:val="continue"/>
            <w:shd w:val="clear" w:color="auto" w:fill="CFF0FC"/>
          </w:tcPr>
          <w:p>
            <w:pPr>
              <w:spacing w:after="0"/>
              <w:rPr>
                <w:sz w:val="13"/>
                <w:szCs w:val="13"/>
                <w:color w:val="auto"/>
              </w:rPr>
            </w:pPr>
          </w:p>
        </w:tc>
        <w:tc>
          <w:tcPr>
            <w:tcW w:w="460" w:type="dxa"/>
            <w:vAlign w:val="bottom"/>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20" w:type="dxa"/>
            <w:vAlign w:val="bottom"/>
            <w:gridSpan w:val="2"/>
            <w:vMerge w:val="continue"/>
            <w:shd w:val="clear" w:color="auto" w:fill="CFF0FC"/>
          </w:tcPr>
          <w:p>
            <w:pPr>
              <w:spacing w:after="0"/>
              <w:rPr>
                <w:sz w:val="13"/>
                <w:szCs w:val="13"/>
                <w:color w:val="auto"/>
              </w:rPr>
            </w:pPr>
          </w:p>
        </w:tc>
        <w:tc>
          <w:tcPr>
            <w:tcW w:w="800" w:type="dxa"/>
            <w:vAlign w:val="bottom"/>
            <w:gridSpan w:val="2"/>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vMerge w:val="continue"/>
            <w:shd w:val="clear" w:color="auto" w:fill="CFF0FC"/>
          </w:tcPr>
          <w:p>
            <w:pPr>
              <w:spacing w:after="0"/>
              <w:rPr>
                <w:sz w:val="13"/>
                <w:szCs w:val="13"/>
                <w:color w:val="auto"/>
              </w:rPr>
            </w:pPr>
          </w:p>
        </w:tc>
        <w:tc>
          <w:tcPr>
            <w:tcW w:w="92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2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builder and developer:</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Pass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561,314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367,867</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33,935</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31,596</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18,574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9,878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169,941</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1,193,105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Criticized accrual</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23,263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11,294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107,408</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27,921</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184,462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Criticized nonaccrual</w:t>
            </w:r>
          </w:p>
        </w:tc>
        <w:tc>
          <w:tcPr>
            <w:tcW w:w="12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240" w:type="dxa"/>
            <w:vAlign w:val="bottom"/>
            <w:tcBorders>
              <w:bottom w:val="single" w:sz="8" w:color="CFF0FC"/>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1,930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residential builder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561,314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391,784</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45,229</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139,522</w:t>
            </w:r>
          </w:p>
        </w:tc>
        <w:tc>
          <w:tcPr>
            <w:tcW w:w="22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33,088</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10,698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197,862</w:t>
            </w:r>
          </w:p>
        </w:tc>
        <w:tc>
          <w:tcPr>
            <w:tcW w:w="2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1,379,497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26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and developer</w:t>
            </w:r>
          </w:p>
        </w:tc>
        <w:tc>
          <w:tcPr>
            <w:tcW w:w="1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commercial construction: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3260" w:type="dxa"/>
            <w:vAlign w:val="bottom"/>
          </w:tcPr>
          <w:p>
            <w:pPr>
              <w:ind w:left="320"/>
              <w:spacing w:after="0" w:line="114" w:lineRule="exact"/>
              <w:rPr>
                <w:sz w:val="20"/>
                <w:szCs w:val="20"/>
                <w:color w:val="auto"/>
              </w:rPr>
            </w:pPr>
            <w:r>
              <w:rPr>
                <w:rFonts w:ascii="Times New Roman" w:cs="Times New Roman" w:eastAsia="Times New Roman" w:hAnsi="Times New Roman"/>
                <w:sz w:val="12"/>
                <w:szCs w:val="12"/>
                <w:color w:val="auto"/>
              </w:rPr>
              <w:t>Pass</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1,079,32</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1,388,73</w:t>
            </w:r>
          </w:p>
        </w:tc>
        <w:tc>
          <w:tcPr>
            <w:tcW w:w="80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2"/>
                <w:szCs w:val="12"/>
                <w:color w:val="auto"/>
              </w:rPr>
              <w:t>1,431,83</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2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526,338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401,870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327,992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23,584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5,180,302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2"/>
                <w:szCs w:val="12"/>
                <w:color w:val="auto"/>
              </w:rPr>
              <w:t>Criticized accrual</w:t>
            </w:r>
          </w:p>
        </w:tc>
        <w:tc>
          <w:tcPr>
            <w:tcW w:w="12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46,282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163,004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249,622</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971,447</w:t>
            </w: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386,480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136,358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6,992</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1,960,185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Criticized nonaccrual</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25,352</w:t>
            </w: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10,588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27,814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2,433</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other commercial</w:t>
            </w:r>
          </w:p>
        </w:tc>
        <w:tc>
          <w:tcPr>
            <w:tcW w:w="120" w:type="dxa"/>
            <w:vAlign w:val="bottom"/>
            <w:tcBorders>
              <w:top w:val="single" w:sz="8" w:color="auto"/>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1,242,33</w:t>
            </w: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1,638,35</w:t>
            </w:r>
          </w:p>
        </w:tc>
        <w:tc>
          <w:tcPr>
            <w:tcW w:w="260" w:type="dxa"/>
            <w:vAlign w:val="bottom"/>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7" w:lineRule="exact"/>
              <w:rPr>
                <w:sz w:val="20"/>
                <w:szCs w:val="20"/>
                <w:color w:val="auto"/>
              </w:rPr>
            </w:pPr>
            <w:r>
              <w:rPr>
                <w:rFonts w:ascii="Times New Roman" w:cs="Times New Roman" w:eastAsia="Times New Roman" w:hAnsi="Times New Roman"/>
                <w:sz w:val="12"/>
                <w:szCs w:val="12"/>
                <w:color w:val="auto"/>
              </w:rPr>
              <w:t>2,428,63</w:t>
            </w:r>
          </w:p>
        </w:tc>
        <w:tc>
          <w:tcPr>
            <w:tcW w:w="220" w:type="dxa"/>
            <w:vAlign w:val="bottom"/>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260" w:type="dxa"/>
            <w:vAlign w:val="bottom"/>
            <w:vMerge w:val="continue"/>
            <w:shd w:val="clear" w:color="auto" w:fill="CFF0FC"/>
          </w:tcPr>
          <w:p>
            <w:pPr>
              <w:spacing w:after="0"/>
              <w:rPr>
                <w:sz w:val="3"/>
                <w:szCs w:val="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572,620</w:t>
            </w:r>
          </w:p>
        </w:tc>
        <w:tc>
          <w:tcPr>
            <w:tcW w:w="240" w:type="dxa"/>
            <w:vAlign w:val="bottom"/>
            <w:vMerge w:val="restart"/>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vMerge w:val="restart"/>
            <w:shd w:val="clear" w:color="auto" w:fill="CFF0FC"/>
          </w:tcPr>
          <w:p>
            <w:pPr>
              <w:spacing w:after="0"/>
              <w:rPr>
                <w:sz w:val="3"/>
                <w:szCs w:val="3"/>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60" w:type="dxa"/>
            <w:vAlign w:val="bottom"/>
            <w:vMerge w:val="restart"/>
            <w:shd w:val="clear" w:color="auto" w:fill="CFF0FC"/>
          </w:tcPr>
          <w:p>
            <w:pPr>
              <w:spacing w:after="0"/>
              <w:rPr>
                <w:sz w:val="3"/>
                <w:szCs w:val="3"/>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CFF0FC"/>
          </w:tcPr>
          <w:p>
            <w:pPr>
              <w:spacing w:after="0"/>
              <w:rPr>
                <w:sz w:val="3"/>
                <w:szCs w:val="3"/>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798,938</w:t>
            </w:r>
          </w:p>
        </w:tc>
        <w:tc>
          <w:tcPr>
            <w:tcW w:w="220" w:type="dxa"/>
            <w:vAlign w:val="bottom"/>
            <w:vMerge w:val="restart"/>
            <w:shd w:val="clear" w:color="auto" w:fill="CFF0FC"/>
          </w:tcPr>
          <w:p>
            <w:pPr>
              <w:spacing w:after="0"/>
              <w:rPr>
                <w:sz w:val="3"/>
                <w:szCs w:val="3"/>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492,164</w:t>
            </w:r>
          </w:p>
        </w:tc>
        <w:tc>
          <w:tcPr>
            <w:tcW w:w="220" w:type="dxa"/>
            <w:vAlign w:val="bottom"/>
            <w:vMerge w:val="restart"/>
            <w:shd w:val="clear" w:color="auto" w:fill="CFF0FC"/>
          </w:tcPr>
          <w:p>
            <w:pPr>
              <w:spacing w:after="0"/>
              <w:rPr>
                <w:sz w:val="3"/>
                <w:szCs w:val="3"/>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33,009</w:t>
            </w:r>
          </w:p>
        </w:tc>
        <w:tc>
          <w:tcPr>
            <w:tcW w:w="220" w:type="dxa"/>
            <w:vAlign w:val="bottom"/>
            <w:vMerge w:val="restart"/>
            <w:shd w:val="clear" w:color="auto" w:fill="CFF0FC"/>
          </w:tcPr>
          <w:p>
            <w:pPr>
              <w:spacing w:after="0"/>
              <w:rPr>
                <w:sz w:val="3"/>
                <w:szCs w:val="3"/>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618</w:t>
            </w:r>
          </w:p>
        </w:tc>
        <w:tc>
          <w:tcPr>
            <w:tcW w:w="220" w:type="dxa"/>
            <w:vAlign w:val="bottom"/>
            <w:vMerge w:val="restart"/>
            <w:shd w:val="clear" w:color="auto" w:fill="CFF0FC"/>
          </w:tcPr>
          <w:p>
            <w:pPr>
              <w:spacing w:after="0"/>
              <w:rPr>
                <w:sz w:val="3"/>
                <w:szCs w:val="3"/>
                <w:color w:val="auto"/>
              </w:rPr>
            </w:pPr>
          </w:p>
        </w:tc>
        <w:tc>
          <w:tcPr>
            <w:tcW w:w="2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7,206,674</w:t>
            </w: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construction</w:t>
            </w: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4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58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5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-2639695</wp:posOffset>
            </wp:positionV>
            <wp:extent cx="469773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697730" cy="1200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-1619250</wp:posOffset>
            </wp:positionV>
            <wp:extent cx="469773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697730" cy="12001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-1028065</wp:posOffset>
            </wp:positionV>
            <wp:extent cx="76835" cy="1803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-1028065</wp:posOffset>
            </wp:positionV>
            <wp:extent cx="76835"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-1028065</wp:posOffset>
            </wp:positionV>
            <wp:extent cx="76835"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-1028065</wp:posOffset>
            </wp:positionV>
            <wp:extent cx="68580"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-1028065</wp:posOffset>
            </wp:positionV>
            <wp:extent cx="6858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-1028065</wp:posOffset>
            </wp:positionV>
            <wp:extent cx="68580" cy="1803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-1028065</wp:posOffset>
            </wp:positionV>
            <wp:extent cx="6858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-1028065</wp:posOffset>
            </wp:positionV>
            <wp:extent cx="6858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9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1"/>
          <w:szCs w:val="21"/>
          <w:color w:val="auto"/>
        </w:rPr>
        <w:t>The Company considers repayment performance a significant indicator of credit quality for its residential real estate loan and consumer loan portfolios. A summary of loans in accrual and nonaccrual status at September 30, 2022 for the various classes of the Company’s residential real estate loans and consumer loans by origination year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7"/>
              </w:rPr>
              <w:t>Term Loans by Origination Year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7"/>
              </w:rPr>
              <w:t>Term</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2019</w:t>
            </w: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Pr>
          <w:p>
            <w:pPr>
              <w:spacing w:after="0"/>
              <w:rPr>
                <w:sz w:val="12"/>
                <w:szCs w:val="12"/>
                <w:color w:val="auto"/>
              </w:rPr>
            </w:pPr>
          </w:p>
        </w:tc>
        <w:tc>
          <w:tcPr>
            <w:tcW w:w="800" w:type="dxa"/>
            <w:vAlign w:val="bottom"/>
          </w:tcPr>
          <w:p>
            <w:pPr>
              <w:jc w:val="right"/>
              <w:ind w:right="22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00" w:type="dxa"/>
            <w:vAlign w:val="bottom"/>
          </w:tcPr>
          <w:p>
            <w:pPr>
              <w:spacing w:after="0"/>
              <w:rPr>
                <w:sz w:val="12"/>
                <w:szCs w:val="12"/>
                <w:color w:val="auto"/>
              </w:rPr>
            </w:pPr>
          </w:p>
        </w:tc>
        <w:tc>
          <w:tcPr>
            <w:tcW w:w="800" w:type="dxa"/>
            <w:vAlign w:val="bottom"/>
          </w:tcPr>
          <w:p>
            <w:pPr>
              <w:jc w:val="right"/>
              <w:ind w:right="182"/>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2"/>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(In thousands)</w:t>
            </w: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4,057,196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4,049,835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2,734,863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1,345,076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760,442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7,731,831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30,119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20,709,362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53,249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28,996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76,049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15,744</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363,807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7,125</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580,357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shd w:val="clear" w:color="auto" w:fill="CFF0FC"/>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6,137</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39,753</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27,044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12,697</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17,304</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308,796</w:t>
            </w:r>
          </w:p>
        </w:tc>
        <w:tc>
          <w:tcPr>
            <w:tcW w:w="2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411,731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2,954</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260,243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285,395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residential</w:t>
            </w: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4,101,461</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4,150,815</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2,793,734</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1,441,721</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796,444</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8,664,677</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37,993</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21,986,845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 limited documentation:</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974,779</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974,779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17,274</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95,382</w:t>
            </w: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95,382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260" w:type="dxa"/>
            <w:vAlign w:val="bottom"/>
          </w:tcPr>
          <w:p>
            <w:pPr>
              <w:ind w:left="20"/>
              <w:spacing w:after="0" w:line="121" w:lineRule="exact"/>
              <w:rPr>
                <w:sz w:val="20"/>
                <w:szCs w:val="20"/>
                <w:color w:val="auto"/>
              </w:rPr>
            </w:pPr>
            <w:r>
              <w:rPr>
                <w:rFonts w:ascii="Times New Roman" w:cs="Times New Roman" w:eastAsia="Times New Roman" w:hAnsi="Times New Roman"/>
                <w:sz w:val="12"/>
                <w:szCs w:val="12"/>
                <w:color w:val="auto"/>
              </w:rPr>
              <w:t>Total residential - limited</w:t>
            </w:r>
          </w:p>
        </w:tc>
        <w:tc>
          <w:tcPr>
            <w:tcW w:w="14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1,087,435</w:t>
            </w: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vMerge w:val="restart"/>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1,087,435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6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documentation</w:t>
            </w: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Home equity lines and loans:</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25,043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3,323,628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1,484,820</w:t>
            </w:r>
          </w:p>
        </w:tc>
        <w:tc>
          <w:tcPr>
            <w:tcW w:w="4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4,959,845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1,376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22,974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6,311</w:t>
            </w: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8,748</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63,131</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78,208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home equity lines and loans</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16,727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25,043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112,068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3,333,752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1,570,925</w:t>
            </w:r>
          </w:p>
        </w:tc>
        <w:tc>
          <w:tcPr>
            <w:tcW w:w="4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5,063,423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Recreational finance: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2,270,380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2,397,260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1,673,217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1,016,693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517,571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863,728</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FF0FC"/>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8,738,849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9,136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4,199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10,068</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shd w:val="clear" w:color="auto" w:fill="CFF0FC"/>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5,821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11,874</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recreational finance</w:t>
            </w: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2,274,878</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2,410,492</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1,690,299</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1,030,395</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527,591</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885,670</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8,819,325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Automobile: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1,040,034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1,698,621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780,755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433,718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202,662</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127,105</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4,282,895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9,992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6,091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6,354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4,719</w:t>
            </w: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35,550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557</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8,573</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7,837</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8,418</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6,710</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8,223</w:t>
            </w:r>
          </w:p>
        </w:tc>
        <w:tc>
          <w:tcPr>
            <w:tcW w:w="2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40,318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1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1,044,344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1,717,186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794,683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448,490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214,013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140,047</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4,358,763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210,244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192,316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66,148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42,643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11,594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25,864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1,338,436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10,622</w:t>
            </w:r>
          </w:p>
        </w:tc>
        <w:tc>
          <w:tcPr>
            <w:tcW w:w="420" w:type="dxa"/>
            <w:vAlign w:val="bottom"/>
            <w:gridSpan w:val="2"/>
            <w:shd w:val="clear" w:color="auto" w:fill="CFF0FC"/>
          </w:tcPr>
          <w:p>
            <w:pPr>
              <w:jc w:val="right"/>
              <w:ind w:right="87"/>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1,897,867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60" w:type="dxa"/>
            <w:vAlign w:val="bottom"/>
            <w:shd w:val="clear" w:color="auto" w:fill="CFF0FC"/>
          </w:tcPr>
          <w:p>
            <w:pPr>
              <w:ind w:left="160"/>
              <w:spacing w:after="0" w:line="127" w:lineRule="exact"/>
              <w:rPr>
                <w:sz w:val="20"/>
                <w:szCs w:val="20"/>
                <w:color w:val="auto"/>
              </w:rPr>
            </w:pPr>
            <w:r>
              <w:rPr>
                <w:rFonts w:ascii="Times New Roman" w:cs="Times New Roman" w:eastAsia="Times New Roman" w:hAnsi="Times New Roman"/>
                <w:sz w:val="12"/>
                <w:szCs w:val="12"/>
                <w:color w:val="auto"/>
              </w:rPr>
              <w:t>Accruing loans past due</w:t>
            </w: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3,755</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4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gridSpan w:val="2"/>
            <w:vMerge w:val="continue"/>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45,668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214,207</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194,141</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66,790</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43,361</w:t>
            </w: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11,834</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26,231</w:t>
            </w:r>
          </w:p>
        </w:tc>
        <w:tc>
          <w:tcPr>
            <w:tcW w:w="2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1,395,457</w:t>
            </w:r>
          </w:p>
        </w:tc>
        <w:tc>
          <w:tcPr>
            <w:tcW w:w="2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11,161</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1,963,182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260" w:type="dxa"/>
            <w:vAlign w:val="bottom"/>
            <w:shd w:val="clear" w:color="auto" w:fill="CFF0FC"/>
          </w:tcPr>
          <w:p>
            <w:pPr>
              <w:ind w:left="20"/>
              <w:spacing w:after="0" w:line="127" w:lineRule="exact"/>
              <w:rPr>
                <w:sz w:val="20"/>
                <w:szCs w:val="20"/>
                <w:color w:val="auto"/>
              </w:rPr>
            </w:pPr>
            <w:r>
              <w:rPr>
                <w:rFonts w:ascii="Times New Roman" w:cs="Times New Roman" w:eastAsia="Times New Roman" w:hAnsi="Times New Roman"/>
                <w:sz w:val="12"/>
                <w:szCs w:val="12"/>
                <w:color w:val="auto"/>
              </w:rPr>
              <w:t>Total loans and leases at</w:t>
            </w:r>
          </w:p>
        </w:tc>
        <w:tc>
          <w:tcPr>
            <w:tcW w:w="1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18,045,302</w:t>
            </w:r>
          </w:p>
        </w:tc>
        <w:tc>
          <w:tcPr>
            <w:tcW w:w="24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19,658,286</w:t>
            </w:r>
          </w:p>
        </w:tc>
        <w:tc>
          <w:tcPr>
            <w:tcW w:w="24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13,841,700</w:t>
            </w:r>
          </w:p>
        </w:tc>
        <w:tc>
          <w:tcPr>
            <w:tcW w:w="240" w:type="dxa"/>
            <w:vAlign w:val="bottom"/>
            <w:vMerge w:val="restart"/>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13,558,114</w:t>
            </w:r>
          </w:p>
        </w:tc>
        <w:tc>
          <w:tcPr>
            <w:tcW w:w="220" w:type="dxa"/>
            <w:vAlign w:val="bottom"/>
            <w:vMerge w:val="restart"/>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8,259,526</w:t>
            </w:r>
          </w:p>
        </w:tc>
        <w:tc>
          <w:tcPr>
            <w:tcW w:w="22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28,514,393</w:t>
            </w:r>
          </w:p>
        </w:tc>
        <w:tc>
          <w:tcPr>
            <w:tcW w:w="200" w:type="dxa"/>
            <w:vAlign w:val="bottom"/>
            <w:vMerge w:val="restart"/>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24,663,705</w:t>
            </w:r>
          </w:p>
        </w:tc>
        <w:tc>
          <w:tcPr>
            <w:tcW w:w="220" w:type="dxa"/>
            <w:vAlign w:val="bottom"/>
            <w:vMerge w:val="restart"/>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1,684,561</w:t>
            </w:r>
          </w:p>
        </w:tc>
        <w:tc>
          <w:tcPr>
            <w:tcW w:w="220" w:type="dxa"/>
            <w:vAlign w:val="bottom"/>
            <w:vMerge w:val="restart"/>
            <w:shd w:val="clear" w:color="auto" w:fill="CFF0FC"/>
          </w:tcPr>
          <w:p>
            <w:pPr>
              <w:spacing w:after="0"/>
              <w:rPr>
                <w:sz w:val="11"/>
                <w:szCs w:val="11"/>
                <w:color w:val="auto"/>
              </w:rPr>
            </w:pPr>
          </w:p>
        </w:tc>
        <w:tc>
          <w:tcPr>
            <w:tcW w:w="200" w:type="dxa"/>
            <w:vAlign w:val="bottom"/>
            <w:vMerge w:val="restart"/>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128,225,587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6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June 30, 2022</w:t>
            </w:r>
          </w:p>
        </w:tc>
        <w:tc>
          <w:tcPr>
            <w:tcW w:w="140" w:type="dxa"/>
            <w:vAlign w:val="bottom"/>
            <w:tcBorders>
              <w:bottom w:val="single" w:sz="8" w:color="auto"/>
            </w:tcBorders>
            <w:vMerge w:val="continue"/>
            <w:shd w:val="clear" w:color="auto" w:fill="CFF0FC"/>
          </w:tcPr>
          <w:p>
            <w:pPr>
              <w:spacing w:after="0"/>
              <w:rPr>
                <w:sz w:val="12"/>
                <w:szCs w:val="12"/>
                <w:color w:val="auto"/>
              </w:rPr>
            </w:pPr>
          </w:p>
        </w:tc>
        <w:tc>
          <w:tcPr>
            <w:tcW w:w="6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7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0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-4293870</wp:posOffset>
            </wp:positionV>
            <wp:extent cx="5220335" cy="1200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20335" cy="1200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-3625215</wp:posOffset>
            </wp:positionV>
            <wp:extent cx="7683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-3625215</wp:posOffset>
            </wp:positionV>
            <wp:extent cx="7747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-3625215</wp:posOffset>
            </wp:positionV>
            <wp:extent cx="7683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-3625215</wp:posOffset>
            </wp:positionV>
            <wp:extent cx="6858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-3625215</wp:posOffset>
            </wp:positionV>
            <wp:extent cx="68580" cy="1797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-3625215</wp:posOffset>
            </wp:positionV>
            <wp:extent cx="6858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-3625215</wp:posOffset>
            </wp:positionV>
            <wp:extent cx="68580"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-3625215</wp:posOffset>
            </wp:positionV>
            <wp:extent cx="6858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-2708275</wp:posOffset>
            </wp:positionV>
            <wp:extent cx="7683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-2708275</wp:posOffset>
            </wp:positionV>
            <wp:extent cx="7747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-2708275</wp:posOffset>
            </wp:positionV>
            <wp:extent cx="7683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-2708275</wp:posOffset>
            </wp:positionV>
            <wp:extent cx="6858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-2708275</wp:posOffset>
            </wp:positionV>
            <wp:extent cx="6858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-2708275</wp:posOffset>
            </wp:positionV>
            <wp:extent cx="6858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-2708275</wp:posOffset>
            </wp:positionV>
            <wp:extent cx="6858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-2708275</wp:posOffset>
            </wp:positionV>
            <wp:extent cx="6858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-1833880</wp:posOffset>
            </wp:positionV>
            <wp:extent cx="5220335" cy="1200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20335" cy="1200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-1165225</wp:posOffset>
            </wp:positionV>
            <wp:extent cx="7683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-1165225</wp:posOffset>
            </wp:positionV>
            <wp:extent cx="7747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-1165225</wp:posOffset>
            </wp:positionV>
            <wp:extent cx="7683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-1165225</wp:posOffset>
            </wp:positionV>
            <wp:extent cx="6858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-1165225</wp:posOffset>
            </wp:positionV>
            <wp:extent cx="68580"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-1165225</wp:posOffset>
            </wp:positionV>
            <wp:extent cx="68580"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-1165225</wp:posOffset>
            </wp:positionV>
            <wp:extent cx="6858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-1165225</wp:posOffset>
            </wp:positionV>
            <wp:extent cx="6858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-290830</wp:posOffset>
            </wp:positionV>
            <wp:extent cx="5220335"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20335" cy="12001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-24765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-7620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-7620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98"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21"/>
          <w:szCs w:val="21"/>
          <w:color w:val="auto"/>
        </w:rPr>
        <w:t>The following table summarizes the loan grades applied at December 31, 2021 to the various classes of the Company’s commercial loans and commercial real estate loans by origination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0" w:type="dxa"/>
            <w:vAlign w:val="bottom"/>
            <w:gridSpan w:val="4"/>
            <w:vMerge w:val="restart"/>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Term Loans by Origination Year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0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2019</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2018</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2"/>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Commercial, financial, leasing, etc.:</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4,798,052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1,916,072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1,476,786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951,881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500,615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1,398,775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10,993,461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18,699</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22,054,341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196,680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98,595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107,010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73,126</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36,232</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185,935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484,755</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15,628</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1,197,961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19,462</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23,229</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17,114</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39,908</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20,927</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33,698</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60,175</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6,509</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20" w:type="dxa"/>
            <w:vAlign w:val="bottom"/>
            <w:shd w:val="clear" w:color="auto" w:fill="CFF0FC"/>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commercial,</w:t>
            </w:r>
          </w:p>
        </w:tc>
        <w:tc>
          <w:tcPr>
            <w:tcW w:w="2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5,014,194</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2,037,896</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1,600,910</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1,064,915</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557,774</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1,618,408</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11,538,391</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40,836</w:t>
            </w:r>
          </w:p>
        </w:tc>
        <w:tc>
          <w:tcPr>
            <w:tcW w:w="380" w:type="dxa"/>
            <w:vAlign w:val="bottom"/>
            <w:gridSpan w:val="2"/>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23,473,324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financial, leasing, etc.</w:t>
            </w:r>
          </w:p>
        </w:tc>
        <w:tc>
          <w:tcPr>
            <w:tcW w:w="20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38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Real estate:</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3,413,587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2,662,999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3,682,178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2,648,388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2,076,155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5,232,790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728,948</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20,445,045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133,133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480,146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685,701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1,068,552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468,530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1,743,798</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38,570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4,618,430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21,587</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133,560</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195,084</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83,857</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76,628</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520,473</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38,091</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1,069,280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20" w:type="dxa"/>
            <w:vAlign w:val="bottom"/>
            <w:shd w:val="clear" w:color="auto" w:fill="CFF0FC"/>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commercial real</w:t>
            </w:r>
          </w:p>
        </w:tc>
        <w:tc>
          <w:tcPr>
            <w:tcW w:w="2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3,568,307</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3,276,705</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4,562,963</w:t>
            </w: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3,800,797</w:t>
            </w:r>
          </w:p>
        </w:tc>
        <w:tc>
          <w:tcPr>
            <w:tcW w:w="9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2,621,313</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7,497,061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805,609</w:t>
            </w: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26,132,755</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20" w:type="dxa"/>
            <w:vAlign w:val="bottom"/>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estate</w:t>
            </w:r>
          </w:p>
        </w:tc>
        <w:tc>
          <w:tcPr>
            <w:tcW w:w="20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100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380" w:type="dxa"/>
            <w:vAlign w:val="bottom"/>
            <w:gridSpan w:val="2"/>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builder and developer:</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786,983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106,510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75,287</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47,587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12,450</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230,017</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1,263,514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5,356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117,258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13,637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20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2,910</w:t>
            </w:r>
          </w:p>
        </w:tc>
        <w:tc>
          <w:tcPr>
            <w:tcW w:w="24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3,005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2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residential builder</w:t>
            </w:r>
          </w:p>
        </w:tc>
        <w:tc>
          <w:tcPr>
            <w:tcW w:w="200" w:type="dxa"/>
            <w:vAlign w:val="bottom"/>
            <w:vMerge w:val="restart"/>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789,038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111,866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195,455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61,224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5,310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12,545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230,908</w:t>
            </w: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1,406,346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2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and developer</w:t>
            </w:r>
          </w:p>
        </w:tc>
        <w:tc>
          <w:tcPr>
            <w:tcW w:w="2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commercial construction: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Loan grades:</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957,947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1,781,603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2,022,276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832,547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152,669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273,556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38,781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6,059,379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Criticized accrual</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24,103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54,191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675,226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583,428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228,739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114,158</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1,679,845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Criticized nonaccrual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71,613</w:t>
            </w:r>
          </w:p>
        </w:tc>
        <w:tc>
          <w:tcPr>
            <w:tcW w:w="24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3,303</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12,263</w:t>
            </w: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19,970</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4,256</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111,405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20" w:type="dxa"/>
            <w:vAlign w:val="bottom"/>
            <w:shd w:val="clear" w:color="auto" w:fill="CFF0FC"/>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other commercial</w:t>
            </w:r>
          </w:p>
        </w:tc>
        <w:tc>
          <w:tcPr>
            <w:tcW w:w="20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982,050</w:t>
            </w:r>
          </w:p>
        </w:tc>
        <w:tc>
          <w:tcPr>
            <w:tcW w:w="26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1,835,794</w:t>
            </w:r>
          </w:p>
        </w:tc>
        <w:tc>
          <w:tcPr>
            <w:tcW w:w="24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2,769,115</w:t>
            </w:r>
          </w:p>
        </w:tc>
        <w:tc>
          <w:tcPr>
            <w:tcW w:w="24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1,419,278</w:t>
            </w:r>
          </w:p>
        </w:tc>
        <w:tc>
          <w:tcPr>
            <w:tcW w:w="220" w:type="dxa"/>
            <w:vAlign w:val="bottom"/>
            <w:vMerge w:val="restart"/>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393,671</w:t>
            </w:r>
          </w:p>
        </w:tc>
        <w:tc>
          <w:tcPr>
            <w:tcW w:w="220" w:type="dxa"/>
            <w:vAlign w:val="bottom"/>
            <w:vMerge w:val="restart"/>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407,684</w:t>
            </w:r>
          </w:p>
        </w:tc>
        <w:tc>
          <w:tcPr>
            <w:tcW w:w="220" w:type="dxa"/>
            <w:vAlign w:val="bottom"/>
            <w:vMerge w:val="restart"/>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43,037</w:t>
            </w: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7,850,629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2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construction</w:t>
            </w: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60" w:type="dxa"/>
            <w:vAlign w:val="bottom"/>
            <w:tcBorders>
              <w:bottom w:val="single" w:sz="8" w:color="CFF0FC"/>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-2356485</wp:posOffset>
            </wp:positionV>
            <wp:extent cx="5100320"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00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-1517015</wp:posOffset>
            </wp:positionV>
            <wp:extent cx="5100320"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00320" cy="12001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-925195</wp:posOffset>
            </wp:positionV>
            <wp:extent cx="76835"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-925195</wp:posOffset>
            </wp:positionV>
            <wp:extent cx="76835" cy="1797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-925195</wp:posOffset>
            </wp:positionV>
            <wp:extent cx="7747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-925195</wp:posOffset>
            </wp:positionV>
            <wp:extent cx="6858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-925195</wp:posOffset>
            </wp:positionV>
            <wp:extent cx="6858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-925195</wp:posOffset>
            </wp:positionV>
            <wp:extent cx="6858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-925195</wp:posOffset>
            </wp:positionV>
            <wp:extent cx="6858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-925195</wp:posOffset>
            </wp:positionV>
            <wp:extent cx="68580" cy="1797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-8255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9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1"/>
          <w:szCs w:val="21"/>
          <w:color w:val="auto"/>
        </w:rPr>
        <w:t>A summary of loans in accrual and nonaccrual status at December 31, 2021 for the various classes of the Company’s residential real estate loans and consumer loans by origination year follows.</w:t>
      </w:r>
    </w:p>
    <w:tbl>
      <w:tblPr>
        <w:tblLayout w:type="fixed"/>
        <w:tblInd w:w="0" w:type="dxa"/>
        <w:tblCellMar>
          <w:top w:w="0" w:type="dxa"/>
          <w:left w:w="0" w:type="dxa"/>
          <w:bottom w:w="0" w:type="dxa"/>
          <w:right w:w="0" w:type="dxa"/>
        </w:tblCellMar>
      </w:tblPr>
      <w:tr>
        <w:trPr>
          <w:trHeight w:val="108"/>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w w:val="97"/>
              </w:rPr>
              <w:t>Revolving</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rPr>
              <w:t>Loans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60" w:type="dxa"/>
            <w:vAlign w:val="bottom"/>
            <w:gridSpan w:val="3"/>
            <w:vMerge w:val="restart"/>
          </w:tcPr>
          <w:p>
            <w:pPr>
              <w:jc w:val="right"/>
              <w:ind w:right="22"/>
              <w:spacing w:after="0"/>
              <w:rPr>
                <w:sz w:val="20"/>
                <w:szCs w:val="20"/>
                <w:color w:val="auto"/>
              </w:rPr>
            </w:pPr>
            <w:r>
              <w:rPr>
                <w:rFonts w:ascii="Times New Roman" w:cs="Times New Roman" w:eastAsia="Times New Roman" w:hAnsi="Times New Roman"/>
                <w:sz w:val="12"/>
                <w:szCs w:val="12"/>
                <w:b w:val="1"/>
                <w:bCs w:val="1"/>
                <w:color w:val="auto"/>
                <w:w w:val="97"/>
              </w:rPr>
              <w:t>Term Loans by Origination Year</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Revolving</w:t>
            </w:r>
          </w:p>
        </w:tc>
        <w:tc>
          <w:tcPr>
            <w:tcW w:w="2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Term</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2019</w:t>
            </w:r>
          </w:p>
        </w:tc>
        <w:tc>
          <w:tcPr>
            <w:tcW w:w="100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2018</w:t>
            </w:r>
          </w:p>
        </w:tc>
        <w:tc>
          <w:tcPr>
            <w:tcW w:w="960" w:type="dxa"/>
            <w:vAlign w:val="bottom"/>
            <w:gridSpan w:val="2"/>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2017</w:t>
            </w:r>
          </w:p>
        </w:tc>
        <w:tc>
          <w:tcPr>
            <w:tcW w:w="220" w:type="dxa"/>
            <w:vAlign w:val="bottom"/>
          </w:tcPr>
          <w:p>
            <w:pPr>
              <w:spacing w:after="0"/>
              <w:rPr>
                <w:sz w:val="12"/>
                <w:szCs w:val="12"/>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220" w:type="dxa"/>
            <w:vAlign w:val="bottom"/>
          </w:tcPr>
          <w:p>
            <w:pPr>
              <w:spacing w:after="0"/>
              <w:rPr>
                <w:sz w:val="12"/>
                <w:szCs w:val="12"/>
                <w:color w:val="auto"/>
              </w:rPr>
            </w:pPr>
          </w:p>
        </w:tc>
        <w:tc>
          <w:tcPr>
            <w:tcW w:w="840" w:type="dxa"/>
            <w:vAlign w:val="bottom"/>
          </w:tcPr>
          <w:p>
            <w:pPr>
              <w:jc w:val="right"/>
              <w:ind w:right="202"/>
              <w:spacing w:after="0" w:line="136" w:lineRule="exact"/>
              <w:rPr>
                <w:sz w:val="20"/>
                <w:szCs w:val="20"/>
                <w:color w:val="auto"/>
              </w:rPr>
            </w:pPr>
            <w:r>
              <w:rPr>
                <w:rFonts w:ascii="Times New Roman" w:cs="Times New Roman" w:eastAsia="Times New Roman" w:hAnsi="Times New Roman"/>
                <w:sz w:val="12"/>
                <w:szCs w:val="12"/>
                <w:b w:val="1"/>
                <w:bCs w:val="1"/>
                <w:color w:val="auto"/>
              </w:rPr>
              <w:t>Loans</w:t>
            </w:r>
          </w:p>
        </w:tc>
        <w:tc>
          <w:tcPr>
            <w:tcW w:w="220" w:type="dxa"/>
            <w:vAlign w:val="bottom"/>
          </w:tcPr>
          <w:p>
            <w:pPr>
              <w:spacing w:after="0"/>
              <w:rPr>
                <w:sz w:val="12"/>
                <w:szCs w:val="12"/>
                <w:color w:val="auto"/>
              </w:rPr>
            </w:pPr>
          </w:p>
        </w:tc>
        <w:tc>
          <w:tcPr>
            <w:tcW w:w="8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5"/>
              </w:rPr>
              <w:t>Loans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202"/>
              <w:spacing w:after="0" w:line="136" w:lineRule="exact"/>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Residential:</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(In thousands)</w:t>
            </w: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3,057,118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1,672,090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1,075,896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466,040</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1,037,958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5,913,461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72,309</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13,294,872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12,535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33,097</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162,666</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FF0FC"/>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10,924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100,581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28,512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31,996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205,318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542,749</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920,080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19,858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4,577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5,890</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314,792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355,858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residential</w:t>
            </w: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3,086,646</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1,805,064</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1,121,413</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508,745</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1,282,263</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6,933,668</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72,572</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14,810,371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Residential - limited documentation:</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1,124,520</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1,124,520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16,666</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122,888</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122,888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34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Total residential - limited</w:t>
            </w:r>
          </w:p>
        </w:tc>
        <w:tc>
          <w:tcPr>
            <w:tcW w:w="160" w:type="dxa"/>
            <w:vAlign w:val="bottom"/>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9"/>
                <w:szCs w:val="9"/>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1,264,074</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1,264,074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340" w:type="dxa"/>
            <w:vAlign w:val="bottom"/>
          </w:tcPr>
          <w:p>
            <w:pPr>
              <w:ind w:left="100"/>
              <w:spacing w:after="0" w:line="96" w:lineRule="exact"/>
              <w:rPr>
                <w:sz w:val="20"/>
                <w:szCs w:val="20"/>
                <w:color w:val="auto"/>
              </w:rPr>
            </w:pPr>
            <w:r>
              <w:rPr>
                <w:rFonts w:ascii="Times New Roman" w:cs="Times New Roman" w:eastAsia="Times New Roman" w:hAnsi="Times New Roman"/>
                <w:sz w:val="11"/>
                <w:szCs w:val="11"/>
                <w:color w:val="auto"/>
              </w:rPr>
              <w:t>documentation</w:t>
            </w:r>
          </w:p>
        </w:tc>
        <w:tc>
          <w:tcPr>
            <w:tcW w:w="1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Home equity lines and loans:</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1,944</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2,348,279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1,082,775</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14,421</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5,750</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4,951</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59,787</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70,488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home equity lines and loans</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2,793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1,944</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2,353,576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1,156,983</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3,562,591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Recreational finance: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2,890,111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2,088,342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1,267,929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646,883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445,868</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646,040</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7,985,173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8,912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8,317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5,074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5,189</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7,123</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FF0FC"/>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4,918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7,996</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recreational finance</w:t>
            </w: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2,897,381</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2,101,900</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1,281,117</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656,875</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455,096</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661,159</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8,053,528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Automobile:</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2,220,061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1,097,684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662,000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341,655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211,774</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71,598</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4,604,772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8,508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8,936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7,161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5,715</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3,129</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40,064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1,588</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4,390</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7,847</w:t>
            </w:r>
          </w:p>
        </w:tc>
        <w:tc>
          <w:tcPr>
            <w:tcW w:w="240" w:type="dxa"/>
            <w:vAlign w:val="bottom"/>
            <w:tcBorders>
              <w:bottom w:val="single" w:sz="8" w:color="CFF0FC"/>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7,867</w:t>
            </w:r>
          </w:p>
        </w:tc>
        <w:tc>
          <w:tcPr>
            <w:tcW w:w="2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6,882</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5,463</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34,037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1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2,230,157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1,108,689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678,783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356,683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224,371</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80,190</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4,678,873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Current</w:t>
            </w:r>
          </w:p>
        </w:tc>
        <w:tc>
          <w:tcPr>
            <w:tcW w:w="1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244,346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96,945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73,586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24,424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16,924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14,321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1,148,096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1,505</w:t>
            </w:r>
          </w:p>
        </w:tc>
        <w:tc>
          <w:tcPr>
            <w:tcW w:w="34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1,620,147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30-89 days past due</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FF0FC"/>
          </w:tcPr>
          <w:p>
            <w:pPr>
              <w:ind w:left="160"/>
              <w:spacing w:after="0" w:line="114" w:lineRule="exact"/>
              <w:rPr>
                <w:sz w:val="20"/>
                <w:szCs w:val="20"/>
                <w:color w:val="auto"/>
              </w:rPr>
            </w:pPr>
            <w:r>
              <w:rPr>
                <w:rFonts w:ascii="Times New Roman" w:cs="Times New Roman" w:eastAsia="Times New Roman" w:hAnsi="Times New Roman"/>
                <w:sz w:val="12"/>
                <w:szCs w:val="12"/>
                <w:color w:val="auto"/>
              </w:rPr>
              <w:t>Accruing loans past due</w:t>
            </w: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2"/>
                <w:szCs w:val="12"/>
                <w:color w:val="auto"/>
              </w:rPr>
              <w:t>90 days or more</w:t>
            </w:r>
          </w:p>
        </w:tc>
        <w:tc>
          <w:tcPr>
            <w:tcW w:w="16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3,302</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Nonaccrual</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40,807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249,334</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97,675</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74,384</w:t>
            </w:r>
          </w:p>
        </w:tc>
        <w:tc>
          <w:tcPr>
            <w:tcW w:w="24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24,872</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17,129</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23,688</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1,190,811</w:t>
            </w:r>
          </w:p>
        </w:tc>
        <w:tc>
          <w:tcPr>
            <w:tcW w:w="2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2,068</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1,679,961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340" w:type="dxa"/>
            <w:vAlign w:val="bottom"/>
            <w:shd w:val="clear" w:color="auto" w:fill="CFF0FC"/>
          </w:tcPr>
          <w:p>
            <w:pPr>
              <w:ind w:left="20"/>
              <w:spacing w:after="0" w:line="114" w:lineRule="exact"/>
              <w:rPr>
                <w:sz w:val="20"/>
                <w:szCs w:val="20"/>
                <w:color w:val="auto"/>
              </w:rPr>
            </w:pPr>
            <w:r>
              <w:rPr>
                <w:rFonts w:ascii="Times New Roman" w:cs="Times New Roman" w:eastAsia="Times New Roman" w:hAnsi="Times New Roman"/>
                <w:sz w:val="12"/>
                <w:szCs w:val="12"/>
                <w:color w:val="auto"/>
              </w:rPr>
              <w:t>Total loans and leases at</w:t>
            </w:r>
          </w:p>
        </w:tc>
        <w:tc>
          <w:tcPr>
            <w:tcW w:w="1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18,817,411</w:t>
            </w:r>
          </w:p>
        </w:tc>
        <w:tc>
          <w:tcPr>
            <w:tcW w:w="24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12,376,366</w:t>
            </w:r>
          </w:p>
        </w:tc>
        <w:tc>
          <w:tcPr>
            <w:tcW w:w="24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12,286,933</w:t>
            </w:r>
          </w:p>
        </w:tc>
        <w:tc>
          <w:tcPr>
            <w:tcW w:w="240" w:type="dxa"/>
            <w:vAlign w:val="bottom"/>
            <w:vMerge w:val="restart"/>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7,895,140</w:t>
            </w:r>
          </w:p>
        </w:tc>
        <w:tc>
          <w:tcPr>
            <w:tcW w:w="220" w:type="dxa"/>
            <w:vAlign w:val="bottom"/>
            <w:vMerge w:val="restart"/>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5,558,871</w:t>
            </w:r>
          </w:p>
        </w:tc>
        <w:tc>
          <w:tcPr>
            <w:tcW w:w="2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18,542,940</w:t>
            </w:r>
          </w:p>
        </w:tc>
        <w:tc>
          <w:tcPr>
            <w:tcW w:w="220" w:type="dxa"/>
            <w:vAlign w:val="bottom"/>
            <w:vMerge w:val="restart"/>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16,234,904</w:t>
            </w:r>
          </w:p>
        </w:tc>
        <w:tc>
          <w:tcPr>
            <w:tcW w:w="220" w:type="dxa"/>
            <w:vAlign w:val="bottom"/>
            <w:vMerge w:val="restart"/>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1,199,887</w:t>
            </w:r>
          </w:p>
        </w:tc>
        <w:tc>
          <w:tcPr>
            <w:tcW w:w="200" w:type="dxa"/>
            <w:vAlign w:val="bottom"/>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ind w:right="2"/>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92,912,452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340" w:type="dxa"/>
            <w:vAlign w:val="bottom"/>
            <w:tcBorders>
              <w:bottom w:val="single" w:sz="8" w:color="CFF0FC"/>
            </w:tcBorders>
            <w:shd w:val="clear" w:color="auto" w:fill="CFF0FC"/>
          </w:tcPr>
          <w:p>
            <w:pPr>
              <w:ind w:left="100"/>
              <w:spacing w:after="0" w:line="96" w:lineRule="exact"/>
              <w:rPr>
                <w:sz w:val="20"/>
                <w:szCs w:val="20"/>
                <w:color w:val="auto"/>
              </w:rPr>
            </w:pPr>
            <w:r>
              <w:rPr>
                <w:rFonts w:ascii="Times New Roman" w:cs="Times New Roman" w:eastAsia="Times New Roman" w:hAnsi="Times New Roman"/>
                <w:sz w:val="11"/>
                <w:szCs w:val="11"/>
                <w:color w:val="auto"/>
              </w:rPr>
              <w:t>December 31, 2021</w:t>
            </w: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4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-4293870</wp:posOffset>
            </wp:positionV>
            <wp:extent cx="516890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6890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-3625215</wp:posOffset>
            </wp:positionV>
            <wp:extent cx="7747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-3625215</wp:posOffset>
            </wp:positionV>
            <wp:extent cx="76835"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-3625215</wp:posOffset>
            </wp:positionV>
            <wp:extent cx="7747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-3625215</wp:posOffset>
            </wp:positionV>
            <wp:extent cx="77470"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-3625215</wp:posOffset>
            </wp:positionV>
            <wp:extent cx="68580"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-3625215</wp:posOffset>
            </wp:positionV>
            <wp:extent cx="685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-3625215</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-3625215</wp:posOffset>
            </wp:positionV>
            <wp:extent cx="68580" cy="1797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-2708275</wp:posOffset>
            </wp:positionV>
            <wp:extent cx="7747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-2708275</wp:posOffset>
            </wp:positionV>
            <wp:extent cx="76835"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-2708275</wp:posOffset>
            </wp:positionV>
            <wp:extent cx="7747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-2708275</wp:posOffset>
            </wp:positionV>
            <wp:extent cx="7747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-2708275</wp:posOffset>
            </wp:positionV>
            <wp:extent cx="6858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-2708275</wp:posOffset>
            </wp:positionV>
            <wp:extent cx="68580"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-2708275</wp:posOffset>
            </wp:positionV>
            <wp:extent cx="6858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-2708275</wp:posOffset>
            </wp:positionV>
            <wp:extent cx="6858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-1833880</wp:posOffset>
            </wp:positionV>
            <wp:extent cx="5168900" cy="1200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6890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-1165225</wp:posOffset>
            </wp:positionV>
            <wp:extent cx="7747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-1165225</wp:posOffset>
            </wp:positionV>
            <wp:extent cx="76835" cy="1289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-1165225</wp:posOffset>
            </wp:positionV>
            <wp:extent cx="77470" cy="1289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-1165225</wp:posOffset>
            </wp:positionV>
            <wp:extent cx="77470" cy="1289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-1165225</wp:posOffset>
            </wp:positionV>
            <wp:extent cx="6858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-1165225</wp:posOffset>
            </wp:positionV>
            <wp:extent cx="68580"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-1165225</wp:posOffset>
            </wp:positionV>
            <wp:extent cx="68580"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-1165225</wp:posOffset>
            </wp:positionV>
            <wp:extent cx="68580"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-290830</wp:posOffset>
            </wp:positionV>
            <wp:extent cx="5168900" cy="1200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6890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-24765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-7620</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ind w:right="5500" w:firstLine="8"/>
        <w:spacing w:after="0" w:line="343" w:lineRule="auto"/>
        <w:tabs>
          <w:tab w:leader="none" w:pos="207"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Allowance for credit losses</w:t>
      </w:r>
    </w:p>
    <w:p>
      <w:pPr>
        <w:spacing w:after="0"/>
        <w:rPr>
          <w:sz w:val="20"/>
          <w:szCs w:val="20"/>
          <w:color w:val="auto"/>
        </w:rPr>
      </w:pPr>
      <w:r>
        <w:rPr>
          <w:rFonts w:ascii="Times New Roman" w:cs="Times New Roman" w:eastAsia="Times New Roman" w:hAnsi="Times New Roman"/>
          <w:sz w:val="21"/>
          <w:szCs w:val="21"/>
          <w:color w:val="auto"/>
        </w:rPr>
        <w:t>For purposes of determining the level of the allowance for credit losses, the Company evaluates its loan and lease portfolio by type.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Changes in the allowance for credit losses for the three months ended September 30, 2022 and 2021 were as follows:</w:t>
      </w: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11"/>
                <w:szCs w:val="11"/>
                <w:color w:val="auto"/>
              </w:rPr>
            </w:pPr>
          </w:p>
        </w:tc>
        <w:tc>
          <w:tcPr>
            <w:tcW w:w="2300" w:type="dxa"/>
            <w:vAlign w:val="bottom"/>
            <w:gridSpan w:val="8"/>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5"/>
                <w:szCs w:val="15"/>
                <w:color w:val="auto"/>
              </w:rPr>
            </w:pPr>
          </w:p>
        </w:tc>
        <w:tc>
          <w:tcPr>
            <w:tcW w:w="23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240" w:type="dxa"/>
            <w:vAlign w:val="bottom"/>
            <w:gridSpan w:val="2"/>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Borders>
              <w:top w:val="single" w:sz="8" w:color="auto"/>
            </w:tcBorders>
            <w:gridSpan w:val="2"/>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22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414,473</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708,393</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576,598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1,823,790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(11,169 )</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(37,396 )</w:t>
            </w:r>
          </w:p>
        </w:tc>
        <w:tc>
          <w:tcPr>
            <w:tcW w:w="11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(35,213 )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(2,572 )</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(26,086 )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(101,267 )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22,022</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(15,374 )</w:t>
            </w:r>
          </w:p>
        </w:tc>
        <w:tc>
          <w:tcPr>
            <w:tcW w:w="11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(34,812 )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(12,675 )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(63,199 )</w:t>
            </w: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442,442</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700,530</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112,819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619,800</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1,875,591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40" w:type="dxa"/>
            <w:vAlign w:val="bottom"/>
          </w:tcPr>
          <w:p>
            <w:pPr>
              <w:spacing w:after="0"/>
              <w:rPr>
                <w:sz w:val="24"/>
                <w:szCs w:val="24"/>
                <w:color w:val="auto"/>
              </w:rPr>
            </w:pPr>
          </w:p>
        </w:tc>
        <w:tc>
          <w:tcPr>
            <w:tcW w:w="2300" w:type="dxa"/>
            <w:vAlign w:val="bottom"/>
            <w:gridSpan w:val="8"/>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40" w:type="dxa"/>
            <w:vAlign w:val="bottom"/>
          </w:tcPr>
          <w:p>
            <w:pPr>
              <w:spacing w:after="0"/>
              <w:rPr>
                <w:sz w:val="13"/>
                <w:szCs w:val="13"/>
                <w:color w:val="auto"/>
              </w:rPr>
            </w:pPr>
          </w:p>
        </w:tc>
        <w:tc>
          <w:tcPr>
            <w:tcW w:w="230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top w:val="single" w:sz="8" w:color="auto"/>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314,852</w:t>
            </w: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679,963</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77,869</w:t>
            </w:r>
          </w:p>
        </w:tc>
        <w:tc>
          <w:tcPr>
            <w:tcW w:w="10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502,444</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(292 )</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(42,016 )</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(3,522 )</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(20,000 )</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(26,598 )</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(14,242 )</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(1,925 )</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(21,508 )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(64,273 )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3,785</w:t>
            </w: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(22,813 )</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(11,880 )</w:t>
            </w: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(5,389 )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(40,104 )</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291,747</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626,067</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74,325</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522,885</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1,515,024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-2022475</wp:posOffset>
            </wp:positionV>
            <wp:extent cx="7747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-2022475</wp:posOffset>
            </wp:positionV>
            <wp:extent cx="6858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-2022475</wp:posOffset>
            </wp:positionV>
            <wp:extent cx="6858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-2022475</wp:posOffset>
            </wp:positionV>
            <wp:extent cx="6858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-1731010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-1713865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-1731010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-1713865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-1731010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-1713865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-1731010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-1713865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-316230</wp:posOffset>
            </wp:positionV>
            <wp:extent cx="77470"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-316230</wp:posOffset>
            </wp:positionV>
            <wp:extent cx="6858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-316230</wp:posOffset>
            </wp:positionV>
            <wp:extent cx="6858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-316230</wp:posOffset>
            </wp:positionV>
            <wp:extent cx="6858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Changes in the allowance for credit losses for the nine months ended September 30, 2022 and 2021 were as follows: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30"/>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460" w:type="dxa"/>
            <w:vAlign w:val="bottom"/>
            <w:gridSpan w:val="4"/>
            <w:vMerge w:val="restart"/>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460" w:type="dxa"/>
            <w:vAlign w:val="bottom"/>
            <w:gridSpan w:val="4"/>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300" w:type="dxa"/>
            <w:vAlign w:val="bottom"/>
            <w:tcBorders>
              <w:top w:val="single" w:sz="8" w:color="auto"/>
            </w:tcBorders>
            <w:gridSpan w:val="2"/>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9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4"/>
                <w:szCs w:val="14"/>
                <w:color w:val="auto"/>
              </w:rPr>
            </w:pP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Pr>
          <w:p>
            <w:pPr>
              <w:spacing w:after="0"/>
              <w:rPr>
                <w:sz w:val="14"/>
                <w:szCs w:val="14"/>
                <w:color w:val="auto"/>
              </w:rPr>
            </w:pPr>
          </w:p>
        </w:tc>
        <w:tc>
          <w:tcPr>
            <w:tcW w:w="900" w:type="dxa"/>
            <w:vAlign w:val="bottom"/>
            <w:gridSpan w:val="2"/>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283,899</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557,239</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71,726</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556,362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 on acquired PCD loans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55,812</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(a)</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167,985</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116,288</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 (b)</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(94,555 )</w:t>
            </w:r>
          </w:p>
        </w:tc>
        <w:tc>
          <w:tcPr>
            <w:tcW w:w="130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8"/>
                <w:szCs w:val="18"/>
                <w:color w:val="auto"/>
              </w:rPr>
              <w:t>(45,809 )</w:t>
            </w:r>
          </w:p>
        </w:tc>
        <w:tc>
          <w:tcPr>
            <w:tcW w:w="11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(9,407 )</w:t>
            </w: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(78,148 )</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44,110</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220" w:type="dxa"/>
            <w:vAlign w:val="bottom"/>
            <w:tcBorders>
              <w:bottom w:val="single" w:sz="8" w:color="CFF0FC"/>
            </w:tcBorders>
            <w:shd w:val="clear" w:color="auto" w:fill="CFF0FC"/>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442,442</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700,530</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112,819</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619,800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- 20 -</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-676275</wp:posOffset>
            </wp:positionV>
            <wp:extent cx="7747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-676275</wp:posOffset>
            </wp:positionV>
            <wp:extent cx="6858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-676275</wp:posOffset>
            </wp:positionV>
            <wp:extent cx="6858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-676275</wp:posOffset>
            </wp:positionV>
            <wp:extent cx="68580" cy="1714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340" w:type="dxa"/>
            <w:vAlign w:val="bottom"/>
            <w:gridSpan w:val="5"/>
            <w:vMerge w:val="restart"/>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340" w:type="dxa"/>
            <w:vAlign w:val="bottom"/>
            <w:gridSpan w:val="5"/>
            <w:vMerge w:val="continue"/>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0" w:type="dxa"/>
            <w:vAlign w:val="bottom"/>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Leasing, etc.</w:t>
            </w:r>
          </w:p>
        </w:tc>
        <w:tc>
          <w:tcPr>
            <w:tcW w:w="116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20" w:type="dxa"/>
            <w:vAlign w:val="bottom"/>
          </w:tcPr>
          <w:p>
            <w:pPr>
              <w:spacing w:after="0"/>
              <w:rPr>
                <w:sz w:val="14"/>
                <w:szCs w:val="14"/>
                <w:color w:val="auto"/>
              </w:rPr>
            </w:pPr>
          </w:p>
        </w:tc>
        <w:tc>
          <w:tcPr>
            <w:tcW w:w="11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240" w:type="dxa"/>
            <w:vAlign w:val="bottom"/>
          </w:tcPr>
          <w:p>
            <w:pPr>
              <w:spacing w:after="0"/>
              <w:rPr>
                <w:sz w:val="14"/>
                <w:szCs w:val="14"/>
                <w:color w:val="auto"/>
              </w:rPr>
            </w:pPr>
          </w:p>
        </w:tc>
        <w:tc>
          <w:tcPr>
            <w:tcW w:w="96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9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405,846</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670,719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103,590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(57,610 )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(29,026 )</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(6,014 )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(60,000 )</w:t>
            </w:r>
          </w:p>
        </w:tc>
        <w:tc>
          <w:tcPr>
            <w:tcW w:w="0" w:type="dxa"/>
            <w:vAlign w:val="bottom"/>
          </w:tcPr>
          <w:p>
            <w:pPr>
              <w:spacing w:after="0"/>
              <w:rPr>
                <w:sz w:val="1"/>
                <w:szCs w:val="1"/>
                <w:color w:val="auto"/>
              </w:rPr>
            </w:pPr>
          </w:p>
        </w:tc>
      </w:tr>
      <w:tr>
        <w:trPr>
          <w:trHeight w:val="216"/>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3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(93,638 )</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(87,417 )</w:t>
            </w:r>
          </w:p>
        </w:tc>
        <w:tc>
          <w:tcPr>
            <w:tcW w:w="1180" w:type="dxa"/>
            <w:vAlign w:val="bottom"/>
            <w:gridSpan w:val="3"/>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(6,586 )</w:t>
            </w:r>
          </w:p>
        </w:tc>
        <w:tc>
          <w:tcPr>
            <w:tcW w:w="11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(79,926 )</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(77,302</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291,747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626,067</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1714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68580" cy="1714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68580" cy="1714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-170815</wp:posOffset>
            </wp:positionV>
            <wp:extent cx="68580"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Includes $242 million related to non-PCD acquired loans for the nine months ended September 30, 2022.</w:t>
      </w:r>
    </w:p>
    <w:p>
      <w:pPr>
        <w:spacing w:after="0" w:line="22" w:lineRule="exact"/>
        <w:rPr>
          <w:rFonts w:ascii="Times New Roman" w:cs="Times New Roman" w:eastAsia="Times New Roman" w:hAnsi="Times New Roman"/>
          <w:sz w:val="18"/>
          <w:szCs w:val="18"/>
          <w:i w:val="1"/>
          <w:iCs w:val="1"/>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For the nine months ended September 30, 2022, net charge-offs do not reflect $33 million of charge-offs related to PCD acquired loans.</w:t>
      </w:r>
    </w:p>
    <w:p>
      <w:pPr>
        <w:spacing w:after="0" w:line="99"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21"/>
          <w:szCs w:val="21"/>
          <w:color w:val="auto"/>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each of September 30, 2022 and December 31, 2021,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98"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8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20"/>
          <w:szCs w:val="20"/>
          <w:color w:val="auto"/>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Company’s reserve for off-balance sheet credit exposures was not material at September 30, 2022 and December 31, 2021.</w:t>
      </w:r>
    </w:p>
    <w:p>
      <w:pPr>
        <w:spacing w:after="0" w:line="9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Information with respect to loans and leases that were considered nonaccrual at the beginning and end of the reporting period and the interest income recognized on such loans for the three months and nine months ended September 30, 2022 and 2021 follows.</w:t>
      </w:r>
    </w:p>
    <w:tbl>
      <w:tblPr>
        <w:tblLayout w:type="fixed"/>
        <w:tblInd w:w="0" w:type="dxa"/>
        <w:tblCellMar>
          <w:top w:w="0" w:type="dxa"/>
          <w:left w:w="0" w:type="dxa"/>
          <w:bottom w:w="0" w:type="dxa"/>
          <w:right w:w="0" w:type="dxa"/>
        </w:tblCellMar>
      </w:tblPr>
      <w:tr>
        <w:trPr>
          <w:trHeight w:val="112"/>
        </w:trPr>
        <w:tc>
          <w:tcPr>
            <w:tcW w:w="3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8"/>
              </w:rPr>
              <w:t>Three Months</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w w:val="97"/>
              </w:rPr>
              <w:t>Nine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5"/>
              <w:spacing w:after="0" w:line="128"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5"/>
              <w:spacing w:after="0" w:line="128"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 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Amortized Cost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4"/>
          </w:tcPr>
          <w:p>
            <w:pPr>
              <w:jc w:val="center"/>
              <w:ind w:right="280"/>
              <w:spacing w:after="0" w:line="108" w:lineRule="exact"/>
              <w:rPr>
                <w:sz w:val="20"/>
                <w:szCs w:val="20"/>
                <w:color w:val="auto"/>
              </w:rPr>
            </w:pPr>
            <w:r>
              <w:rPr>
                <w:rFonts w:ascii="Times New Roman" w:cs="Times New Roman" w:eastAsia="Times New Roman" w:hAnsi="Times New Roman"/>
                <w:sz w:val="12"/>
                <w:szCs w:val="12"/>
                <w:b w:val="1"/>
                <w:bCs w:val="1"/>
                <w:color w:val="auto"/>
              </w:rPr>
              <w:t>Amortized Cost</w:t>
            </w: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5"/>
              <w:spacing w:after="0" w:line="10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65"/>
              <w:spacing w:after="0" w:line="10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tcPr>
          <w:p>
            <w:pPr>
              <w:jc w:val="center"/>
              <w:ind w:right="440"/>
              <w:spacing w:after="0" w:line="122" w:lineRule="exact"/>
              <w:rPr>
                <w:sz w:val="20"/>
                <w:szCs w:val="20"/>
                <w:color w:val="auto"/>
              </w:rPr>
            </w:pPr>
            <w:r>
              <w:rPr>
                <w:rFonts w:ascii="Times New Roman" w:cs="Times New Roman" w:eastAsia="Times New Roman" w:hAnsi="Times New Roman"/>
                <w:sz w:val="13"/>
                <w:szCs w:val="13"/>
                <w:b w:val="1"/>
                <w:bCs w:val="1"/>
                <w:color w:val="auto"/>
                <w:w w:val="93"/>
              </w:rPr>
              <w:t>without</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5"/>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with Allowance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24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4"/>
              </w:rPr>
              <w:t>Recognized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7"/>
              </w:rPr>
              <w:t>Recognized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w w:val="99"/>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 financial, leasing, etc.</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207,841</w:t>
            </w:r>
          </w:p>
        </w:tc>
        <w:tc>
          <w:tcPr>
            <w:tcW w:w="400" w:type="dxa"/>
            <w:vAlign w:val="bottom"/>
            <w:gridSpan w:val="3"/>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160,325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368,166</w:t>
            </w:r>
          </w:p>
        </w:tc>
        <w:tc>
          <w:tcPr>
            <w:tcW w:w="3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442,496</w:t>
            </w:r>
          </w:p>
        </w:tc>
        <w:tc>
          <w:tcPr>
            <w:tcW w:w="3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221,022</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20,423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 estate: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394,502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1,011,698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1,406,200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1,476,658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1,069,280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40,952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66,187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73,046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34,085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95,382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112,608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122,888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39,884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78,208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79,445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70,488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Recreational finance</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36,075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40,318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48,822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47,178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44,289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1,005,944</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1,423,382</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2,429,326</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2,633,005</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2,060,083</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21,031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4328795" cy="162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328795" cy="1625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Three Months</w:t>
            </w:r>
          </w:p>
        </w:tc>
        <w:tc>
          <w:tcPr>
            <w:tcW w:w="2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5"/>
              <w:spacing w:after="0" w:line="128"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5"/>
              <w:spacing w:after="0" w:line="128"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2021</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 2021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Amortized Cost</w:t>
            </w:r>
          </w:p>
        </w:tc>
        <w:tc>
          <w:tcPr>
            <w:tcW w:w="240" w:type="dxa"/>
            <w:vAlign w:val="bottom"/>
          </w:tcPr>
          <w:p>
            <w:pPr>
              <w:spacing w:after="0"/>
              <w:rPr>
                <w:sz w:val="9"/>
                <w:szCs w:val="9"/>
                <w:color w:val="auto"/>
              </w:rPr>
            </w:pPr>
          </w:p>
        </w:tc>
        <w:tc>
          <w:tcPr>
            <w:tcW w:w="11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Amortized Cost</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5"/>
              <w:spacing w:after="0" w:line="10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65"/>
              <w:spacing w:after="0" w:line="10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without</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65"/>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5"/>
              <w:spacing w:after="0" w:line="122"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40" w:type="dxa"/>
            <w:vAlign w:val="bottom"/>
          </w:tcPr>
          <w:p>
            <w:pPr>
              <w:spacing w:after="0"/>
              <w:rPr>
                <w:sz w:val="15"/>
                <w:szCs w:val="15"/>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with Allowance</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w w:val="96"/>
              </w:rPr>
              <w:t>Allowance</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4"/>
              </w:rPr>
              <w:t>Recognized</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3"/>
                <w:szCs w:val="13"/>
                <w:b w:val="1"/>
                <w:bCs w:val="1"/>
                <w:color w:val="auto"/>
                <w:w w:val="97"/>
              </w:rPr>
              <w:t>Recognized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 financial, leasing, etc.</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171,040</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109,149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280,189</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330,040</w:t>
            </w:r>
          </w:p>
        </w:tc>
        <w:tc>
          <w:tcPr>
            <w:tcW w:w="3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306,827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 estate:</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332,014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820,856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1,152,870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1,081,546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775,894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 builder and developer</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commercial construction</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36,750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121,949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158,699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114,039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Residential</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196,918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Residential — limited documentation</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81,538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44,991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126,529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136,683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147,170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Home equity lines and loans</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38,582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32,892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71,474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76,711</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Recreational finance</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23,276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Automobile</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27,258</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31,090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39,404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43,573</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42,257</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946,452</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1,295,811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2,242,263</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2,242,057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1,893,299</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15,571</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-24765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-7620</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ind w:right="5500" w:firstLine="8"/>
        <w:spacing w:after="0" w:line="343" w:lineRule="auto"/>
        <w:tabs>
          <w:tab w:leader="none" w:pos="207"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Loans and leases and the allowance for credit losses, continued </w:t>
      </w:r>
      <w:r>
        <w:rPr>
          <w:rFonts w:ascii="Times New Roman" w:cs="Times New Roman" w:eastAsia="Times New Roman" w:hAnsi="Times New Roman"/>
          <w:sz w:val="21"/>
          <w:szCs w:val="21"/>
          <w:b w:val="1"/>
          <w:bCs w:val="1"/>
          <w:i w:val="1"/>
          <w:iCs w:val="1"/>
          <w:color w:val="auto"/>
        </w:rPr>
        <w:t>Loan modifications</w:t>
      </w:r>
    </w:p>
    <w:p>
      <w:pPr>
        <w:jc w:val="both"/>
        <w:spacing w:after="0" w:line="246" w:lineRule="auto"/>
        <w:rPr>
          <w:sz w:val="20"/>
          <w:szCs w:val="20"/>
          <w:color w:val="auto"/>
        </w:rPr>
      </w:pPr>
      <w:r>
        <w:rPr>
          <w:rFonts w:ascii="Times New Roman" w:cs="Times New Roman" w:eastAsia="Times New Roman" w:hAnsi="Times New Roman"/>
          <w:sz w:val="21"/>
          <w:szCs w:val="21"/>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6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21"/>
          <w:szCs w:val="21"/>
          <w:color w:val="auto"/>
        </w:rPr>
        <w:t>The tables that follow summarize the Company’s loan modification activities that were considered troubled debt restructurings for the three-month and nine-month periods ended September 30,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700" w:type="dxa"/>
            <w:vAlign w:val="bottom"/>
            <w:gridSpan w:val="2"/>
          </w:tcPr>
          <w:p>
            <w:pPr>
              <w:jc w:val="right"/>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3"/>
                <w:szCs w:val="13"/>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Concession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Deferral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Types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w w:val="77"/>
              </w:rPr>
              <w:t>(Dollars</w:t>
            </w:r>
          </w:p>
        </w:tc>
        <w:tc>
          <w:tcPr>
            <w:tcW w:w="8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Commercial, financial, leasing, etc.</w:t>
            </w:r>
          </w:p>
        </w:tc>
        <w:tc>
          <w:tcPr>
            <w:tcW w:w="1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32,451</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9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88,700</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48,275</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40" w:type="dxa"/>
            <w:vAlign w:val="bottom"/>
            <w:gridSpan w:val="3"/>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38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gridSpan w:val="2"/>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620" w:type="dxa"/>
            <w:vAlign w:val="bottom"/>
            <w:tcBorders>
              <w:top w:val="single" w:sz="8" w:color="CFF0FC"/>
            </w:tcBorders>
          </w:tcPr>
          <w:p>
            <w:pPr>
              <w:spacing w:after="0"/>
              <w:rPr>
                <w:sz w:val="15"/>
                <w:szCs w:val="15"/>
                <w:color w:val="auto"/>
              </w:rPr>
            </w:pPr>
          </w:p>
        </w:tc>
        <w:tc>
          <w:tcPr>
            <w:tcW w:w="360" w:type="dxa"/>
            <w:vAlign w:val="bottom"/>
            <w:tcBorders>
              <w:top w:val="single" w:sz="8" w:color="CFF0FC"/>
            </w:tcBorders>
            <w:gridSpan w:val="2"/>
          </w:tcPr>
          <w:p>
            <w:pPr>
              <w:spacing w:after="0"/>
              <w:rPr>
                <w:sz w:val="15"/>
                <w:szCs w:val="15"/>
                <w:color w:val="auto"/>
              </w:rPr>
            </w:pPr>
          </w:p>
        </w:tc>
        <w:tc>
          <w:tcPr>
            <w:tcW w:w="980" w:type="dxa"/>
            <w:vAlign w:val="bottom"/>
            <w:tcBorders>
              <w:top w:val="single" w:sz="8" w:color="CFF0FC"/>
            </w:tcBorders>
            <w:gridSpan w:val="2"/>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58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gridSpan w:val="2"/>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gridSpan w:val="2"/>
          </w:tcPr>
          <w:p>
            <w:pPr>
              <w:spacing w:after="0"/>
              <w:rPr>
                <w:sz w:val="15"/>
                <w:szCs w:val="15"/>
                <w:color w:val="auto"/>
              </w:rPr>
            </w:pPr>
          </w:p>
        </w:tc>
        <w:tc>
          <w:tcPr>
            <w:tcW w:w="5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financial, leasing, etc.</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49,884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6,051</w:t>
            </w:r>
          </w:p>
        </w:tc>
        <w:tc>
          <w:tcPr>
            <w:tcW w:w="3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40,242</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53,198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30,311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22,599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9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125,101</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56,116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40,504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28,165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124,785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-1851025</wp:posOffset>
            </wp:positionV>
            <wp:extent cx="76835" cy="3683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36830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-1851025</wp:posOffset>
            </wp:positionV>
            <wp:extent cx="77470" cy="3683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36830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-1851025</wp:posOffset>
            </wp:positionV>
            <wp:extent cx="68580" cy="3683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-1851025</wp:posOffset>
            </wp:positionV>
            <wp:extent cx="68580" cy="3683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-1851025</wp:posOffset>
            </wp:positionV>
            <wp:extent cx="68580" cy="3683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-1851025</wp:posOffset>
            </wp:positionV>
            <wp:extent cx="68580" cy="3683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3683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36830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4123055" cy="1714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12305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190309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80" w:hanging="372"/>
        <w:spacing w:after="0" w:line="229" w:lineRule="auto"/>
        <w:tabs>
          <w:tab w:leader="none" w:pos="38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4"/>
          <w:szCs w:val="14"/>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95"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Loans and leases and the allowance for credit losses,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Post-modification (a)</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Combination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modification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7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Concession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360" w:type="dxa"/>
            <w:vAlign w:val="bottom"/>
            <w:gridSpan w:val="2"/>
            <w:vMerge w:val="restart"/>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Deferral</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Types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6"/>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financial, leasing, etc.</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79,437</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49,671</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56,912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Consumer:</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19,138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19,131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84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227,509</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160,742</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231,516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360" w:type="dxa"/>
            <w:vAlign w:val="bottom"/>
            <w:gridSpan w:val="2"/>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2480" w:type="dxa"/>
            <w:vAlign w:val="bottom"/>
            <w:tcBorders>
              <w:bottom w:val="single" w:sz="8" w:color="auto"/>
            </w:tcBorders>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Commercial, financial, leasing, etc.</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174,366</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42,143</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40,464</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141,456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 commercial construction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80,411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Residential — limited documentation</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Home equity lines and loans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4,702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Recreational finance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8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3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511,038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196,378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71,296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239,908</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507,582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-1851025</wp:posOffset>
            </wp:positionV>
            <wp:extent cx="76835" cy="2571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-1851025</wp:posOffset>
            </wp:positionV>
            <wp:extent cx="77470" cy="2571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-1851025</wp:posOffset>
            </wp:positionV>
            <wp:extent cx="68580" cy="2571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-1851025</wp:posOffset>
            </wp:positionV>
            <wp:extent cx="68580" cy="2571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-1851025</wp:posOffset>
            </wp:positionV>
            <wp:extent cx="68580" cy="2571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-1851025</wp:posOffset>
            </wp:positionV>
            <wp:extent cx="68580" cy="2571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2571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5918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59182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768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8" w:lineRule="exact"/>
        <w:rPr>
          <w:sz w:val="20"/>
          <w:szCs w:val="20"/>
          <w:color w:val="auto"/>
        </w:rPr>
      </w:pPr>
    </w:p>
    <w:p>
      <w:pPr>
        <w:ind w:left="520" w:hanging="512"/>
        <w:spacing w:after="0" w:line="285" w:lineRule="auto"/>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90309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1"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1"/>
          <w:szCs w:val="21"/>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September 30, 2022 and 2021 and for which there was a subsequent payment default during the nine-month periods ended September 30, 2022 and 2021, respectively, were not material.</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amount of foreclosed residential real estate property held by the Company was $36 million and $24 million at September 30,</w:t>
      </w:r>
    </w:p>
    <w:p>
      <w:pPr>
        <w:spacing w:after="0" w:line="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2022 and December 31, 2021, respectively. There were $187 million and $151 million at September 30, 2022 and December 31, 2021, respectively, of loans secured by residential real estate that were in the process of foreclosure. Of all loans in the process of foreclosure at September 30, 2022, approximately 46% were government guaranteed.</w:t>
      </w:r>
    </w:p>
    <w:p>
      <w:pPr>
        <w:spacing w:after="0" w:line="6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pledged certain loans to secure outstanding borrowings and available lines of credit. At September 30, 2022, the Company pledged approximately $9.9 billion of commercial loans and leases, $13.9 billion of commercial real estate loans, $18.7 billion of one-to-four family residential real estate loans, $3.1 billion of home equity loans and lines of credit and $10.4 billion of other consumer loans. At December 31, 2021, the Company pledged approximately $9.5 billion of commercial loans and leases, $11.9 billion of commercial real estate loans, $11.5 billion of one-to-four family residential real estate loans, $1.9 billion of homes equity loans and lines of credit and $10.2 billion of other consumer loans.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 Borrowings</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M&amp;T had $535 million of fixed and variable rate junior subordinated deferrable interest debentures ("Junior Subordinated Debentures") outstanding at September 30, 2022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7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7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21"/>
          <w:szCs w:val="21"/>
          <w:color w:val="auto"/>
        </w:rPr>
        <w:t>On April 18, 2022, M&amp;T Bank, the principal subsidiary of M&amp;T, redeemed $650 million of fixed rate senior notes that were due to mature on May 18, 2022. In addition, $250 million of variable rate senior notes of M&amp;T Bank matured on May 18, 2022. On August 16, 2022, M&amp;T issued $500 million of 4.553% fixed rate senior notes that mature in August 2028.</w:t>
      </w:r>
    </w:p>
    <w:p>
      <w:pPr>
        <w:spacing w:after="0" w:line="5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Short-term borrowings assumed in the People's United acquisition totaled $895 million and included $503 million of 3.65% fixed-rate unsecured senior notes due to mature in December 2022, $390 million of agreements to repurchase securities which consisted of secured overnight transactions with commercial and municipal customers that subsequently matured and $2 million of Federal Home Loan Bank secured advances accruing interest at fixed-rates ranging from .01% to .75% and maturing at various dates through January 2023. On October 6, 2022, M&amp;T redeemed the fixed rate senior notes assumed in the People's United acquisition.</w:t>
      </w:r>
    </w:p>
    <w:p>
      <w:pPr>
        <w:spacing w:after="0" w:line="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Long-term borrowings assumed in the People's United acquisition totaled $494 million and included $405 million of 4.0% fixed-rate subordinated notes due to mature in July 2024, $78 million of 5.75% fixed-rate subordinated notes due to mature in October 2024 and $11 million of Federal Home Loan Bank secured advances accruing interest at fixed-rates ranging from .01% to 3.00% and maturing at various dates through 2039.</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Shareholders’ Equity</w:t>
      </w:r>
    </w:p>
    <w:p>
      <w:pPr>
        <w:spacing w:after="0" w:line="9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M&amp;T is authorized to issue 20,000,000 shares of preferred stock with a $1.00 par value per share. Preferred shares outstanding rank senior to common shares both as to dividends and liquidation preference, but have no general voting rights.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Issued and outstanding preferred stock of M&amp;T as of September 30, 2022 and December 31, 2021 is presented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22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Series E (a)</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4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 liquidation preference per share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350,000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(b)</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500,000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G (c)</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Fixed-Rate Reset Non-cumulative Perpetual Preferred Stock</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400,000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H (d)</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Fixed-to-Floating Rate Non-cumulative Perpetual Preferred Stock</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$25 liquidation preference per share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260,600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Fixed-Rate Reset Non-cumulative Perpetual Preferred Stock</w:t>
            </w: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$10,000 liquidation preference per share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500,000</w:t>
            </w: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90309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6" w:lineRule="exact"/>
        <w:rPr>
          <w:sz w:val="20"/>
          <w:szCs w:val="20"/>
          <w:color w:val="auto"/>
        </w:rPr>
      </w:pPr>
    </w:p>
    <w:p>
      <w:pPr>
        <w:jc w:val="both"/>
        <w:ind w:left="1020" w:hanging="503"/>
        <w:spacing w:after="0" w:line="273" w:lineRule="auto"/>
        <w:tabs>
          <w:tab w:leader="none" w:pos="10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58" w:lineRule="exact"/>
        <w:rPr>
          <w:rFonts w:ascii="Times New Roman" w:cs="Times New Roman" w:eastAsia="Times New Roman" w:hAnsi="Times New Roman"/>
          <w:sz w:val="14"/>
          <w:szCs w:val="14"/>
          <w:i w:val="1"/>
          <w:iCs w:val="1"/>
          <w:color w:val="auto"/>
        </w:rPr>
      </w:pPr>
    </w:p>
    <w:p>
      <w:pPr>
        <w:jc w:val="both"/>
        <w:ind w:left="1020" w:hanging="503"/>
        <w:spacing w:after="0" w:line="263" w:lineRule="auto"/>
        <w:tabs>
          <w:tab w:leader="none" w:pos="10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78" w:lineRule="exact"/>
        <w:rPr>
          <w:rFonts w:ascii="Times New Roman" w:cs="Times New Roman" w:eastAsia="Times New Roman" w:hAnsi="Times New Roman"/>
          <w:sz w:val="14"/>
          <w:szCs w:val="14"/>
          <w:i w:val="1"/>
          <w:iCs w:val="1"/>
          <w:color w:val="auto"/>
        </w:rPr>
      </w:pPr>
    </w:p>
    <w:p>
      <w:pPr>
        <w:jc w:val="both"/>
        <w:ind w:left="1020" w:hanging="503"/>
        <w:spacing w:after="0" w:line="263" w:lineRule="auto"/>
        <w:tabs>
          <w:tab w:leader="none" w:pos="10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5.0% through July 31, 2024 and thereafter will be paid semiannually at a rate of the five-year U.S. Treasury rate plus 3.174%. The shares are redeemable in whole or in part on or after August 1, 2024. Notwithstanding M&amp;T’s option to redeem the shares, if an event occurs such that the shares no longer qualify as Tier 1 capital, M&amp;T may redeem all of the shares within 90 days following that occurrence.</w:t>
      </w:r>
    </w:p>
    <w:p>
      <w:pPr>
        <w:spacing w:after="0" w:line="64" w:lineRule="exact"/>
        <w:rPr>
          <w:rFonts w:ascii="Times New Roman" w:cs="Times New Roman" w:eastAsia="Times New Roman" w:hAnsi="Times New Roman"/>
          <w:sz w:val="14"/>
          <w:szCs w:val="14"/>
          <w:i w:val="1"/>
          <w:iCs w:val="1"/>
          <w:color w:val="auto"/>
        </w:rPr>
      </w:pPr>
    </w:p>
    <w:p>
      <w:pPr>
        <w:jc w:val="both"/>
        <w:ind w:left="1020" w:hanging="503"/>
        <w:spacing w:after="0" w:line="273" w:lineRule="auto"/>
        <w:tabs>
          <w:tab w:leader="none" w:pos="10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quarterly at a rate of 5.625% through December 14, 2026 and thereafter will be paid quarterly at a rate of the three-month LIBOR rate plus 4.02%. The shares are redeemable in whole or in part on or after April 1, 2027. Notwithstanding M&amp;T's option to redeem the shares, if an event occurs such that the shares no longer qualify as Tier 1 capital, M&amp;T may redeem all of the shares within 90 days following that occurrence.</w:t>
      </w:r>
    </w:p>
    <w:p>
      <w:pPr>
        <w:spacing w:after="0" w:line="58" w:lineRule="exact"/>
        <w:rPr>
          <w:rFonts w:ascii="Times New Roman" w:cs="Times New Roman" w:eastAsia="Times New Roman" w:hAnsi="Times New Roman"/>
          <w:sz w:val="14"/>
          <w:szCs w:val="14"/>
          <w:i w:val="1"/>
          <w:iCs w:val="1"/>
          <w:color w:val="auto"/>
        </w:rPr>
      </w:pPr>
    </w:p>
    <w:p>
      <w:pPr>
        <w:jc w:val="both"/>
        <w:ind w:left="1020" w:hanging="503"/>
        <w:spacing w:after="0" w:line="273" w:lineRule="auto"/>
        <w:tabs>
          <w:tab w:leader="none" w:pos="102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Dividends, if declared, are paid semi-annually at a rate of 3.5% through August 31, 2026 and thereafter will be paid semiannually at a rate of the five-year U.S. Treasury rate plus 2.679%. The shares are redeemable in whole or in part on or after September 1, 2026. Notwithstanding M&amp;T’s option to redeem the shares, if an event occurs such that the shares no longer qualify as Tier 1 capital, M&amp;T may redeem all of the shares within 90 days following that occurrence.</w:t>
      </w:r>
    </w:p>
    <w:p>
      <w:pPr>
        <w:spacing w:after="0" w:line="172"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September 30, 2022 and December 31, 2021, the Company had $70 million and $68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September 30, 2022 and December 31, 2021, the Company had deferred revenue of $46 million and $45 million, respectively, related to the sources in the accompanying tables recorded in accrued interest and other liabilities in the consolidated balance sheet.</w:t>
      </w:r>
    </w:p>
    <w:p>
      <w:pPr>
        <w:spacing w:after="0" w:line="7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21"/>
          <w:szCs w:val="21"/>
          <w:color w:val="auto"/>
        </w:rPr>
        <w:t>The following tables summarize sources of the Company’s noninterest income during the three-month and nine-month periods ended September 30, 2022 and 2021 that are subject to the revenue recognition accounting guidance.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20" w:type="dxa"/>
            <w:vAlign w:val="bottom"/>
          </w:tcPr>
          <w:p>
            <w:pPr>
              <w:spacing w:after="0"/>
              <w:rPr>
                <w:sz w:val="13"/>
                <w:szCs w:val="13"/>
                <w:color w:val="auto"/>
              </w:rPr>
            </w:pPr>
          </w:p>
        </w:tc>
        <w:tc>
          <w:tcPr>
            <w:tcW w:w="900" w:type="dxa"/>
            <w:vAlign w:val="bottom"/>
          </w:tcPr>
          <w:p>
            <w:pPr>
              <w:jc w:val="right"/>
              <w:ind w:right="1"/>
              <w:spacing w:after="0" w:line="160"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3"/>
                <w:szCs w:val="13"/>
                <w:color w:val="auto"/>
              </w:rPr>
            </w:pPr>
          </w:p>
        </w:tc>
        <w:tc>
          <w:tcPr>
            <w:tcW w:w="900" w:type="dxa"/>
            <w:vAlign w:val="bottom"/>
          </w:tcPr>
          <w:p>
            <w:pPr>
              <w:jc w:val="right"/>
              <w:ind w:right="1"/>
              <w:spacing w:after="0" w:line="160"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3"/>
                <w:szCs w:val="13"/>
                <w:color w:val="auto"/>
              </w:rPr>
            </w:pPr>
          </w:p>
        </w:tc>
        <w:tc>
          <w:tcPr>
            <w:tcW w:w="1480" w:type="dxa"/>
            <w:vAlign w:val="bottom"/>
            <w:gridSpan w:val="3"/>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860" w:type="dxa"/>
            <w:vAlign w:val="bottom"/>
          </w:tcPr>
          <w:p>
            <w:pPr>
              <w:jc w:val="center"/>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00" w:type="dxa"/>
            <w:vAlign w:val="bottom"/>
          </w:tcPr>
          <w:p>
            <w:pPr>
              <w:spacing w:after="0"/>
              <w:rPr>
                <w:sz w:val="13"/>
                <w:szCs w:val="13"/>
                <w:color w:val="auto"/>
              </w:rPr>
            </w:pPr>
          </w:p>
        </w:tc>
        <w:tc>
          <w:tcPr>
            <w:tcW w:w="90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Retail</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00" w:type="dxa"/>
            <w:vAlign w:val="bottom"/>
          </w:tcPr>
          <w:p>
            <w:pPr>
              <w:spacing w:after="0"/>
              <w:rPr>
                <w:sz w:val="16"/>
                <w:szCs w:val="16"/>
                <w:color w:val="auto"/>
              </w:rPr>
            </w:pPr>
          </w:p>
        </w:tc>
        <w:tc>
          <w:tcPr>
            <w:tcW w:w="7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4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6"/>
                <w:szCs w:val="16"/>
                <w:color w:val="auto"/>
              </w:rPr>
              <w:t>Service charges on deposit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19,277</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30,406</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61,223</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115,213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accounts</w:t>
            </w: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Trust income</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186,577</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Brokerage services income</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6"/>
                <w:szCs w:val="16"/>
                <w:color w:val="auto"/>
              </w:rPr>
              <w:t>Merchant discount and credit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16,234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17,731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42,504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card fees</w:t>
            </w: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8,767</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58,015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72,077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217,615</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5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9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4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6"/>
                <w:szCs w:val="16"/>
                <w:color w:val="auto"/>
              </w:rPr>
              <w:t>Service charges on deposit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14,205</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25,054</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61,696</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105,426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accounts</w:t>
            </w: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Trust income</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156,876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Brokerage services income</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6"/>
                <w:szCs w:val="16"/>
                <w:color w:val="auto"/>
              </w:rPr>
              <w:t>Merchant discount and credit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220" w:type="dxa"/>
            <w:vAlign w:val="bottom"/>
          </w:tcPr>
          <w:p>
            <w:pPr>
              <w:spacing w:after="0"/>
              <w:rPr>
                <w:sz w:val="12"/>
                <w:szCs w:val="12"/>
                <w:color w:val="auto"/>
              </w:rPr>
            </w:pPr>
          </w:p>
        </w:tc>
        <w:tc>
          <w:tcPr>
            <w:tcW w:w="14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card fees</w:t>
            </w: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22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41,903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73,262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187,329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-1807845</wp:posOffset>
            </wp:positionV>
            <wp:extent cx="77470" cy="4375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4375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-1807845</wp:posOffset>
            </wp:positionV>
            <wp:extent cx="77470" cy="4375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4375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-1807845</wp:posOffset>
            </wp:positionV>
            <wp:extent cx="76835" cy="4375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4375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-1807845</wp:posOffset>
            </wp:positionV>
            <wp:extent cx="77470" cy="4375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7470" cy="4375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-1807845</wp:posOffset>
            </wp:positionV>
            <wp:extent cx="68580" cy="4375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4375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-1807845</wp:posOffset>
            </wp:positionV>
            <wp:extent cx="68580" cy="4375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4375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-1807845</wp:posOffset>
            </wp:positionV>
            <wp:extent cx="68580" cy="4375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4375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4375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43751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-161925</wp:posOffset>
            </wp:positionV>
            <wp:extent cx="77470" cy="1625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-161925</wp:posOffset>
            </wp:positionV>
            <wp:extent cx="77470" cy="162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-161925</wp:posOffset>
            </wp:positionV>
            <wp:extent cx="76835" cy="162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-161925</wp:posOffset>
            </wp:positionV>
            <wp:extent cx="77470" cy="162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-161925</wp:posOffset>
            </wp:positionV>
            <wp:extent cx="68580" cy="162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-161925</wp:posOffset>
            </wp:positionV>
            <wp:extent cx="68580" cy="162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-161925</wp:posOffset>
            </wp:positionV>
            <wp:extent cx="68580" cy="1625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 Revenue from contracts with customers,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Business</w:t>
            </w:r>
          </w:p>
        </w:tc>
        <w:tc>
          <w:tcPr>
            <w:tcW w:w="240" w:type="dxa"/>
            <w:vAlign w:val="bottom"/>
          </w:tcPr>
          <w:p>
            <w:pPr>
              <w:spacing w:after="0"/>
              <w:rPr>
                <w:sz w:val="13"/>
                <w:szCs w:val="13"/>
                <w:color w:val="auto"/>
              </w:rPr>
            </w:pPr>
          </w:p>
        </w:tc>
        <w:tc>
          <w:tcPr>
            <w:tcW w:w="980" w:type="dxa"/>
            <w:vAlign w:val="bottom"/>
          </w:tcPr>
          <w:p>
            <w:pPr>
              <w:jc w:val="right"/>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3"/>
                <w:szCs w:val="13"/>
                <w:color w:val="auto"/>
              </w:rPr>
            </w:pPr>
          </w:p>
        </w:tc>
        <w:tc>
          <w:tcPr>
            <w:tcW w:w="1020" w:type="dxa"/>
            <w:vAlign w:val="bottom"/>
          </w:tcPr>
          <w:p>
            <w:pPr>
              <w:jc w:val="right"/>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3"/>
                <w:szCs w:val="13"/>
                <w:color w:val="auto"/>
              </w:rPr>
            </w:pPr>
          </w:p>
        </w:tc>
        <w:tc>
          <w:tcPr>
            <w:tcW w:w="1380" w:type="dxa"/>
            <w:vAlign w:val="bottom"/>
            <w:gridSpan w:val="3"/>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860" w:type="dxa"/>
            <w:vAlign w:val="bottom"/>
          </w:tcPr>
          <w:p>
            <w:pPr>
              <w:jc w:val="center"/>
              <w:ind w:right="101"/>
              <w:spacing w:after="0" w:line="160"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200" w:type="dxa"/>
            <w:vAlign w:val="bottom"/>
          </w:tcPr>
          <w:p>
            <w:pPr>
              <w:spacing w:after="0"/>
              <w:rPr>
                <w:sz w:val="13"/>
                <w:szCs w:val="13"/>
                <w:color w:val="auto"/>
              </w:rPr>
            </w:pPr>
          </w:p>
        </w:tc>
        <w:tc>
          <w:tcPr>
            <w:tcW w:w="760" w:type="dxa"/>
            <w:vAlign w:val="bottom"/>
          </w:tcPr>
          <w:p>
            <w:pPr>
              <w:jc w:val="right"/>
              <w:ind w:right="141"/>
              <w:spacing w:after="0" w:line="160"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00" w:type="dxa"/>
            <w:vAlign w:val="bottom"/>
          </w:tcPr>
          <w:p>
            <w:pPr>
              <w:spacing w:after="0"/>
              <w:rPr>
                <w:sz w:val="16"/>
                <w:szCs w:val="16"/>
                <w:color w:val="auto"/>
              </w:rPr>
            </w:pP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2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Service charges on deposit</w:t>
            </w:r>
          </w:p>
        </w:tc>
        <w:tc>
          <w:tcPr>
            <w:tcW w:w="1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53,581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85,806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10,903</w:t>
            </w:r>
          </w:p>
        </w:tc>
        <w:tc>
          <w:tcPr>
            <w:tcW w:w="22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185,990</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4,610</w:t>
            </w:r>
          </w:p>
        </w:tc>
        <w:tc>
          <w:tcPr>
            <w:tcW w:w="20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accounts</w:t>
            </w:r>
          </w:p>
        </w:tc>
        <w:tc>
          <w:tcPr>
            <w:tcW w:w="1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Trust income</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545,874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545,874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Brokerage services income</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65,414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Merchant discount and credit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45,874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48,044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2,836</w:t>
            </w:r>
          </w:p>
        </w:tc>
        <w:tc>
          <w:tcPr>
            <w:tcW w:w="22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19,408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card fees</w:t>
            </w: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13,040</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16,752</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33,416</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77,317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146,890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222,150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650,260</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gridSpan w:val="3"/>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Classification in consolidated</w:t>
            </w: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statement of income</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Service charges on deposit</w:t>
            </w:r>
          </w:p>
        </w:tc>
        <w:tc>
          <w:tcPr>
            <w:tcW w:w="1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39,644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74,304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22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169,734</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20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296,721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accounts</w:t>
            </w:r>
          </w:p>
        </w:tc>
        <w:tc>
          <w:tcPr>
            <w:tcW w:w="1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Trust income</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475,889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Brokerage services income</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revenues from operations:</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54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6"/>
                <w:szCs w:val="16"/>
                <w:color w:val="auto"/>
              </w:rPr>
              <w:t>Merchant discount and credit</w:t>
            </w: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37,570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39,812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220" w:type="dxa"/>
            <w:vAlign w:val="bottom"/>
          </w:tcPr>
          <w:p>
            <w:pPr>
              <w:spacing w:after="0"/>
              <w:rPr>
                <w:sz w:val="12"/>
                <w:szCs w:val="12"/>
                <w:color w:val="auto"/>
              </w:rPr>
            </w:pPr>
          </w:p>
        </w:tc>
        <w:tc>
          <w:tcPr>
            <w:tcW w:w="13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(207 )</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card fees</w:t>
            </w: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3,890</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17,493</w:t>
            </w:r>
          </w:p>
        </w:tc>
        <w:tc>
          <w:tcPr>
            <w:tcW w:w="2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30,456</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118,006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202,968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554,277</w:t>
            </w:r>
          </w:p>
        </w:tc>
        <w:tc>
          <w:tcPr>
            <w:tcW w:w="20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-1731010</wp:posOffset>
            </wp:positionV>
            <wp:extent cx="76835" cy="3600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36004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-1731010</wp:posOffset>
            </wp:positionV>
            <wp:extent cx="76835" cy="3600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36004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-1731010</wp:posOffset>
            </wp:positionV>
            <wp:extent cx="77470" cy="3600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-1731010</wp:posOffset>
            </wp:positionV>
            <wp:extent cx="77470" cy="3600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7470" cy="3600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-1731010</wp:posOffset>
            </wp:positionV>
            <wp:extent cx="68580" cy="3600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-1731010</wp:posOffset>
            </wp:positionV>
            <wp:extent cx="68580" cy="3600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-1731010</wp:posOffset>
            </wp:positionV>
            <wp:extent cx="68580" cy="3600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3600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36004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-161925</wp:posOffset>
            </wp:positionV>
            <wp:extent cx="76835" cy="162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-161925</wp:posOffset>
            </wp:positionV>
            <wp:extent cx="76835" cy="1625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-161925</wp:posOffset>
            </wp:positionV>
            <wp:extent cx="77470" cy="162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-161925</wp:posOffset>
            </wp:positionV>
            <wp:extent cx="77470" cy="162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-161925</wp:posOffset>
            </wp:positionV>
            <wp:extent cx="68580" cy="162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wp:posOffset>
            </wp:positionV>
            <wp:extent cx="68580" cy="162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-161925</wp:posOffset>
            </wp:positionV>
            <wp:extent cx="68580" cy="162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Pension plans and other postretirement benefits</w:t>
      </w:r>
    </w:p>
    <w:p>
      <w:pPr>
        <w:spacing w:after="0" w:line="9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1"/>
          <w:szCs w:val="21"/>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tbl>
      <w:tblPr>
        <w:tblLayout w:type="fixed"/>
        <w:tblInd w:w="0" w:type="dxa"/>
        <w:tblCellMar>
          <w:top w:w="0" w:type="dxa"/>
          <w:left w:w="0" w:type="dxa"/>
          <w:bottom w:w="0" w:type="dxa"/>
          <w:right w:w="0" w:type="dxa"/>
        </w:tblCellMar>
      </w:tblPr>
      <w:tr>
        <w:trPr>
          <w:trHeight w:val="132"/>
        </w:trPr>
        <w:tc>
          <w:tcPr>
            <w:tcW w:w="5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jc w:val="center"/>
              <w:ind w:left="357"/>
              <w:spacing w:after="0" w:line="132"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0"/>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jc w:val="right"/>
              <w:ind w:right="30"/>
              <w:spacing w:after="0" w:line="160" w:lineRule="exact"/>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201"/>
              <w:spacing w:after="0" w:line="160" w:lineRule="exact"/>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89"/>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84"/>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1"/>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(50,188 )</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(35,862 )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(693 )</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(1,185 )</w:t>
            </w: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(370 )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0"/>
        </w:trPr>
        <w:tc>
          <w:tcPr>
            <w:tcW w:w="55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cost (benefit)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(18,602 )</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(927 )</w:t>
            </w:r>
          </w:p>
        </w:tc>
      </w:tr>
      <w:tr>
        <w:trPr>
          <w:trHeight w:val="20"/>
        </w:trPr>
        <w:tc>
          <w:tcPr>
            <w:tcW w:w="5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5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4"/>
          </w:tcPr>
          <w:p>
            <w:pPr>
              <w:jc w:val="right"/>
              <w:ind w:right="30"/>
              <w:spacing w:after="0" w:line="160" w:lineRule="exact"/>
              <w:rPr>
                <w:sz w:val="20"/>
                <w:szCs w:val="20"/>
                <w:color w:val="auto"/>
              </w:rPr>
            </w:pPr>
            <w:r>
              <w:rPr>
                <w:rFonts w:ascii="Times New Roman" w:cs="Times New Roman" w:eastAsia="Times New Roman" w:hAnsi="Times New Roman"/>
                <w:sz w:val="14"/>
                <w:szCs w:val="14"/>
                <w:b w:val="1"/>
                <w:bCs w:val="1"/>
                <w:color w:val="auto"/>
              </w:rPr>
              <w:t>Pension</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jc w:val="center"/>
              <w:ind w:right="201"/>
              <w:spacing w:after="0" w:line="160" w:lineRule="exact"/>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89"/>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84"/>
        </w:trPr>
        <w:tc>
          <w:tcPr>
            <w:tcW w:w="5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40" w:type="dxa"/>
            <w:vAlign w:val="bottom"/>
          </w:tcPr>
          <w:p>
            <w:pPr>
              <w:spacing w:after="0"/>
              <w:rPr>
                <w:sz w:val="24"/>
                <w:szCs w:val="24"/>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24"/>
                <w:szCs w:val="24"/>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60,407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FF0FC"/>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(137,421 )</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(107,586 )</w:t>
            </w: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(2,079 )</w:t>
            </w:r>
          </w:p>
        </w:tc>
        <w:tc>
          <w:tcPr>
            <w:tcW w:w="2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(3,554 )</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(1,111 )</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(971 )</w:t>
            </w:r>
          </w:p>
        </w:tc>
      </w:tr>
      <w:tr>
        <w:trPr>
          <w:trHeight w:val="250"/>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cost (benefit)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(48,469</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-1953895</wp:posOffset>
            </wp:positionV>
            <wp:extent cx="68580" cy="3168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-1953895</wp:posOffset>
            </wp:positionV>
            <wp:extent cx="60325" cy="3168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31686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-1953895</wp:posOffset>
            </wp:positionV>
            <wp:extent cx="60325" cy="6343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63436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-1953895</wp:posOffset>
            </wp:positionV>
            <wp:extent cx="59690" cy="12344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9690" cy="123444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032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596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596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$32 million and $23 million for the three months ended September 30, 2022 and 2021, respectively, and $98 million and $81 million for the nine months ended September 30, 2022 and 2021, respectively, and are included in salaries and employee benefits expense.</w:t>
      </w:r>
    </w:p>
    <w:p>
      <w:pPr>
        <w:spacing w:after="0" w:line="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Prior to 2022, net actuarial losses were generally amortized over the average remaining service periods of active participants in the Company’s defined benefit pension plan. If substantially all of the plan’s participants are inactive, GAAP provides for the average remaining life expectancy of the participants to be used instead of average remaining service period in determining such amortization. Substantially all of the participants in the Company’s defined benefit pension plan were inactive and beginning in 2022 the average remaining life expectancy is now utilized prospectively to amortize the net unrecognized losses. The change increased the amortization period by approximately sixteen years and reduced the amount of amortization of unrecognized losses recorded for the three and nine months ended September 30, 2022 from what would have been recorded without such change in amortization period by $9 million and $27 million,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 Earnings per common share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computations of basic earnings per common share follow:</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50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except per share)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1,226,292</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(24,941 )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(17,050 )</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(71,647 )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(51,150 )</w:t>
            </w:r>
          </w:p>
        </w:tc>
        <w:tc>
          <w:tcPr>
            <w:tcW w:w="0" w:type="dxa"/>
            <w:vAlign w:val="bottom"/>
          </w:tcPr>
          <w:p>
            <w:pPr>
              <w:spacing w:after="0"/>
              <w:rPr>
                <w:sz w:val="1"/>
                <w:szCs w:val="1"/>
                <w:color w:val="auto"/>
              </w:rPr>
            </w:pPr>
          </w:p>
        </w:tc>
      </w:tr>
      <w:tr>
        <w:trPr>
          <w:trHeight w:val="209"/>
        </w:trPr>
        <w:tc>
          <w:tcPr>
            <w:tcW w:w="52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621,655</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478,410</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1,154,645</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1,349,628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22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(1,106 )</w:t>
            </w:r>
          </w:p>
        </w:tc>
        <w:tc>
          <w:tcPr>
            <w:tcW w:w="12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(2,452 )</w:t>
            </w:r>
          </w:p>
        </w:tc>
        <w:tc>
          <w:tcPr>
            <w:tcW w:w="1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(2,245 )</w:t>
            </w:r>
          </w:p>
        </w:tc>
        <w:tc>
          <w:tcPr>
            <w:tcW w:w="2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(6,823 )</w:t>
            </w:r>
          </w:p>
        </w:tc>
        <w:tc>
          <w:tcPr>
            <w:tcW w:w="0" w:type="dxa"/>
            <w:vAlign w:val="bottom"/>
          </w:tcPr>
          <w:p>
            <w:pPr>
              <w:spacing w:after="0"/>
              <w:rPr>
                <w:sz w:val="1"/>
                <w:szCs w:val="1"/>
                <w:color w:val="auto"/>
              </w:rPr>
            </w:pPr>
          </w:p>
        </w:tc>
      </w:tr>
      <w:tr>
        <w:trPr>
          <w:trHeight w:val="221"/>
        </w:trPr>
        <w:tc>
          <w:tcPr>
            <w:tcW w:w="52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c>
          <w:tcPr>
            <w:tcW w:w="22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620,549</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475,958</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1,152,400</w:t>
            </w:r>
          </w:p>
        </w:tc>
        <w:tc>
          <w:tcPr>
            <w:tcW w:w="2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1,342,805</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2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shares outstanding (including common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stock issuable) and unvested stock-based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(312 )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(891 )</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(319 )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(897 )</w:t>
            </w:r>
          </w:p>
        </w:tc>
        <w:tc>
          <w:tcPr>
            <w:tcW w:w="0" w:type="dxa"/>
            <w:vAlign w:val="bottom"/>
          </w:tcPr>
          <w:p>
            <w:pPr>
              <w:spacing w:after="0"/>
              <w:rPr>
                <w:sz w:val="1"/>
                <w:szCs w:val="1"/>
                <w:color w:val="auto"/>
              </w:rPr>
            </w:pPr>
          </w:p>
        </w:tc>
      </w:tr>
      <w:tr>
        <w:trPr>
          <w:trHeight w:val="228"/>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174,609</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128,689</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160,474</w:t>
            </w: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128,632</w:t>
            </w:r>
          </w:p>
        </w:tc>
        <w:tc>
          <w:tcPr>
            <w:tcW w:w="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-1610995</wp:posOffset>
            </wp:positionV>
            <wp:extent cx="68580" cy="1454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-1610995</wp:posOffset>
            </wp:positionV>
            <wp:extent cx="60325" cy="1454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-1610995</wp:posOffset>
            </wp:positionV>
            <wp:extent cx="60325" cy="1454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-1610995</wp:posOffset>
            </wp:positionV>
            <wp:extent cx="59690" cy="1454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-1216660</wp:posOffset>
            </wp:positionV>
            <wp:extent cx="68580" cy="1454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-1216660</wp:posOffset>
            </wp:positionV>
            <wp:extent cx="60325" cy="1454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-1216660</wp:posOffset>
            </wp:positionV>
            <wp:extent cx="60325" cy="1454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-1216660</wp:posOffset>
            </wp:positionV>
            <wp:extent cx="59690" cy="1454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-419735</wp:posOffset>
            </wp:positionV>
            <wp:extent cx="68580" cy="2832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-419735</wp:posOffset>
            </wp:positionV>
            <wp:extent cx="60325" cy="2832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325" cy="28321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-419735</wp:posOffset>
            </wp:positionV>
            <wp:extent cx="60325" cy="2832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325" cy="28321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-419735</wp:posOffset>
            </wp:positionV>
            <wp:extent cx="59690" cy="2832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9690" cy="283210"/>
                    </a:xfrm>
                    <a:prstGeom prst="rect">
                      <a:avLst/>
                    </a:prstGeom>
                    <a:noFill/>
                  </pic:spPr>
                </pic:pic>
              </a:graphicData>
            </a:graphic>
          </wp:anchor>
        </w:drawing>
      </w:r>
    </w:p>
    <w:p>
      <w:pPr>
        <w:spacing w:after="0" w:line="2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500" w:type="dxa"/>
            <w:vAlign w:val="bottom"/>
            <w:gridSpan w:val="6"/>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6"/>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Calibri" w:cs="Calibri" w:eastAsia="Calibri" w:hAnsi="Calibri"/>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9"/>
              </w:rPr>
              <w:t>except per share)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equity</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621,655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478,410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1,154,645</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1,349,628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30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Less: Income attributable to unvested stock-based</w:t>
            </w:r>
          </w:p>
        </w:tc>
        <w:tc>
          <w:tcPr>
            <w:tcW w:w="2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(1,101 )</w:t>
            </w:r>
          </w:p>
        </w:tc>
        <w:tc>
          <w:tcPr>
            <w:tcW w:w="100" w:type="dxa"/>
            <w:vAlign w:val="bottom"/>
          </w:tcPr>
          <w:p>
            <w:pPr>
              <w:spacing w:after="0"/>
              <w:rPr>
                <w:sz w:val="14"/>
                <w:szCs w:val="14"/>
                <w:color w:val="auto"/>
              </w:rPr>
            </w:pPr>
          </w:p>
        </w:tc>
        <w:tc>
          <w:tcPr>
            <w:tcW w:w="11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(2,449 )</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(2,239 )</w:t>
            </w:r>
          </w:p>
        </w:tc>
        <w:tc>
          <w:tcPr>
            <w:tcW w:w="20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(6,816 )</w:t>
            </w:r>
          </w:p>
        </w:tc>
        <w:tc>
          <w:tcPr>
            <w:tcW w:w="0" w:type="dxa"/>
            <w:vAlign w:val="bottom"/>
          </w:tcPr>
          <w:p>
            <w:pPr>
              <w:spacing w:after="0"/>
              <w:rPr>
                <w:sz w:val="1"/>
                <w:szCs w:val="1"/>
                <w:color w:val="auto"/>
              </w:rPr>
            </w:pPr>
          </w:p>
        </w:tc>
      </w:tr>
      <w:tr>
        <w:trPr>
          <w:trHeight w:val="221"/>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awards</w:t>
            </w:r>
          </w:p>
        </w:tc>
        <w:tc>
          <w:tcPr>
            <w:tcW w:w="2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4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620,554</w:t>
            </w: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475,961</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1,152,406</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1,342,812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3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and unvested stock-based compensation</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awards</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174,921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129,580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160,793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Unvested stock-based compensation awards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(891 )</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(319 )</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(897 )</w:t>
            </w:r>
          </w:p>
        </w:tc>
        <w:tc>
          <w:tcPr>
            <w:tcW w:w="0" w:type="dxa"/>
            <w:vAlign w:val="bottom"/>
          </w:tcPr>
          <w:p>
            <w:pPr>
              <w:spacing w:after="0"/>
              <w:rPr>
                <w:sz w:val="1"/>
                <w:szCs w:val="1"/>
                <w:color w:val="auto"/>
              </w:rPr>
            </w:pPr>
          </w:p>
        </w:tc>
      </w:tr>
      <w:tr>
        <w:trPr>
          <w:trHeight w:val="171"/>
        </w:trPr>
        <w:tc>
          <w:tcPr>
            <w:tcW w:w="53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Plus: Incremental shares from assumed conversion</w:t>
            </w: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of stock-based compensation awards and warrants</w:t>
            </w:r>
          </w:p>
        </w:tc>
        <w:tc>
          <w:tcPr>
            <w:tcW w:w="240" w:type="dxa"/>
            <w:vAlign w:val="bottom"/>
            <w:shd w:val="clear" w:color="auto" w:fill="CFF0FC"/>
          </w:tcPr>
          <w:p>
            <w:pPr>
              <w:spacing w:after="0"/>
              <w:rPr>
                <w:sz w:val="16"/>
                <w:szCs w:val="16"/>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30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 purchase common stock</w:t>
            </w: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 outstanding</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175,682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-419100</wp:posOffset>
            </wp:positionV>
            <wp:extent cx="68580" cy="282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-419100</wp:posOffset>
            </wp:positionV>
            <wp:extent cx="59690" cy="282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90" cy="2825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-419100</wp:posOffset>
            </wp:positionV>
            <wp:extent cx="60325" cy="2825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28257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-419100</wp:posOffset>
            </wp:positionV>
            <wp:extent cx="59690" cy="2825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9690" cy="28257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6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20"/>
          <w:szCs w:val="20"/>
          <w:color w:val="auto"/>
        </w:rPr>
        <w:t>Stock-based compensation awards to purchase common stock of M&amp;T representing 252,793 common shares and 314,155 common shares during the three-month and nine-month periods ended September 30, 2022, respectively, and 460,710 common shares and 461,792 common shares during the three-month and nine-month periods ended September 30, 2021, respectively, were not included in the computations of diluted earnings per common share because the effect on those periods would have been antidilutive.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10. Comprehensive income</w:t>
      </w:r>
    </w:p>
    <w:p>
      <w:pPr>
        <w:spacing w:after="0" w:line="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22"/>
        </w:trPr>
        <w:tc>
          <w:tcPr>
            <w:tcW w:w="4860" w:type="dxa"/>
            <w:vAlign w:val="bottom"/>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Defined</w:t>
            </w: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188"/>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Pr>
          <w:p>
            <w:pPr>
              <w:spacing w:after="0"/>
              <w:rPr>
                <w:sz w:val="10"/>
                <w:szCs w:val="10"/>
                <w:color w:val="auto"/>
              </w:rPr>
            </w:pPr>
          </w:p>
        </w:tc>
        <w:tc>
          <w:tcPr>
            <w:tcW w:w="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8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40" w:type="dxa"/>
            <w:vAlign w:val="bottom"/>
            <w:gridSpan w:val="2"/>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Plans</w:t>
            </w:r>
          </w:p>
        </w:tc>
        <w:tc>
          <w:tcPr>
            <w:tcW w:w="240" w:type="dxa"/>
            <w:vAlign w:val="bottom"/>
            <w:gridSpan w:val="2"/>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Before Tax</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Tax</w:t>
            </w:r>
          </w:p>
        </w:tc>
        <w:tc>
          <w:tcPr>
            <w:tcW w:w="22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4"/>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January 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(360,276 )</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(172,054 )</w:t>
            </w: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(127,578 )</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(576,266 )</w:t>
            </w:r>
          </w:p>
        </w:tc>
        <w:tc>
          <w:tcPr>
            <w:tcW w:w="12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(576,266 )</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(427,080 )</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(14,564 )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(14,564 )</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(11,271 )</w:t>
            </w: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losses on cash flow hedges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(429,310 )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(429,310 )</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111,150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(318,160 )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(576,266 )</w:t>
            </w:r>
          </w:p>
        </w:tc>
        <w:tc>
          <w:tcPr>
            <w:tcW w:w="120" w:type="dxa"/>
            <w:vAlign w:val="bottom"/>
            <w:shd w:val="clear" w:color="auto" w:fill="CFF0FC"/>
          </w:tcPr>
          <w:p>
            <w:pPr>
              <w:spacing w:after="0"/>
              <w:rPr>
                <w:sz w:val="11"/>
                <w:szCs w:val="11"/>
                <w:color w:val="auto"/>
              </w:rPr>
            </w:pPr>
          </w:p>
        </w:tc>
        <w:tc>
          <w:tcPr>
            <w:tcW w:w="10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(443,874 )</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(1,020,140 )</w:t>
            </w:r>
          </w:p>
        </w:tc>
        <w:tc>
          <w:tcPr>
            <w:tcW w:w="44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(756,511 )</w:t>
            </w: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3"/>
            <w:vMerge w:val="continue"/>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100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39"/>
        </w:trPr>
        <w:tc>
          <w:tcPr>
            <w:tcW w:w="4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100" w:type="dxa"/>
            <w:vAlign w:val="bottom"/>
            <w:shd w:val="clear" w:color="auto" w:fill="CFF0FC"/>
          </w:tcPr>
          <w:p>
            <w:pPr>
              <w:spacing w:after="0"/>
              <w:rPr>
                <w:sz w:val="12"/>
                <w:szCs w:val="12"/>
                <w:color w:val="auto"/>
              </w:rPr>
            </w:pPr>
          </w:p>
        </w:tc>
        <w:tc>
          <w:tcPr>
            <w:tcW w:w="9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(35,500 )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(35,500 )</w:t>
            </w: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(26,308 )</w:t>
            </w: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currently in effect</w:t>
            </w:r>
          </w:p>
        </w:tc>
        <w:tc>
          <w:tcPr>
            <w:tcW w:w="100" w:type="dxa"/>
            <w:vAlign w:val="bottom"/>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(1,692 )</w:t>
            </w:r>
          </w:p>
        </w:tc>
        <w:tc>
          <w:tcPr>
            <w:tcW w:w="12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(1,692 )</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(1,279 )</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(3,371 )</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(574,500 )</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(479,464 )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(1,041,846 )</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(772,415 )</w:t>
            </w: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September 30, 2022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(469,809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(348,158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(395,933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(1,213,900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313,907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(899,993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January 1,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(650,087 )</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(85,143 )</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(63,032 )</w:t>
            </w: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holding losses, net</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(57,388 )</w:t>
            </w:r>
          </w:p>
        </w:tc>
        <w:tc>
          <w:tcPr>
            <w:tcW w:w="12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(57,388 )</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(42,264 )</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(1,246 )</w:t>
            </w: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(886 )</w:t>
            </w: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gains on cash flow hedges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(214 )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Total other comprehensive income (loss) before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(57,388 )</w:t>
            </w:r>
          </w:p>
        </w:tc>
        <w:tc>
          <w:tcPr>
            <w:tcW w:w="12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(57,813 )</w:t>
            </w:r>
          </w:p>
        </w:tc>
        <w:tc>
          <w:tcPr>
            <w:tcW w:w="4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15,270</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(42,543 )</w:t>
            </w: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reclassifications</w:t>
            </w: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6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(loss) that (increase) decrease net income:</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86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unrealized holding losses on</w:t>
            </w:r>
          </w:p>
        </w:tc>
        <w:tc>
          <w:tcPr>
            <w:tcW w:w="1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shd w:val="clear" w:color="auto" w:fill="CFF0FC"/>
          </w:tcPr>
          <w:p>
            <w:pPr>
              <w:spacing w:after="0"/>
              <w:rPr>
                <w:sz w:val="12"/>
                <w:szCs w:val="12"/>
                <w:color w:val="auto"/>
              </w:rPr>
            </w:pPr>
          </w:p>
        </w:tc>
        <w:tc>
          <w:tcPr>
            <w:tcW w:w="4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(871 )</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0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1000" w:type="dxa"/>
            <w:vAlign w:val="bottom"/>
            <w:gridSpan w:val="3"/>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Gains realized in net income</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20" w:type="dxa"/>
            <w:vAlign w:val="bottom"/>
          </w:tcPr>
          <w:p>
            <w:pPr>
              <w:spacing w:after="0"/>
              <w:rPr>
                <w:sz w:val="15"/>
                <w:szCs w:val="15"/>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(b)</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Accretion of net gain on terminated cash flow hedges</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(90 )</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(c)</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39"/>
        </w:trPr>
        <w:tc>
          <w:tcPr>
            <w:tcW w:w="486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Net yield adjustment from cash flow hedges</w:t>
            </w:r>
          </w:p>
        </w:tc>
        <w:tc>
          <w:tcPr>
            <w:tcW w:w="100" w:type="dxa"/>
            <w:vAlign w:val="bottom"/>
          </w:tcPr>
          <w:p>
            <w:pPr>
              <w:spacing w:after="0"/>
              <w:rPr>
                <w:sz w:val="12"/>
                <w:szCs w:val="12"/>
                <w:color w:val="auto"/>
              </w:rPr>
            </w:pPr>
          </w:p>
        </w:tc>
        <w:tc>
          <w:tcPr>
            <w:tcW w:w="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(206,713 )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(206,713 )</w:t>
            </w:r>
          </w:p>
        </w:tc>
        <w:tc>
          <w:tcPr>
            <w:tcW w:w="4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(152,716 )</w:t>
            </w:r>
          </w:p>
        </w:tc>
        <w:tc>
          <w:tcPr>
            <w:tcW w:w="0" w:type="dxa"/>
            <w:vAlign w:val="bottom"/>
          </w:tcPr>
          <w:p>
            <w:pPr>
              <w:spacing w:after="0"/>
              <w:rPr>
                <w:sz w:val="1"/>
                <w:szCs w:val="1"/>
                <w:color w:val="auto"/>
              </w:rPr>
            </w:pPr>
          </w:p>
        </w:tc>
      </w:tr>
      <w:tr>
        <w:trPr>
          <w:trHeight w:val="185"/>
        </w:trPr>
        <w:tc>
          <w:tcPr>
            <w:tcW w:w="4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currently in effect</w:t>
            </w:r>
          </w:p>
        </w:tc>
        <w:tc>
          <w:tcPr>
            <w:tcW w:w="10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10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(3,139 )</w:t>
            </w:r>
          </w:p>
        </w:tc>
        <w:tc>
          <w:tcPr>
            <w:tcW w:w="12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(3,139 )</w:t>
            </w:r>
          </w:p>
        </w:tc>
        <w:tc>
          <w:tcPr>
            <w:tcW w:w="4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(2,279 )</w:t>
            </w:r>
          </w:p>
        </w:tc>
        <w:tc>
          <w:tcPr>
            <w:tcW w:w="0" w:type="dxa"/>
            <w:vAlign w:val="bottom"/>
          </w:tcPr>
          <w:p>
            <w:pPr>
              <w:spacing w:after="0"/>
              <w:rPr>
                <w:sz w:val="1"/>
                <w:szCs w:val="1"/>
                <w:color w:val="auto"/>
              </w:rPr>
            </w:pPr>
          </w:p>
        </w:tc>
      </w:tr>
      <w:tr>
        <w:trPr>
          <w:trHeight w:val="175"/>
        </w:trPr>
        <w:tc>
          <w:tcPr>
            <w:tcW w:w="4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actuarial losses</w:t>
            </w:r>
          </w:p>
        </w:tc>
        <w:tc>
          <w:tcPr>
            <w:tcW w:w="100" w:type="dxa"/>
            <w:vAlign w:val="bottom"/>
          </w:tcPr>
          <w:p>
            <w:pPr>
              <w:spacing w:after="0"/>
              <w:rPr>
                <w:sz w:val="15"/>
                <w:szCs w:val="15"/>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65,792</w:t>
            </w:r>
          </w:p>
        </w:tc>
        <w:tc>
          <w:tcPr>
            <w:tcW w:w="10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(d)</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(18,031 )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other comprehensive income (loss)</w:t>
            </w: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(54,063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62,653</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(207,228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(198,638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51,251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69"/>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September 30, 2021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(587,434 )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(283,781 )</w:t>
            </w:r>
          </w:p>
        </w:tc>
        <w:tc>
          <w:tcPr>
            <w:tcW w:w="4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(210,419 )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-3539490</wp:posOffset>
            </wp:positionV>
            <wp:extent cx="76835" cy="2146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2146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-3539490</wp:posOffset>
            </wp:positionV>
            <wp:extent cx="77470" cy="2146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-3539490</wp:posOffset>
            </wp:positionV>
            <wp:extent cx="68580" cy="2146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-3539490</wp:posOffset>
            </wp:positionV>
            <wp:extent cx="68580" cy="2146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-3539490</wp:posOffset>
            </wp:positionV>
            <wp:extent cx="68580" cy="2146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2146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-2579370</wp:posOffset>
            </wp:positionV>
            <wp:extent cx="76835" cy="1289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-2579370</wp:posOffset>
            </wp:positionV>
            <wp:extent cx="77470" cy="1289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-2579370</wp:posOffset>
            </wp:positionV>
            <wp:extent cx="68580" cy="1289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-2579370</wp:posOffset>
            </wp:positionV>
            <wp:extent cx="68580" cy="1289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-2579370</wp:posOffset>
            </wp:positionV>
            <wp:extent cx="68580" cy="1289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1289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-2339340</wp:posOffset>
            </wp:positionV>
            <wp:extent cx="3540125" cy="1371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54012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-1546225</wp:posOffset>
            </wp:positionV>
            <wp:extent cx="7145020" cy="42418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5020" cy="42418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-144780</wp:posOffset>
            </wp:positionV>
            <wp:extent cx="76835" cy="1454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-144780</wp:posOffset>
            </wp:positionV>
            <wp:extent cx="77470" cy="1454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-144780</wp:posOffset>
            </wp:positionV>
            <wp:extent cx="68580" cy="1454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-144780</wp:posOffset>
            </wp:positionV>
            <wp:extent cx="68580" cy="1454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-144780</wp:posOffset>
            </wp:positionV>
            <wp:extent cx="68580" cy="1454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income.</w:t>
      </w:r>
    </w:p>
    <w:p>
      <w:pPr>
        <w:spacing w:after="0" w:line="1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gain (loss) on bank investment securities.</w:t>
      </w:r>
    </w:p>
    <w:p>
      <w:pPr>
        <w:spacing w:after="0" w:line="1"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interest expense.</w:t>
      </w:r>
    </w:p>
    <w:p>
      <w:pPr>
        <w:spacing w:after="0" w:line="11"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other costs of operations.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Accumulated other comprehensive income (loss), net consisted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right="530"/>
              <w:spacing w:after="0"/>
              <w:rPr>
                <w:sz w:val="20"/>
                <w:szCs w:val="20"/>
                <w:color w:val="auto"/>
              </w:rPr>
            </w:pPr>
            <w:r>
              <w:rPr>
                <w:rFonts w:ascii="Times New Roman" w:cs="Times New Roman" w:eastAsia="Times New Roman" w:hAnsi="Times New Roman"/>
                <w:sz w:val="13"/>
                <w:szCs w:val="13"/>
                <w:b w:val="1"/>
                <w:bCs w:val="1"/>
                <w:color w:val="auto"/>
              </w:rPr>
              <w:t>Defined</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628"/>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60" w:type="dxa"/>
            <w:vAlign w:val="bottom"/>
          </w:tcPr>
          <w:p>
            <w:pPr>
              <w:spacing w:after="0"/>
              <w:rPr>
                <w:sz w:val="15"/>
                <w:szCs w:val="15"/>
                <w:color w:val="auto"/>
              </w:rPr>
            </w:pPr>
          </w:p>
        </w:tc>
        <w:tc>
          <w:tcPr>
            <w:tcW w:w="1380" w:type="dxa"/>
            <w:vAlign w:val="bottom"/>
            <w:gridSpan w:val="2"/>
          </w:tcPr>
          <w:p>
            <w:pPr>
              <w:jc w:val="center"/>
              <w:ind w:right="530"/>
              <w:spacing w:after="0"/>
              <w:rPr>
                <w:sz w:val="20"/>
                <w:szCs w:val="20"/>
                <w:color w:val="auto"/>
              </w:rPr>
            </w:pPr>
            <w:r>
              <w:rPr>
                <w:rFonts w:ascii="Times New Roman" w:cs="Times New Roman" w:eastAsia="Times New Roman" w:hAnsi="Times New Roman"/>
                <w:sz w:val="13"/>
                <w:szCs w:val="13"/>
                <w:b w:val="1"/>
                <w:bCs w:val="1"/>
                <w:color w:val="auto"/>
              </w:rPr>
              <w:t>Benefit</w:t>
            </w: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3"/>
                <w:szCs w:val="13"/>
                <w:b w:val="1"/>
                <w:bCs w:val="1"/>
                <w:color w:val="auto"/>
                <w:w w:val="98"/>
              </w:rPr>
              <w:t>Plans</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6"/>
                <w:szCs w:val="16"/>
                <w:color w:val="auto"/>
              </w:rPr>
            </w:pPr>
          </w:p>
        </w:tc>
      </w:tr>
      <w:tr>
        <w:trPr>
          <w:trHeight w:val="178"/>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(In</w:t>
            </w:r>
          </w:p>
        </w:tc>
        <w:tc>
          <w:tcPr>
            <w:tcW w:w="68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88"/>
              </w:rPr>
              <w:t>thousands)</w:t>
            </w: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77,625</w:t>
            </w: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rPr>
              <w:t>(267,145 )</w:t>
            </w:r>
          </w:p>
        </w:tc>
        <w:tc>
          <w:tcPr>
            <w:tcW w:w="3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61,942</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(127,578 )</w:t>
            </w: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gain (loss) during period</w:t>
            </w:r>
          </w:p>
        </w:tc>
        <w:tc>
          <w:tcPr>
            <w:tcW w:w="220" w:type="dxa"/>
            <w:vAlign w:val="bottom"/>
          </w:tcPr>
          <w:p>
            <w:pPr>
              <w:spacing w:after="0"/>
              <w:rPr>
                <w:sz w:val="15"/>
                <w:szCs w:val="15"/>
                <w:color w:val="auto"/>
              </w:rPr>
            </w:pPr>
          </w:p>
        </w:tc>
        <w:tc>
          <w:tcPr>
            <w:tcW w:w="1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(425,770 )</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(355,805 )</w:t>
            </w:r>
          </w:p>
        </w:tc>
        <w:tc>
          <w:tcPr>
            <w:tcW w:w="28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(772,415 )</w:t>
            </w: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September 30, 2022</w:t>
            </w:r>
          </w:p>
        </w:tc>
        <w:tc>
          <w:tcPr>
            <w:tcW w:w="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(348,145</w:t>
            </w:r>
          </w:p>
        </w:tc>
        <w:tc>
          <w:tcPr>
            <w:tcW w:w="360" w:type="dxa"/>
            <w:vAlign w:val="bottom"/>
            <w:tcBorders>
              <w:bottom w:val="single" w:sz="8" w:color="CFF0FC"/>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(257,985</w:t>
            </w:r>
          </w:p>
        </w:tc>
        <w:tc>
          <w:tcPr>
            <w:tcW w:w="340" w:type="dxa"/>
            <w:vAlign w:val="bottom"/>
            <w:tcBorders>
              <w:bottom w:val="single" w:sz="8" w:color="CFF0FC"/>
            </w:tcBorders>
            <w:shd w:val="clear" w:color="auto" w:fill="CFF0FC"/>
          </w:tcPr>
          <w:p>
            <w:pPr>
              <w:jc w:val="right"/>
              <w:ind w:right="210"/>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(293,863</w:t>
            </w:r>
          </w:p>
        </w:tc>
        <w:tc>
          <w:tcPr>
            <w:tcW w:w="340" w:type="dxa"/>
            <w:vAlign w:val="bottom"/>
            <w:tcBorders>
              <w:bottom w:val="single" w:sz="8" w:color="CFF0FC"/>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(899,993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September 30, 2022.</w:t>
      </w:r>
    </w:p>
    <w:p>
      <w:pPr>
        <w:spacing w:after="0" w:line="85"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The net effect of interest rate swap agreements was to decrease net interest income by $22 million and to increase net interest income by $50 million during the three-month and nine-month periods ended September 30, 2022, respectively, and to increase net interest income by $67 million and $233 million during the three-month and nine-month periods ended September 30, 2021, respectively.</w:t>
      </w:r>
    </w:p>
    <w:p>
      <w:pPr>
        <w:spacing w:after="0" w:line="6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94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Average Rate</w:t>
            </w:r>
          </w:p>
        </w:tc>
        <w:tc>
          <w:tcPr>
            <w:tcW w:w="420" w:type="dxa"/>
            <w:vAlign w:val="bottom"/>
            <w:gridSpan w:val="2"/>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3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 (Loss) (a)</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2.98 %</w:t>
            </w:r>
          </w:p>
        </w:tc>
        <w:tc>
          <w:tcPr>
            <w:tcW w:w="13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3.59 % $</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(2,765 )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240"/>
              <w:spacing w:after="0" w:line="170" w:lineRule="exact"/>
              <w:rPr>
                <w:sz w:val="20"/>
                <w:szCs w:val="20"/>
                <w:color w:val="auto"/>
              </w:rPr>
            </w:pPr>
            <w:r>
              <w:rPr>
                <w:rFonts w:ascii="Times New Roman" w:cs="Times New Roman" w:eastAsia="Times New Roman" w:hAnsi="Times New Roman"/>
                <w:sz w:val="18"/>
                <w:szCs w:val="18"/>
                <w:color w:val="auto"/>
              </w:rPr>
              <w:t>Interest payments on variable rate</w:t>
            </w:r>
          </w:p>
        </w:tc>
        <w:tc>
          <w:tcPr>
            <w:tcW w:w="1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19,900,000</w:t>
            </w:r>
          </w:p>
        </w:tc>
        <w:tc>
          <w:tcPr>
            <w:tcW w:w="300" w:type="dxa"/>
            <w:vAlign w:val="bottom"/>
            <w:vMerge w:val="restart"/>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(8,730 )</w:t>
            </w:r>
          </w:p>
        </w:tc>
        <w:tc>
          <w:tcPr>
            <w:tcW w:w="0" w:type="dxa"/>
            <w:vAlign w:val="bottom"/>
          </w:tcPr>
          <w:p>
            <w:pPr>
              <w:spacing w:after="0"/>
              <w:rPr>
                <w:sz w:val="1"/>
                <w:szCs w:val="1"/>
                <w:color w:val="auto"/>
              </w:rPr>
            </w:pPr>
          </w:p>
        </w:tc>
      </w:tr>
      <w:tr>
        <w:trPr>
          <w:trHeight w:val="221"/>
        </w:trPr>
        <w:tc>
          <w:tcPr>
            <w:tcW w:w="4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(b)(c)</w:t>
            </w:r>
          </w:p>
        </w:tc>
        <w:tc>
          <w:tcPr>
            <w:tcW w:w="1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1.80 %</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3.09 %</w:t>
            </w:r>
          </w:p>
        </w:tc>
        <w:tc>
          <w:tcPr>
            <w:tcW w:w="20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21,400,000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(11,495 )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2.86 %</w:t>
            </w:r>
          </w:p>
        </w:tc>
        <w:tc>
          <w:tcPr>
            <w:tcW w:w="13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0.74 %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60" w:type="dxa"/>
            <w:vAlign w:val="bottom"/>
            <w:shd w:val="clear" w:color="auto" w:fill="CFF0FC"/>
          </w:tcPr>
          <w:p>
            <w:pPr>
              <w:ind w:left="240"/>
              <w:spacing w:after="0" w:line="170" w:lineRule="exact"/>
              <w:rPr>
                <w:sz w:val="20"/>
                <w:szCs w:val="20"/>
                <w:color w:val="auto"/>
              </w:rPr>
            </w:pPr>
            <w:r>
              <w:rPr>
                <w:rFonts w:ascii="Times New Roman" w:cs="Times New Roman" w:eastAsia="Times New Roman" w:hAnsi="Times New Roman"/>
                <w:sz w:val="18"/>
                <w:szCs w:val="18"/>
                <w:color w:val="auto"/>
              </w:rPr>
              <w:t>Interest payments on variable rate</w:t>
            </w:r>
          </w:p>
        </w:tc>
        <w:tc>
          <w:tcPr>
            <w:tcW w:w="1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21,700,000</w:t>
            </w:r>
          </w:p>
        </w:tc>
        <w:tc>
          <w:tcPr>
            <w:tcW w:w="300" w:type="dxa"/>
            <w:vAlign w:val="bottom"/>
            <w:vMerge w:val="restart"/>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21"/>
        </w:trPr>
        <w:tc>
          <w:tcPr>
            <w:tcW w:w="48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commercial real estate loans (b)(d)</w:t>
            </w:r>
          </w:p>
        </w:tc>
        <w:tc>
          <w:tcPr>
            <w:tcW w:w="1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1.24 %</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0.09 %</w:t>
            </w:r>
          </w:p>
        </w:tc>
        <w:tc>
          <w:tcPr>
            <w:tcW w:w="20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23,350,000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-1139190</wp:posOffset>
            </wp:positionV>
            <wp:extent cx="77470" cy="1714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-1139190</wp:posOffset>
            </wp:positionV>
            <wp:extent cx="68580" cy="1714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714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77470" cy="1714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-170815</wp:posOffset>
            </wp:positionV>
            <wp:extent cx="68580" cy="1714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9" w:lineRule="exact"/>
        <w:rPr>
          <w:sz w:val="20"/>
          <w:szCs w:val="20"/>
          <w:color w:val="auto"/>
        </w:rPr>
      </w:pPr>
    </w:p>
    <w:p>
      <w:pPr>
        <w:ind w:left="520" w:right="40" w:hanging="512"/>
        <w:spacing w:after="0" w:line="256" w:lineRule="auto"/>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$68.7mm at September 30, 2022 and a net settlement of gains of $43.5 at December 31, 2021. The impact of such payments on interest rate swap agreements designated as cash flow hedges was a net settlement of losses of $368.2 million at September 30, 2022 and a net settlement of gains of $88.2 million at December 31, 2021.</w:t>
      </w:r>
    </w:p>
    <w:p>
      <w:pPr>
        <w:spacing w:after="0" w:line="82"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Under the terms of these agreements, the Company receives settlement amounts at a fixed rate and pays at a variable rate.</w:t>
      </w:r>
    </w:p>
    <w:p>
      <w:pPr>
        <w:spacing w:after="0" w:line="10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$4.7 billion of forward-starting interest rate swap agreements that become effective in 2023.</w:t>
      </w:r>
    </w:p>
    <w:p>
      <w:pPr>
        <w:spacing w:after="0" w:line="10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notional amount and terms of $8.4 billion of forward-starting interest rate swap agreements that become effective in 2022.</w:t>
      </w:r>
    </w:p>
    <w:p>
      <w:pPr>
        <w:spacing w:after="0" w:line="114"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Derivative financial instruments not designated as hedging instruments included interest rate contracts, foreign exchange and other option and futures contracts. Interest rate contracts not designated as hedging instruments had notional values of $45.6 billion and $32.6 billion at September 30, 2022 and December 31, 2021, respectively. The notional amounts of foreign exchange and other option and futures contracts not designated as hedging instruments aggregated $1.9 billion and $1.1 billion at September 30, 2022 and December 31, 2021,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9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21"/>
          <w:szCs w:val="21"/>
          <w:color w:val="auto"/>
        </w:rPr>
        <w:t>Information about the fair values of derivative instruments in the Company’s consolidated balance sheet and consolidated statement of income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4"/>
          </w:tcPr>
          <w:p>
            <w:pPr>
              <w:jc w:val="right"/>
              <w:ind w:right="755"/>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4"/>
          </w:tcPr>
          <w:p>
            <w:pPr>
              <w:jc w:val="right"/>
              <w:ind w:right="733"/>
              <w:spacing w:after="0" w:line="158"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and qualifying as hedging instruments (a)</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and qualifying as hedging instruments (a)</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Mortgage-related commitments to originate real estate loans for sale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contracts (b)</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371,834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1,378,145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exchange and other option and futures contracts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42,343</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473,275</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438,151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1,469,637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491,867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442,453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1,481,364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-170815</wp:posOffset>
            </wp:positionV>
            <wp:extent cx="76835" cy="1714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1714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1714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Asset derivatives are reported in other assets and liability derivatives are reported in other liabilities.</w:t>
      </w:r>
    </w:p>
    <w:p>
      <w:pPr>
        <w:spacing w:after="0" w:line="109" w:lineRule="exact"/>
        <w:rPr>
          <w:rFonts w:ascii="Times New Roman" w:cs="Times New Roman" w:eastAsia="Times New Roman" w:hAnsi="Times New Roman"/>
          <w:sz w:val="14"/>
          <w:szCs w:val="14"/>
          <w:i w:val="1"/>
          <w:iCs w:val="1"/>
          <w:color w:val="auto"/>
        </w:rPr>
      </w:pPr>
    </w:p>
    <w:p>
      <w:pPr>
        <w:ind w:left="520" w:hanging="512"/>
        <w:spacing w:after="0" w:line="285" w:lineRule="auto"/>
        <w:tabs>
          <w:tab w:leader="none" w:pos="5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impact of variation margin payments at September 30, 2022 and December 31, 2021 was a reduction of the estimated fair value of interest rate contracts not designated as hedging instruments in an asset position of $1.1 billion and $54.4 million, respectively, and in a liability position of $19.6 million and $305.1 million,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gridSpan w:val="7"/>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(50,976 )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(9,713 )</w:t>
            </w:r>
          </w:p>
        </w:tc>
        <w:tc>
          <w:tcPr>
            <w:tcW w:w="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00" w:type="dxa"/>
            <w:vAlign w:val="bottom"/>
            <w:shd w:val="clear" w:color="auto" w:fill="CFF0FC"/>
          </w:tcPr>
          <w:p>
            <w:pPr>
              <w:spacing w:after="0"/>
              <w:rPr>
                <w:sz w:val="22"/>
                <w:szCs w:val="22"/>
                <w:color w:val="auto"/>
              </w:rPr>
            </w:pPr>
          </w:p>
        </w:tc>
      </w:tr>
      <w:tr>
        <w:trPr>
          <w:trHeight w:val="196"/>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615"/>
        </w:trPr>
        <w:tc>
          <w:tcPr>
            <w:tcW w:w="6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Amount of Gain (Loss) Recognized</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gridSpan w:val="7"/>
          </w:tcPr>
          <w:p>
            <w:pPr>
              <w:ind w:left="320"/>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3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4"/>
                <w:szCs w:val="14"/>
                <w:color w:val="auto"/>
              </w:rPr>
            </w:pPr>
          </w:p>
        </w:tc>
      </w:tr>
      <w:tr>
        <w:trPr>
          <w:trHeight w:val="169"/>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fair value hedging relationships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rate long-term borrowings (a)</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(114,932 )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114,581</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(42,217 )</w:t>
            </w:r>
          </w:p>
        </w:tc>
        <w:tc>
          <w:tcPr>
            <w:tcW w:w="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shd w:val="clear" w:color="auto" w:fill="CFF0FC"/>
          </w:tcPr>
          <w:p>
            <w:pPr>
              <w:spacing w:after="0"/>
              <w:rPr>
                <w:sz w:val="22"/>
                <w:szCs w:val="22"/>
                <w:color w:val="auto"/>
              </w:rPr>
            </w:pPr>
          </w:p>
        </w:tc>
      </w:tr>
      <w:tr>
        <w:trPr>
          <w:trHeight w:val="196"/>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rate contracts (b)</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other option and futures contracts (b)</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28,608</w:t>
            </w:r>
          </w:p>
        </w:tc>
        <w:tc>
          <w:tcPr>
            <w:tcW w:w="3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3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-2502535</wp:posOffset>
            </wp:positionV>
            <wp:extent cx="2357120" cy="1625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57120" cy="1625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-1919605</wp:posOffset>
            </wp:positionV>
            <wp:extent cx="1568450" cy="3175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568450" cy="31750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-607695</wp:posOffset>
            </wp:positionV>
            <wp:extent cx="2357120" cy="1625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357120" cy="1625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7683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768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90309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i w:val="1"/>
          <w:iCs w:val="1"/>
          <w:color w:val="auto"/>
        </w:rPr>
        <w:t>(a)</w:t>
      </w:r>
      <w:r>
        <w:rPr>
          <w:sz w:val="20"/>
          <w:szCs w:val="20"/>
          <w:color w:val="auto"/>
        </w:rPr>
        <w:tab/>
      </w:r>
      <w:r>
        <w:rPr>
          <w:rFonts w:ascii="Times New Roman" w:cs="Times New Roman" w:eastAsia="Times New Roman" w:hAnsi="Times New Roman"/>
          <w:sz w:val="14"/>
          <w:szCs w:val="14"/>
          <w:i w:val="1"/>
          <w:iCs w:val="1"/>
          <w:color w:val="auto"/>
        </w:rPr>
        <w:t>Reported as an adjustment to interest expense.</w:t>
      </w:r>
    </w:p>
    <w:p>
      <w:pPr>
        <w:spacing w:after="0" w:line="4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4"/>
          <w:szCs w:val="14"/>
          <w:i w:val="1"/>
          <w:iCs w:val="1"/>
          <w:color w:val="auto"/>
        </w:rPr>
        <w:t>(b)</w:t>
      </w:r>
      <w:r>
        <w:rPr>
          <w:sz w:val="20"/>
          <w:szCs w:val="20"/>
          <w:color w:val="auto"/>
        </w:rPr>
        <w:tab/>
      </w:r>
      <w:r>
        <w:rPr>
          <w:rFonts w:ascii="Times New Roman" w:cs="Times New Roman" w:eastAsia="Times New Roman" w:hAnsi="Times New Roman"/>
          <w:sz w:val="14"/>
          <w:szCs w:val="14"/>
          <w:i w:val="1"/>
          <w:iCs w:val="1"/>
          <w:color w:val="auto"/>
        </w:rPr>
        <w:t>Reported as trading account and non-hedging derivative gains.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w:t>
            </w:r>
          </w:p>
        </w:tc>
        <w:tc>
          <w:tcPr>
            <w:tcW w:w="100" w:type="dxa"/>
            <w:vAlign w:val="bottom"/>
          </w:tcPr>
          <w:p>
            <w:pPr>
              <w:spacing w:after="0"/>
              <w:rPr>
                <w:sz w:val="13"/>
                <w:szCs w:val="13"/>
                <w:color w:val="auto"/>
              </w:rPr>
            </w:pPr>
          </w:p>
        </w:tc>
      </w:tr>
      <w:tr>
        <w:trPr>
          <w:trHeight w:val="148"/>
        </w:trPr>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 Increasing (Decreasing) the Carrying</w:t>
            </w:r>
          </w:p>
        </w:tc>
        <w:tc>
          <w:tcPr>
            <w:tcW w:w="1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4"/>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Amount of the</w:t>
            </w:r>
          </w:p>
        </w:tc>
        <w:tc>
          <w:tcPr>
            <w:tcW w:w="100" w:type="dxa"/>
            <w:vAlign w:val="bottom"/>
          </w:tcPr>
          <w:p>
            <w:pPr>
              <w:spacing w:after="0"/>
              <w:rPr>
                <w:sz w:val="12"/>
                <w:szCs w:val="12"/>
                <w:color w:val="auto"/>
              </w:rPr>
            </w:pPr>
          </w:p>
        </w:tc>
      </w:tr>
      <w:tr>
        <w:trPr>
          <w:trHeight w:val="200"/>
        </w:trPr>
        <w:tc>
          <w:tcPr>
            <w:tcW w:w="4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Carrying Amount of the Hedged Item</w:t>
            </w: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00" w:type="dxa"/>
            <w:vAlign w:val="bottom"/>
          </w:tcPr>
          <w:p>
            <w:pPr>
              <w:spacing w:after="0"/>
              <w:rPr>
                <w:sz w:val="17"/>
                <w:szCs w:val="17"/>
                <w:color w:val="auto"/>
              </w:rPr>
            </w:pPr>
          </w:p>
        </w:tc>
      </w:tr>
      <w:tr>
        <w:trPr>
          <w:trHeight w:val="210"/>
        </w:trPr>
        <w:tc>
          <w:tcPr>
            <w:tcW w:w="442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18"/>
                <w:szCs w:val="18"/>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8"/>
                <w:szCs w:val="18"/>
                <w:color w:val="auto"/>
              </w:rPr>
            </w:pPr>
          </w:p>
        </w:tc>
      </w:tr>
      <w:tr>
        <w:trPr>
          <w:trHeight w:val="223"/>
        </w:trPr>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0"/>
        </w:trPr>
        <w:tc>
          <w:tcPr>
            <w:tcW w:w="442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Location in the Consolidated Balance Sheet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52"/>
        </w:trPr>
        <w:tc>
          <w:tcPr>
            <w:tcW w:w="4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of the Hedged Items in Fair Value Hedges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6"/>
        </w:trPr>
        <w:tc>
          <w:tcPr>
            <w:tcW w:w="4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20" w:type="dxa"/>
            <w:vAlign w:val="bottom"/>
            <w:gridSpan w:val="3"/>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1,427,977</w:t>
            </w:r>
          </w:p>
        </w:tc>
        <w:tc>
          <w:tcPr>
            <w:tcW w:w="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1,692,943</w:t>
            </w:r>
          </w:p>
        </w:tc>
        <w:tc>
          <w:tcPr>
            <w:tcW w:w="5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(70,971 )   $</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shd w:val="clear" w:color="auto" w:fill="CFF0FC"/>
          </w:tcPr>
          <w:p>
            <w:pPr>
              <w:spacing w:after="0"/>
              <w:rPr>
                <w:sz w:val="18"/>
                <w:szCs w:val="18"/>
                <w:color w:val="auto"/>
              </w:rPr>
            </w:pPr>
          </w:p>
        </w:tc>
      </w:tr>
    </w:tbl>
    <w:p>
      <w:pPr>
        <w:spacing w:after="0" w:line="18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amount of interest income recognized in the consolidated statement of income associated with derivatives designated as cash flow hedges was a decrease of $22 million and an increase of $58 million for the three months ended September 30, 2022 and 2021, respectively, and an increase of $36 million and $207 million for the nine months ended September 30, 2022 and 2021, respectively. As of September 30, 2022 the unrealized net loss recognized in other comprehensive income related to cash flow hedges was $377 million, of which losses of $16 million, $75 million and $286 million related to interest rate swap agreements maturing in 2022, 2023, and 2025, respectively.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20"/>
          <w:szCs w:val="20"/>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$12 million and $24 million at September 30, 2022 and December 31, 2021, respectively. Changes in unrealized gains and losses are included in mortgage banking revenues and, in general, are realized in subsequent periods as the related loans are sold and commitments satisfied.</w:t>
      </w:r>
    </w:p>
    <w:p>
      <w:pPr>
        <w:spacing w:after="0" w:line="58"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1"/>
          <w:szCs w:val="21"/>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71" w:lineRule="exact"/>
        <w:rPr>
          <w:sz w:val="20"/>
          <w:szCs w:val="20"/>
          <w:color w:val="auto"/>
        </w:rPr>
      </w:pPr>
    </w:p>
    <w:p>
      <w:pPr>
        <w:jc w:val="both"/>
        <w:ind w:firstLine="464"/>
        <w:spacing w:after="0"/>
        <w:rPr>
          <w:sz w:val="20"/>
          <w:szCs w:val="20"/>
          <w:color w:val="auto"/>
        </w:rPr>
      </w:pPr>
      <w:r>
        <w:rPr>
          <w:rFonts w:ascii="Times New Roman" w:cs="Times New Roman" w:eastAsia="Times New Roman" w:hAnsi="Times New Roman"/>
          <w:sz w:val="21"/>
          <w:szCs w:val="21"/>
          <w:color w:val="auto"/>
        </w:rPr>
        <w:t>The aggregate fair value of derivative financial instruments in a liability position and the net liability positions with counterparties which are subject to master netting arrangements was $1 million and $35 million at September 30, 2022 and December 31, 2021, respectively. The Company was required to post collateral for those positions of $33 million at December 31, 2021. No collateral was posted for those positions at September 30, 2022.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September 30, 2022 was not material.</w:t>
      </w:r>
    </w:p>
    <w:p>
      <w:pPr>
        <w:spacing w:after="0" w:line="6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21"/>
          <w:szCs w:val="21"/>
          <w:color w:val="auto"/>
        </w:rPr>
        <w:t>The aggregate fair value of derivative financial instruments in an asset position and the net asset positions with counterparties which are subject to enforceable master netting arrangements was $316 million at September 30, 2022 and $7 million at December 31, 2021. Counterparties posted collateral relating to those positions of $308 million at September 30, 2022 and $6 million at December 31, 2021. Interest rate swap agreements entered into with customers are subject to the Company’s credit risk standards and often contain collateral provisions.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Derivative financial instruments, continued</w:t>
      </w:r>
    </w:p>
    <w:p>
      <w:pPr>
        <w:spacing w:after="0" w:line="85"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$215 million and $132 million at September 30, 2022 and December 31, 2021,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12. Variable interest entities and asset securitizations</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Company’s securitization activity has consisted of securitizing loans originated for sale into government issued or guaranteed mortgage-backed securities. The Company has not recognized any losses as a result of having securitized assets.</w:t>
      </w:r>
    </w:p>
    <w:p>
      <w:pPr>
        <w:spacing w:after="0" w:line="3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21"/>
          <w:szCs w:val="21"/>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September 30, 2022 and December 31, 2021,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68"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Company has invested as a limited partner in various partnerships that collectively had total assets of approximately $8.5 billion at September 30, 2022 and $3.0 billion at December 31, 2021.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$1.4 billion, including $505 million of unfunded commitments, at September 30, 2022 and $933 million, including $361 million of unfunded commitments, at December 31, 2021. Contingent commitments to provide additional capital contributions to these partnerships were not material at September 30, 2022. The Company has not provided financial or other support to the partnerships that was not contractually required. The Company’s maximum exposure to loss from its investments in such partnerships as of September 30, 2022 was $1.6 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$37 million and $94 million of its investments in qualified affordable housing projects to income tax expense during the three-month and nine-month periods ended September 30, 2022, respectively, and recognized $44 million and $108 million of tax credits and other tax benefits during those respective periods. Similarly, for the three-month and nine-month periods ended September 30, 2021, the Company amortized $25 million and $63 million of its investments in qualified affordable housing projects to income tax expense, respectively, and recognized $27 million and $70 million of tax credits and other tax benefits during those respective periods.</w:t>
      </w:r>
    </w:p>
    <w:p>
      <w:pPr>
        <w:spacing w:after="0" w:line="8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GAAP permits an entity to choose to measure eligible financial instruments and other items at fair value. The Company has not made any fair value elections at September 30, 2022.</w:t>
      </w:r>
    </w:p>
    <w:p>
      <w:pPr>
        <w:spacing w:after="0" w:line="51"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1 — Valuation is based on quoted prices in active markets for identical assets and liabilities.</w:t>
      </w:r>
    </w:p>
    <w:p>
      <w:pPr>
        <w:spacing w:after="0" w:line="109" w:lineRule="exact"/>
        <w:rPr>
          <w:rFonts w:ascii="Times New Roman" w:cs="Times New Roman" w:eastAsia="Times New Roman" w:hAnsi="Times New Roman"/>
          <w:sz w:val="21"/>
          <w:szCs w:val="21"/>
          <w:color w:val="auto"/>
        </w:rPr>
      </w:pPr>
    </w:p>
    <w:p>
      <w:pPr>
        <w:jc w:val="both"/>
        <w:ind w:left="1020" w:hanging="503"/>
        <w:spacing w:after="0" w:line="249" w:lineRule="auto"/>
        <w:tabs>
          <w:tab w:leader="none" w:pos="10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1" w:lineRule="exact"/>
        <w:rPr>
          <w:rFonts w:ascii="Times New Roman" w:cs="Times New Roman" w:eastAsia="Times New Roman" w:hAnsi="Times New Roman"/>
          <w:sz w:val="21"/>
          <w:szCs w:val="21"/>
          <w:color w:val="auto"/>
        </w:rPr>
      </w:pPr>
    </w:p>
    <w:p>
      <w:pPr>
        <w:jc w:val="both"/>
        <w:ind w:left="1020" w:hanging="503"/>
        <w:spacing w:after="0" w:line="249" w:lineRule="auto"/>
        <w:tabs>
          <w:tab w:leader="none" w:pos="10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Trading account</w:t>
      </w:r>
    </w:p>
    <w:p>
      <w:pPr>
        <w:spacing w:after="0" w:line="1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Investment securities available for sale and equity securities</w:t>
      </w:r>
    </w:p>
    <w:p>
      <w:pPr>
        <w:spacing w:after="0" w:line="1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Real estate loans held for sale</w:t>
      </w:r>
    </w:p>
    <w:p>
      <w:pPr>
        <w:spacing w:after="0" w:line="1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Commitments to originate real estate loans for sale and commitments to sell real estate loans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Interest rate swap agreements used for interest rate risk management</w:t>
      </w:r>
    </w:p>
    <w:p>
      <w:pPr>
        <w:spacing w:after="0" w:line="1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Non-hedging derivatives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non-hedging derivative assets and liabilities using externally developed pricing models based on market observable inputs and, therefore, classifies such valuations as Level 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8"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21"/>
          <w:szCs w:val="21"/>
          <w:color w:val="auto"/>
        </w:rPr>
        <w:t>The following tables present assets and liabilities at September 30, 2022 and December 31, 2021 measured at estimated fair value on a recurring basis: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Trading account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7,658,728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7,658,728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606,571</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606,571</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2,430,946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2,430,946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174,101</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174,101</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10,870,346</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10,870,346</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194,537</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184,811</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342,720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(a)</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491,867</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491,024</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12,029,142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314,483</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11,713,816</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liabilities (a)</w:t>
            </w: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1,481,364</w:t>
            </w: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1,432,215</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49,149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1,481,364</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1,432,215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Trading account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49,745</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 for sale:</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678,690</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Government issued or guaranteed</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3,155,312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debt securities</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121,802</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3,955,804</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77,640</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8,790</w:t>
            </w: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loans held for sale</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899,282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 (a)</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442,453</w:t>
            </w:r>
          </w:p>
        </w:tc>
        <w:tc>
          <w:tcPr>
            <w:tcW w:w="3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430,725</w:t>
            </w:r>
          </w:p>
        </w:tc>
        <w:tc>
          <w:tcPr>
            <w:tcW w:w="3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5,424,924</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5,294,801</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liabilities (a)</w:t>
            </w: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93,843</w:t>
            </w:r>
          </w:p>
        </w:tc>
        <w:tc>
          <w:tcPr>
            <w:tcW w:w="3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88,555</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93,843</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-3333750</wp:posOffset>
            </wp:positionV>
            <wp:extent cx="76835" cy="154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-3333750</wp:posOffset>
            </wp:positionV>
            <wp:extent cx="68580" cy="154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-3333750</wp:posOffset>
            </wp:positionV>
            <wp:extent cx="68580" cy="154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154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-2767965</wp:posOffset>
            </wp:positionV>
            <wp:extent cx="76835"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-2767965</wp:posOffset>
            </wp:positionV>
            <wp:extent cx="68580" cy="1714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-2767965</wp:posOffset>
            </wp:positionV>
            <wp:extent cx="68580" cy="1714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714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-2459355</wp:posOffset>
            </wp:positionV>
            <wp:extent cx="76835" cy="4546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45466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-2459355</wp:posOffset>
            </wp:positionV>
            <wp:extent cx="68580" cy="45466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-2459355</wp:posOffset>
            </wp:positionV>
            <wp:extent cx="68580" cy="45466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4546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-1045210</wp:posOffset>
            </wp:positionV>
            <wp:extent cx="76835" cy="1543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-1045210</wp:posOffset>
            </wp:positionV>
            <wp:extent cx="68580" cy="1543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-1045210</wp:posOffset>
            </wp:positionV>
            <wp:extent cx="68580" cy="154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154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-479425</wp:posOffset>
            </wp:positionV>
            <wp:extent cx="76835" cy="1714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-479425</wp:posOffset>
            </wp:positionV>
            <wp:extent cx="68580" cy="1714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-479425</wp:posOffset>
            </wp:positionV>
            <wp:extent cx="68580" cy="1714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714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76835" cy="1714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1714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1714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0" w:lineRule="exact"/>
        <w:rPr>
          <w:sz w:val="20"/>
          <w:szCs w:val="20"/>
          <w:color w:val="auto"/>
        </w:rPr>
      </w:pPr>
    </w:p>
    <w:p>
      <w:pPr>
        <w:ind w:left="520" w:right="120" w:hanging="512"/>
        <w:spacing w:after="0" w:line="259" w:lineRule="auto"/>
        <w:tabs>
          <w:tab w:leader="none" w:pos="5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spacing w:after="0" w:line="168"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changes in Level 3 assets and liabilities measured at estimated fair value on a recurring basis during the three months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2022 and 2021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2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Assets and Other Liabilities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line="154" w:lineRule="exact"/>
              <w:rPr>
                <w:sz w:val="20"/>
                <w:szCs w:val="20"/>
                <w:color w:val="auto"/>
              </w:rPr>
            </w:pPr>
            <w:r>
              <w:rPr>
                <w:rFonts w:ascii="Times New Roman" w:cs="Times New Roman" w:eastAsia="Times New Roman" w:hAnsi="Times New Roman"/>
                <w:sz w:val="17"/>
                <w:szCs w:val="17"/>
                <w:b w:val="1"/>
                <w:bCs w:val="1"/>
                <w:color w:val="auto"/>
                <w:w w:val="99"/>
              </w:rPr>
              <w:t>2022</w:t>
            </w:r>
          </w:p>
        </w:tc>
        <w:tc>
          <w:tcPr>
            <w:tcW w:w="8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(24,181 )</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3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38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(9,321 ) (a)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3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(14,804 ) (b)</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8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(48,306 )</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86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auto"/>
              </w:rPr>
              <w:t>Changes in unrealized gains included in earnings</w:t>
            </w:r>
          </w:p>
        </w:tc>
        <w:tc>
          <w:tcPr>
            <w:tcW w:w="38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3"/>
            <w:vMerge w:val="restart"/>
            <w:shd w:val="clear" w:color="auto" w:fill="CFF0FC"/>
          </w:tcPr>
          <w:p>
            <w:pPr>
              <w:jc w:val="right"/>
              <w:spacing w:after="0" w:line="344" w:lineRule="exact"/>
              <w:rPr>
                <w:sz w:val="20"/>
                <w:szCs w:val="20"/>
                <w:color w:val="auto"/>
              </w:rPr>
            </w:pPr>
            <w:r>
              <w:rPr>
                <w:rFonts w:ascii="Times New Roman" w:cs="Times New Roman" w:eastAsia="Times New Roman" w:hAnsi="Times New Roman"/>
                <w:sz w:val="18"/>
                <w:szCs w:val="18"/>
                <w:color w:val="auto"/>
              </w:rPr>
              <w:t xml:space="preserve">(17,160 ) </w:t>
            </w:r>
            <w:r>
              <w:rPr>
                <w:rFonts w:ascii="Times New Roman" w:cs="Times New Roman" w:eastAsia="Times New Roman" w:hAnsi="Times New Roman"/>
                <w:sz w:val="35"/>
                <w:szCs w:val="35"/>
                <w:color w:val="auto"/>
                <w:vertAlign w:val="subscript"/>
              </w:rPr>
              <w:t>(a)</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8660" w:type="dxa"/>
            <w:vAlign w:val="bottom"/>
            <w:gridSpan w:val="2"/>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related to assets still held at September 30, 2022</w:t>
            </w:r>
          </w:p>
        </w:tc>
        <w:tc>
          <w:tcPr>
            <w:tcW w:w="380" w:type="dxa"/>
            <w:vAlign w:val="bottom"/>
            <w:vMerge w:val="continue"/>
            <w:shd w:val="clear" w:color="auto" w:fill="CFF0FC"/>
          </w:tcPr>
          <w:p>
            <w:pPr>
              <w:spacing w:after="0"/>
              <w:rPr>
                <w:sz w:val="21"/>
                <w:szCs w:val="21"/>
                <w:color w:val="auto"/>
              </w:rPr>
            </w:pPr>
          </w:p>
        </w:tc>
        <w:tc>
          <w:tcPr>
            <w:tcW w:w="2180" w:type="dxa"/>
            <w:vAlign w:val="bottom"/>
            <w:gridSpan w:val="3"/>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20" w:type="dxa"/>
            <w:vAlign w:val="bottom"/>
            <w:tcBorders>
              <w:top w:val="single" w:sz="8" w:color="CFF0FC"/>
            </w:tcBorders>
          </w:tcPr>
          <w:p>
            <w:pPr>
              <w:spacing w:after="0"/>
              <w:rPr>
                <w:sz w:val="24"/>
                <w:szCs w:val="24"/>
                <w:color w:val="auto"/>
              </w:rPr>
            </w:pPr>
          </w:p>
        </w:tc>
        <w:tc>
          <w:tcPr>
            <w:tcW w:w="360" w:type="dxa"/>
            <w:vAlign w:val="bottom"/>
            <w:tcBorders>
              <w:top w:val="single" w:sz="8" w:color="CFF0FC"/>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83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3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3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44,152</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8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380" w:type="dxa"/>
            <w:vAlign w:val="bottom"/>
            <w:shd w:val="clear" w:color="auto" w:fill="CFF0FC"/>
          </w:tcPr>
          <w:p>
            <w:pPr>
              <w:spacing w:after="0"/>
              <w:rPr>
                <w:sz w:val="18"/>
                <w:szCs w:val="18"/>
                <w:color w:val="auto"/>
              </w:rPr>
            </w:pPr>
          </w:p>
        </w:tc>
        <w:tc>
          <w:tcPr>
            <w:tcW w:w="2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(59,673 ) (b)</w:t>
            </w:r>
          </w:p>
        </w:tc>
        <w:tc>
          <w:tcPr>
            <w:tcW w:w="0" w:type="dxa"/>
            <w:vAlign w:val="bottom"/>
          </w:tcPr>
          <w:p>
            <w:pPr>
              <w:spacing w:after="0"/>
              <w:rPr>
                <w:sz w:val="1"/>
                <w:szCs w:val="1"/>
                <w:color w:val="auto"/>
              </w:rPr>
            </w:pPr>
          </w:p>
        </w:tc>
      </w:tr>
      <w:tr>
        <w:trPr>
          <w:trHeight w:val="210"/>
        </w:trPr>
        <w:tc>
          <w:tcPr>
            <w:tcW w:w="20" w:type="dxa"/>
            <w:vAlign w:val="bottom"/>
            <w:tcBorders>
              <w:top w:val="single" w:sz="8" w:color="CFF0FC"/>
            </w:tcBorders>
          </w:tcPr>
          <w:p>
            <w:pPr>
              <w:spacing w:after="0"/>
              <w:rPr>
                <w:sz w:val="18"/>
                <w:szCs w:val="18"/>
                <w:color w:val="auto"/>
              </w:rPr>
            </w:pPr>
          </w:p>
        </w:tc>
        <w:tc>
          <w:tcPr>
            <w:tcW w:w="86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Balance — September 30, 2021</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86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6"/>
                <w:szCs w:val="16"/>
                <w:color w:val="auto"/>
              </w:rPr>
              <w:t>Changes in unrealized gains included in earnings</w:t>
            </w:r>
          </w:p>
        </w:tc>
        <w:tc>
          <w:tcPr>
            <w:tcW w:w="380" w:type="dxa"/>
            <w:vAlign w:val="bottom"/>
            <w:vMerge w:val="restart"/>
            <w:shd w:val="clear" w:color="auto" w:fill="CFF0FC"/>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8660" w:type="dxa"/>
            <w:vAlign w:val="bottom"/>
            <w:tcBorders>
              <w:bottom w:val="single" w:sz="8" w:color="CFF0FC"/>
            </w:tcBorders>
            <w:gridSpan w:val="2"/>
            <w:shd w:val="clear" w:color="auto" w:fill="CFF0FC"/>
          </w:tcPr>
          <w:p>
            <w:pPr>
              <w:ind w:left="140"/>
              <w:spacing w:after="0" w:line="202" w:lineRule="exact"/>
              <w:rPr>
                <w:sz w:val="20"/>
                <w:szCs w:val="20"/>
                <w:color w:val="auto"/>
              </w:rPr>
            </w:pPr>
            <w:r>
              <w:rPr>
                <w:rFonts w:ascii="Times New Roman" w:cs="Times New Roman" w:eastAsia="Times New Roman" w:hAnsi="Times New Roman"/>
                <w:sz w:val="18"/>
                <w:szCs w:val="18"/>
                <w:color w:val="auto"/>
              </w:rPr>
              <w:t>related to assets still held at September 30, 2021</w:t>
            </w:r>
          </w:p>
        </w:tc>
        <w:tc>
          <w:tcPr>
            <w:tcW w:w="380" w:type="dxa"/>
            <w:vAlign w:val="bottom"/>
            <w:tcBorders>
              <w:bottom w:val="single" w:sz="8" w:color="auto"/>
            </w:tcBorders>
            <w:vMerge w:val="continue"/>
            <w:shd w:val="clear" w:color="auto" w:fill="CFF0FC"/>
          </w:tcPr>
          <w:p>
            <w:pPr>
              <w:spacing w:after="0"/>
              <w:rPr>
                <w:sz w:val="21"/>
                <w:szCs w:val="21"/>
                <w:color w:val="auto"/>
              </w:rPr>
            </w:pPr>
          </w:p>
        </w:tc>
        <w:tc>
          <w:tcPr>
            <w:tcW w:w="18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6897370</wp:posOffset>
            </wp:positionH>
            <wp:positionV relativeFrom="paragraph">
              <wp:posOffset>-1824990</wp:posOffset>
            </wp:positionV>
            <wp:extent cx="68580" cy="1714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-1422400</wp:posOffset>
            </wp:positionV>
            <wp:extent cx="68580" cy="5829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58293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-427990</wp:posOffset>
            </wp:positionV>
            <wp:extent cx="68580" cy="1714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-24765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190309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hanging="512"/>
        <w:spacing w:after="0" w:line="254" w:lineRule="auto"/>
        <w:tabs>
          <w:tab w:leader="none" w:pos="5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ind w:left="520" w:hanging="512"/>
        <w:spacing w:after="0"/>
        <w:tabs>
          <w:tab w:leader="none" w:pos="5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395"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The changes in Level 3 assets and liabilities measured at estimated fair value on a recurring basis during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2022 and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220" w:type="dxa"/>
            <w:vAlign w:val="bottom"/>
          </w:tcPr>
          <w:p>
            <w:pPr>
              <w:spacing w:after="0"/>
              <w:rPr>
                <w:sz w:val="16"/>
                <w:szCs w:val="16"/>
                <w:color w:val="auto"/>
              </w:rPr>
            </w:pPr>
          </w:p>
        </w:tc>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Assets and Other</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180" w:type="dxa"/>
            <w:vAlign w:val="bottom"/>
            <w:tcBorders>
              <w:top w:val="single" w:sz="8" w:color="auto"/>
            </w:tcBorders>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Privately Issued Mortgage-Backed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realized/unrealized: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(34,630 ) (a)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0" w:type="dxa"/>
            <w:vAlign w:val="bottom"/>
            <w:gridSpan w:val="3"/>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(20,116 ) (b)</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59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(48,306 )</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FF0FC"/>
          </w:tcPr>
          <w:p>
            <w:pPr>
              <w:spacing w:after="0"/>
              <w:rPr>
                <w:sz w:val="13"/>
                <w:szCs w:val="13"/>
                <w:color w:val="auto"/>
              </w:rPr>
            </w:pPr>
          </w:p>
        </w:tc>
        <w:tc>
          <w:tcPr>
            <w:tcW w:w="6340" w:type="dxa"/>
            <w:vAlign w:val="bottom"/>
            <w:gridSpan w:val="2"/>
            <w:shd w:val="clear" w:color="auto" w:fill="CFF0FC"/>
          </w:tcPr>
          <w:p>
            <w:pPr>
              <w:spacing w:after="0" w:line="151" w:lineRule="exact"/>
              <w:rPr>
                <w:sz w:val="20"/>
                <w:szCs w:val="20"/>
                <w:color w:val="auto"/>
              </w:rPr>
            </w:pPr>
            <w:r>
              <w:rPr>
                <w:rFonts w:ascii="Times New Roman" w:cs="Times New Roman" w:eastAsia="Times New Roman" w:hAnsi="Times New Roman"/>
                <w:sz w:val="17"/>
                <w:szCs w:val="17"/>
                <w:color w:val="auto"/>
              </w:rPr>
              <w:t>Changes in unrealized gains included in earnings</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3"/>
                <w:szCs w:val="13"/>
                <w:color w:val="auto"/>
              </w:rPr>
            </w:pPr>
          </w:p>
        </w:tc>
        <w:tc>
          <w:tcPr>
            <w:tcW w:w="2140" w:type="dxa"/>
            <w:vAlign w:val="bottom"/>
            <w:tcBorders>
              <w:right w:val="single" w:sz="8" w:color="CFF0FC"/>
            </w:tcBorders>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gridSpan w:val="3"/>
            <w:vMerge w:val="restart"/>
            <w:shd w:val="clear" w:color="auto" w:fill="CFF0FC"/>
          </w:tcPr>
          <w:p>
            <w:pPr>
              <w:ind w:left="1200"/>
              <w:spacing w:after="0" w:line="344" w:lineRule="exact"/>
              <w:rPr>
                <w:sz w:val="20"/>
                <w:szCs w:val="20"/>
                <w:color w:val="auto"/>
              </w:rPr>
            </w:pPr>
            <w:r>
              <w:rPr>
                <w:rFonts w:ascii="Times New Roman" w:cs="Times New Roman" w:eastAsia="Times New Roman" w:hAnsi="Times New Roman"/>
                <w:sz w:val="18"/>
                <w:szCs w:val="18"/>
                <w:color w:val="auto"/>
              </w:rPr>
              <w:t xml:space="preserve">(48,108 ) </w:t>
            </w:r>
            <w:r>
              <w:rPr>
                <w:rFonts w:ascii="Times New Roman" w:cs="Times New Roman" w:eastAsia="Times New Roman" w:hAnsi="Times New Roman"/>
                <w:sz w:val="35"/>
                <w:szCs w:val="35"/>
                <w:color w:val="auto"/>
                <w:vertAlign w:val="subscript"/>
              </w:rPr>
              <w:t>(a)</w:t>
            </w: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6340" w:type="dxa"/>
            <w:vAlign w:val="bottom"/>
            <w:gridSpan w:val="2"/>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related to assets still held at September 30, 2022</w:t>
            </w:r>
          </w:p>
        </w:tc>
        <w:tc>
          <w:tcPr>
            <w:tcW w:w="14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40" w:type="dxa"/>
            <w:vAlign w:val="bottom"/>
            <w:tcBorders>
              <w:right w:val="single" w:sz="8" w:color="CFF0FC"/>
            </w:tcBorders>
            <w:gridSpan w:val="2"/>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2200" w:type="dxa"/>
            <w:vAlign w:val="bottom"/>
            <w:gridSpan w:val="3"/>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20" w:type="dxa"/>
            <w:vAlign w:val="bottom"/>
            <w:tcBorders>
              <w:top w:val="single" w:sz="8" w:color="CFF0FC"/>
            </w:tcBorders>
          </w:tcPr>
          <w:p>
            <w:pPr>
              <w:spacing w:after="0"/>
              <w:rPr>
                <w:sz w:val="24"/>
                <w:szCs w:val="24"/>
                <w:color w:val="auto"/>
              </w:rPr>
            </w:pPr>
          </w:p>
        </w:tc>
        <w:tc>
          <w:tcPr>
            <w:tcW w:w="360" w:type="dxa"/>
            <w:vAlign w:val="bottom"/>
            <w:tcBorders>
              <w:top w:val="single" w:sz="8" w:color="CFF0FC"/>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59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January 1, 2021</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4"/>
                <w:szCs w:val="24"/>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realized/unrealized:</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earnings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102,489</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(125,578 ) (b)</w:t>
            </w:r>
          </w:p>
        </w:tc>
        <w:tc>
          <w:tcPr>
            <w:tcW w:w="0" w:type="dxa"/>
            <w:vAlign w:val="bottom"/>
          </w:tcPr>
          <w:p>
            <w:pPr>
              <w:spacing w:after="0"/>
              <w:rPr>
                <w:sz w:val="1"/>
                <w:szCs w:val="1"/>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September 30, 2021</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340" w:type="dxa"/>
            <w:vAlign w:val="bottom"/>
            <w:gridSpan w:val="2"/>
          </w:tcPr>
          <w:p>
            <w:pPr>
              <w:spacing w:after="0" w:line="151" w:lineRule="exact"/>
              <w:rPr>
                <w:sz w:val="20"/>
                <w:szCs w:val="20"/>
                <w:color w:val="auto"/>
              </w:rPr>
            </w:pPr>
            <w:r>
              <w:rPr>
                <w:rFonts w:ascii="Times New Roman" w:cs="Times New Roman" w:eastAsia="Times New Roman" w:hAnsi="Times New Roman"/>
                <w:sz w:val="17"/>
                <w:szCs w:val="17"/>
                <w:color w:val="auto"/>
              </w:rPr>
              <w:t>Changes in unrealized gains included in earnings</w:t>
            </w:r>
          </w:p>
        </w:tc>
        <w:tc>
          <w:tcPr>
            <w:tcW w:w="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4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related to assets still held at September 30, 2021</w:t>
            </w:r>
          </w:p>
        </w:tc>
        <w:tc>
          <w:tcPr>
            <w:tcW w:w="320" w:type="dxa"/>
            <w:vAlign w:val="bottom"/>
            <w:gridSpan w:val="2"/>
            <w:vMerge w:val="continue"/>
          </w:tcPr>
          <w:p>
            <w:pPr>
              <w:spacing w:after="0"/>
              <w:rPr>
                <w:sz w:val="16"/>
                <w:szCs w:val="16"/>
                <w:color w:val="auto"/>
              </w:rPr>
            </w:pPr>
          </w:p>
        </w:tc>
        <w:tc>
          <w:tcPr>
            <w:tcW w:w="21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-2073910</wp:posOffset>
            </wp:positionV>
            <wp:extent cx="77470" cy="1714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-2073910</wp:posOffset>
            </wp:positionV>
            <wp:extent cx="68580"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-1671320</wp:posOffset>
            </wp:positionV>
            <wp:extent cx="774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-1653540</wp:posOffset>
            </wp:positionV>
            <wp:extent cx="774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-1671320</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-1653540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-282575</wp:posOffset>
            </wp:positionV>
            <wp:extent cx="1525905" cy="283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52590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43" w:lineRule="exact"/>
        <w:rPr>
          <w:sz w:val="20"/>
          <w:szCs w:val="20"/>
          <w:color w:val="auto"/>
        </w:rPr>
      </w:pPr>
    </w:p>
    <w:p>
      <w:pPr>
        <w:ind w:left="520" w:hanging="512"/>
        <w:spacing w:after="0" w:line="247" w:lineRule="auto"/>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Reported as mortgage banking revenues in the consolidated statement of income and includes the fair value of commitment issuances and expirations.</w:t>
      </w:r>
    </w:p>
    <w:p>
      <w:pPr>
        <w:ind w:left="520" w:hanging="512"/>
        <w:spacing w:after="0"/>
        <w:tabs>
          <w:tab w:leader="none" w:pos="52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Transfers out of Level 3 consist of interest rate locks transferred to closed loans.</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26"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8" w:lineRule="exact"/>
        <w:rPr>
          <w:sz w:val="20"/>
          <w:szCs w:val="20"/>
          <w:color w:val="auto"/>
        </w:rPr>
      </w:pPr>
    </w:p>
    <w:p>
      <w:pPr>
        <w:ind w:right="180" w:firstLine="469"/>
        <w:spacing w:after="0" w:line="270" w:lineRule="auto"/>
        <w:rPr>
          <w:sz w:val="20"/>
          <w:szCs w:val="20"/>
          <w:color w:val="auto"/>
        </w:rPr>
      </w:pPr>
      <w:r>
        <w:rPr>
          <w:rFonts w:ascii="Times New Roman" w:cs="Times New Roman" w:eastAsia="Times New Roman" w:hAnsi="Times New Roman"/>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Loans</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 the range of 15% to 90% with a weighted-average of 37% at September 30, 2022.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September 30, 2022 was 66%. As these recovery rates are not readily observable by market participants, such valuation adjustments have been classified as Level 3. Loans subject to nonrecurring fair value measurement were $706 million at September 30, 2022 ($439 million and $267 million of which were classified as Level 2 and Level 3, respectively), $574 million at December 31, 2021 ($340 million and $234 million of which were classified as Level 2 and Level 3, respectively) and $591 million at September 30, 2021 ($330 million and $261 million of which were classified as Level 2 and Level 3, respectively). Changes in fair value recognized for partial charge-offs of loans and loan impairment reserves on loans held by the Company on September 30, 2022 were decreases of $38 million and $128 million for the three-month and nine-month periods ended September 30, 2022, respectively. Changes in fair value recognized for partial charge-offs of loans and loan impairment reserves on loans held by the Company on September 30, 2021 were decreases of $35 million and $125 million for the three-month and nine-month periods ended September 30, 2021,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ind w:right="7360" w:firstLine="8"/>
        <w:spacing w:after="0" w:line="360" w:lineRule="auto"/>
        <w:tabs>
          <w:tab w:leader="none" w:pos="310"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continued </w:t>
      </w:r>
      <w:r>
        <w:rPr>
          <w:rFonts w:ascii="Times New Roman" w:cs="Times New Roman" w:eastAsia="Times New Roman" w:hAnsi="Times New Roman"/>
          <w:sz w:val="20"/>
          <w:szCs w:val="20"/>
          <w:b w:val="1"/>
          <w:bCs w:val="1"/>
          <w:i w:val="1"/>
          <w:iCs w:val="1"/>
          <w:color w:val="auto"/>
        </w:rPr>
        <w:t>Assets taken in foreclosure of defaulted loans</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September 30, 2022 and 2021. Changes in fair value recognized for foreclosed assets held by the Company were not material during the three-month and nine-month periods ended September 30, 2022 and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Capitalized servicing rights</w:t>
      </w:r>
    </w:p>
    <w:p>
      <w:pPr>
        <w:spacing w:after="0" w:line="1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$138 million at December 31, 2021 required a valuation allowance of $24 million. Significant unobservable inputs used in this Level 3 valuation included a weighted-average prepayment speed of 14.64% and a weighted-average option-adjusted spread of 900 basis points at December 31, 2021. Changes in fair value recognized for impairment of capitalized servicing rights were decreases in the valuation allowance of $10 million and $24 million, respectively, for the three-month and nine-month periods ended September 30, 2022 and $1 million during the nine-month period ended September 30,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Significant unobservable inputs to Level 3 measurements</w:t>
      </w:r>
    </w:p>
    <w:p>
      <w:pPr>
        <w:spacing w:after="0" w:line="10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21"/>
          <w:szCs w:val="21"/>
          <w:color w:val="auto"/>
        </w:rPr>
        <w:t>The following table presents quantitative information about significant unobservable inputs used in the fair value measurements for certain Level 3 assets and liabilities at September 30, 2022 and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vMerge w:val="restart"/>
          </w:tcPr>
          <w:p>
            <w:pPr>
              <w:spacing w:after="0"/>
              <w:rPr>
                <w:sz w:val="13"/>
                <w:szCs w:val="13"/>
                <w:color w:val="auto"/>
              </w:rPr>
            </w:pPr>
          </w:p>
        </w:tc>
        <w:tc>
          <w:tcPr>
            <w:tcW w:w="1760" w:type="dxa"/>
            <w:vAlign w:val="bottom"/>
          </w:tcPr>
          <w:p>
            <w:pPr>
              <w:ind w:left="580"/>
              <w:spacing w:after="0" w:line="160"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280" w:type="dxa"/>
            <w:vAlign w:val="bottom"/>
          </w:tcPr>
          <w:p>
            <w:pPr>
              <w:spacing w:after="0"/>
              <w:rPr>
                <w:sz w:val="13"/>
                <w:szCs w:val="13"/>
                <w:color w:val="auto"/>
              </w:rPr>
            </w:pPr>
          </w:p>
        </w:tc>
        <w:tc>
          <w:tcPr>
            <w:tcW w:w="1520" w:type="dxa"/>
            <w:vAlign w:val="bottom"/>
          </w:tcPr>
          <w:p>
            <w:pPr>
              <w:ind w:left="340"/>
              <w:spacing w:after="0" w:line="160"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8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80" w:type="dxa"/>
            <w:vAlign w:val="bottom"/>
          </w:tcPr>
          <w:p>
            <w:pPr>
              <w:spacing w:after="0"/>
              <w:rPr>
                <w:sz w:val="16"/>
                <w:szCs w:val="16"/>
                <w:color w:val="auto"/>
              </w:rPr>
            </w:pPr>
          </w:p>
        </w:tc>
        <w:tc>
          <w:tcPr>
            <w:tcW w:w="1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Inputs/Assumptions</w:t>
            </w:r>
          </w:p>
        </w:tc>
        <w:tc>
          <w:tcPr>
            <w:tcW w:w="28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Commitment</w:t>
            </w:r>
          </w:p>
        </w:tc>
        <w:tc>
          <w:tcPr>
            <w:tcW w:w="28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(48,306 )</w:t>
            </w: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expirations</w:t>
            </w:r>
          </w:p>
        </w:tc>
        <w:tc>
          <w:tcPr>
            <w:tcW w:w="226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0% - 90%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8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Recurring fair value measurements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52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Commitment</w:t>
            </w:r>
          </w:p>
        </w:tc>
        <w:tc>
          <w:tcPr>
            <w:tcW w:w="28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other assets (liabilities) (a)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00" w:type="dxa"/>
            <w:vAlign w:val="bottom"/>
            <w:shd w:val="clear" w:color="auto" w:fill="CFF0FC"/>
          </w:tcPr>
          <w:p>
            <w:pPr>
              <w:spacing w:after="0"/>
              <w:rPr>
                <w:sz w:val="20"/>
                <w:szCs w:val="20"/>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expirations</w:t>
            </w:r>
          </w:p>
        </w:tc>
        <w:tc>
          <w:tcPr>
            <w:tcW w:w="22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0% - 80%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Level 3 assets (liabilities) consist of commitments to originate real estate loans.</w:t>
      </w:r>
    </w:p>
    <w:p>
      <w:pPr>
        <w:spacing w:after="0" w:line="213"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Sensitivity of fair value measurements to changes in unobservable inputs</w:t>
      </w:r>
    </w:p>
    <w:p>
      <w:pPr>
        <w:spacing w:after="0" w:line="100"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Disclosures of fair value of financial instruments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carrying amounts and estimated fair value for financial instrument assets (liabilities) are presented in the following tables: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1"/>
                <w:szCs w:val="11"/>
                <w:color w:val="auto"/>
              </w:rPr>
            </w:pP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2,255,810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2,255,810</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2,115,730</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140,080</w:t>
            </w:r>
          </w:p>
        </w:tc>
        <w:tc>
          <w:tcPr>
            <w:tcW w:w="22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25,391,528</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25,391,528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25,391,528</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Trading account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129,672</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129,672</w:t>
            </w: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129,672</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24,603,765</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23,259,558</w:t>
            </w: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184,811</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23,021,349</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and leases: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loans and leases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38,807,949</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38,230,478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38,230,478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46,138,665</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44,324,720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300,373</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44,024,347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Residential real estate loans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23,074,280</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21,173,522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7,262,522</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13,911,000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loans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20,204,693</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19,844,173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(1,875,591 )</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7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6"/>
                <w:szCs w:val="16"/>
                <w:color w:val="auto"/>
              </w:rPr>
              <w:t>Loans and leases, net</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126,349,996</w:t>
            </w:r>
          </w:p>
        </w:tc>
        <w:tc>
          <w:tcPr>
            <w:tcW w:w="24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123,572,893</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7,562,895</w:t>
            </w:r>
          </w:p>
        </w:tc>
        <w:tc>
          <w:tcPr>
            <w:tcW w:w="22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116,009,998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539,270</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539,270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539,270</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(73,023,271 )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(73,023,271 )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(73,023,271 )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(86,015,700 )</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(86,015,700 )</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(86,015,700 )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(4,806,417 )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(4,797,112 )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(4,797,112 )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(917,806 )</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(917,806 )</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(917,806 )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borrowings</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(3,459,336 )</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(3,431,790 )</w:t>
            </w: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(3,431,790 )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(38,502 )</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(38,502 )</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(38,502 )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financial instruments: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Commitments to originate real estate</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(48,306 )</w:t>
            </w: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(48,306 )</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(48,306 )</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loans for sale</w:t>
            </w:r>
          </w:p>
        </w:tc>
        <w:tc>
          <w:tcPr>
            <w:tcW w:w="1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74,527</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74,527</w:t>
            </w:r>
          </w:p>
        </w:tc>
        <w:tc>
          <w:tcPr>
            <w:tcW w:w="2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7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credit-related commitments</w:t>
            </w:r>
          </w:p>
        </w:tc>
        <w:tc>
          <w:tcPr>
            <w:tcW w:w="1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(135,000 )</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(135,000 )</w:t>
            </w:r>
          </w:p>
        </w:tc>
        <w:tc>
          <w:tcPr>
            <w:tcW w:w="14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(135,000 )</w:t>
            </w:r>
          </w:p>
        </w:tc>
        <w:tc>
          <w:tcPr>
            <w:tcW w:w="0" w:type="dxa"/>
            <w:vAlign w:val="bottom"/>
          </w:tcPr>
          <w:p>
            <w:pPr>
              <w:spacing w:after="0"/>
              <w:rPr>
                <w:sz w:val="1"/>
                <w:szCs w:val="1"/>
                <w:color w:val="auto"/>
              </w:rPr>
            </w:pPr>
          </w:p>
        </w:tc>
      </w:tr>
      <w:tr>
        <w:trPr>
          <w:trHeight w:val="149"/>
        </w:trPr>
        <w:tc>
          <w:tcPr>
            <w:tcW w:w="472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Interest rate swap agreements used for</w:t>
            </w:r>
          </w:p>
        </w:tc>
        <w:tc>
          <w:tcPr>
            <w:tcW w:w="180" w:type="dxa"/>
            <w:vAlign w:val="bottom"/>
            <w:shd w:val="clear" w:color="auto" w:fill="CFF0FC"/>
          </w:tcPr>
          <w:p>
            <w:pPr>
              <w:spacing w:after="0"/>
              <w:rPr>
                <w:sz w:val="12"/>
                <w:szCs w:val="12"/>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(11,495 )</w:t>
            </w:r>
          </w:p>
        </w:tc>
        <w:tc>
          <w:tcPr>
            <w:tcW w:w="1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(11,495 )</w:t>
            </w:r>
          </w:p>
        </w:tc>
        <w:tc>
          <w:tcPr>
            <w:tcW w:w="14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(11,495 )</w:t>
            </w: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rate risk management</w:t>
            </w:r>
          </w:p>
        </w:tc>
        <w:tc>
          <w:tcPr>
            <w:tcW w:w="18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320" w:type="dxa"/>
            <w:vAlign w:val="bottom"/>
            <w:gridSpan w:val="2"/>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Interest rate and foreign exchange contracts</w:t>
            </w:r>
          </w:p>
        </w:tc>
        <w:tc>
          <w:tcPr>
            <w:tcW w:w="180" w:type="dxa"/>
            <w:vAlign w:val="bottom"/>
          </w:tcPr>
          <w:p>
            <w:pPr>
              <w:spacing w:after="0"/>
              <w:rPr>
                <w:sz w:val="12"/>
                <w:szCs w:val="12"/>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(1,004,223 )</w:t>
            </w:r>
          </w:p>
        </w:tc>
        <w:tc>
          <w:tcPr>
            <w:tcW w:w="1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(1,004,223 )</w:t>
            </w:r>
          </w:p>
        </w:tc>
        <w:tc>
          <w:tcPr>
            <w:tcW w:w="14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(1,004,223 )</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-2241550</wp:posOffset>
            </wp:positionV>
            <wp:extent cx="76835" cy="1371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-2241550</wp:posOffset>
            </wp:positionV>
            <wp:extent cx="77470" cy="1371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-2241550</wp:posOffset>
            </wp:positionV>
            <wp:extent cx="68580" cy="1371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-2241550</wp:posOffset>
            </wp:positionV>
            <wp:extent cx="68580" cy="1371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1371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 Fair value measurements,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60" w:type="dxa"/>
            <w:vAlign w:val="bottom"/>
            <w:gridSpan w:val="2"/>
          </w:tcPr>
          <w:p>
            <w:pPr>
              <w:jc w:val="right"/>
              <w:ind w:right="448"/>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1,337,577</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1,337,577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1,205,269</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132,308</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41,872,304</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41,872,304</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41,872,304</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Trading account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49,745</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49,545</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Investment securities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7,155,860</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7,192,476</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68,850</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7,066,293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and leases: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loans and leases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23,473,324</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23,285,224</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23,285,224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real estate loans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35,389,730</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34,730,191</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425,010</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34,305,181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Residential real estate loans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16,074,445</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16,160,799</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4,524,018</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11,636,781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 loans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17,974,953</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18,121,363</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(1,469,226 )</w:t>
            </w:r>
          </w:p>
        </w:tc>
        <w:tc>
          <w:tcPr>
            <w:tcW w:w="14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4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6"/>
                <w:szCs w:val="16"/>
                <w:color w:val="auto"/>
              </w:rPr>
              <w:t>Loans and leases, net</w:t>
            </w: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91,443,226</w:t>
            </w:r>
          </w:p>
        </w:tc>
        <w:tc>
          <w:tcPr>
            <w:tcW w:w="240" w:type="dxa"/>
            <w:vAlign w:val="bottom"/>
            <w:tcBorders>
              <w:top w:val="single" w:sz="8" w:color="CFF0FC"/>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92,297,577</w:t>
            </w:r>
          </w:p>
        </w:tc>
        <w:tc>
          <w:tcPr>
            <w:tcW w:w="220" w:type="dxa"/>
            <w:vAlign w:val="bottom"/>
            <w:tcBorders>
              <w:top w:val="single" w:sz="8" w:color="CFF0FC"/>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4,949,028</w:t>
            </w:r>
          </w:p>
        </w:tc>
        <w:tc>
          <w:tcPr>
            <w:tcW w:w="220" w:type="dxa"/>
            <w:vAlign w:val="bottom"/>
            <w:tcBorders>
              <w:top w:val="single" w:sz="8" w:color="CFF0FC"/>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87,348,549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335,162</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335,162</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335,162</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(60,131,480 )</w:t>
            </w:r>
          </w:p>
        </w:tc>
        <w:tc>
          <w:tcPr>
            <w:tcW w:w="1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(60,131,480 )</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(60,131,480 )</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(68,603,966 )</w:t>
            </w: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(68,603,966 )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(68,603,966 )</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(2,807,963 )</w:t>
            </w:r>
          </w:p>
        </w:tc>
        <w:tc>
          <w:tcPr>
            <w:tcW w:w="1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(2,810,143 )</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(2,810,143 )</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Short-term borrowings</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(47,046 )</w:t>
            </w: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(47,046 )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(47,046 )</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Long-term borrowings</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(3,485,369 )</w:t>
            </w:r>
          </w:p>
        </w:tc>
        <w:tc>
          <w:tcPr>
            <w:tcW w:w="1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(3,562,223 )</w:t>
            </w: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(3,562,223 )</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interest payable</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(40,866 )</w:t>
            </w: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(40,866 )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(40,866 )</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financial instruments: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48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Commitments to originate real estate</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loans for sale</w:t>
            </w:r>
          </w:p>
        </w:tc>
        <w:tc>
          <w:tcPr>
            <w:tcW w:w="2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Commitments to sell real estate loans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credit-related commitments</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(123,032 )</w:t>
            </w:r>
          </w:p>
        </w:tc>
        <w:tc>
          <w:tcPr>
            <w:tcW w:w="14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(123,032 )</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(123,032 )</w:t>
            </w:r>
          </w:p>
        </w:tc>
        <w:tc>
          <w:tcPr>
            <w:tcW w:w="0" w:type="dxa"/>
            <w:vAlign w:val="bottom"/>
          </w:tcPr>
          <w:p>
            <w:pPr>
              <w:spacing w:after="0"/>
              <w:rPr>
                <w:sz w:val="1"/>
                <w:szCs w:val="1"/>
                <w:color w:val="auto"/>
              </w:rPr>
            </w:pPr>
          </w:p>
        </w:tc>
      </w:tr>
      <w:tr>
        <w:trPr>
          <w:trHeight w:val="149"/>
        </w:trPr>
        <w:tc>
          <w:tcPr>
            <w:tcW w:w="448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Interest rate swap agreements used</w:t>
            </w:r>
          </w:p>
        </w:tc>
        <w:tc>
          <w:tcPr>
            <w:tcW w:w="220" w:type="dxa"/>
            <w:vAlign w:val="bottom"/>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(207 )</w:t>
            </w:r>
          </w:p>
        </w:tc>
        <w:tc>
          <w:tcPr>
            <w:tcW w:w="1460" w:type="dxa"/>
            <w:vAlign w:val="bottom"/>
            <w:gridSpan w:val="2"/>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(207 )</w:t>
            </w:r>
          </w:p>
        </w:tc>
        <w:tc>
          <w:tcPr>
            <w:tcW w:w="11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(207 )</w:t>
            </w:r>
          </w:p>
        </w:tc>
        <w:tc>
          <w:tcPr>
            <w:tcW w:w="12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 interest rate risk management</w:t>
            </w:r>
          </w:p>
        </w:tc>
        <w:tc>
          <w:tcPr>
            <w:tcW w:w="220" w:type="dxa"/>
            <w:vAlign w:val="bottom"/>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420" w:type="dxa"/>
            <w:vAlign w:val="bottom"/>
            <w:gridSpan w:val="2"/>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8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Interest rate and foreign exchange contracts</w:t>
            </w: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334,852</w:t>
            </w:r>
          </w:p>
        </w:tc>
        <w:tc>
          <w:tcPr>
            <w:tcW w:w="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334,852</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334,852</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-2241550</wp:posOffset>
            </wp:positionV>
            <wp:extent cx="77470" cy="13716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-2241550</wp:posOffset>
            </wp:positionV>
            <wp:extent cx="68580" cy="1371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-2241550</wp:posOffset>
            </wp:positionV>
            <wp:extent cx="68580" cy="1371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-2241550</wp:posOffset>
            </wp:positionV>
            <wp:extent cx="68580" cy="1371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1371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6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Commitments and contingencies</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tbl>
      <w:tblPr>
        <w:tblLayout w:type="fixed"/>
        <w:tblInd w:w="0" w:type="dxa"/>
        <w:tblCellMar>
          <w:top w:w="0" w:type="dxa"/>
          <w:left w:w="0" w:type="dxa"/>
          <w:bottom w:w="0" w:type="dxa"/>
          <w:right w:w="0" w:type="dxa"/>
        </w:tblCellMar>
      </w:tblPr>
      <w:tr>
        <w:trPr>
          <w:trHeight w:val="159"/>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
              <w:spacing w:after="0" w:line="15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080" w:type="dxa"/>
            <w:vAlign w:val="bottom"/>
          </w:tcPr>
          <w:p>
            <w:pPr>
              <w:jc w:val="right"/>
              <w:ind w:right="48"/>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6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80" w:type="dxa"/>
            <w:vAlign w:val="bottom"/>
          </w:tcPr>
          <w:p>
            <w:pPr>
              <w:spacing w:after="0"/>
              <w:rPr>
                <w:sz w:val="14"/>
                <w:szCs w:val="14"/>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8,317,141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5,693,045</w:t>
            </w:r>
          </w:p>
        </w:tc>
        <w:tc>
          <w:tcPr>
            <w:tcW w:w="80" w:type="dxa"/>
            <w:vAlign w:val="bottom"/>
          </w:tcPr>
          <w:p>
            <w:pPr>
              <w:spacing w:after="0"/>
              <w:rPr>
                <w:sz w:val="18"/>
                <w:szCs w:val="18"/>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401,369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324,943</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commercial real estate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5,063,155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4,998,631</w:t>
            </w:r>
          </w:p>
        </w:tc>
        <w:tc>
          <w:tcPr>
            <w:tcW w:w="80" w:type="dxa"/>
            <w:vAlign w:val="bottom"/>
          </w:tcPr>
          <w:p>
            <w:pPr>
              <w:spacing w:after="0"/>
              <w:rPr>
                <w:sz w:val="18"/>
                <w:szCs w:val="18"/>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233,257</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889,013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924,211</w:t>
            </w:r>
          </w:p>
        </w:tc>
        <w:tc>
          <w:tcPr>
            <w:tcW w:w="80" w:type="dxa"/>
            <w:vAlign w:val="bottom"/>
          </w:tcPr>
          <w:p>
            <w:pPr>
              <w:spacing w:after="0"/>
              <w:rPr>
                <w:sz w:val="18"/>
                <w:szCs w:val="18"/>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other</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32,089,753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22,145,057</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2,393,048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2,151,595</w:t>
            </w:r>
          </w:p>
        </w:tc>
        <w:tc>
          <w:tcPr>
            <w:tcW w:w="8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31,981</w:t>
            </w:r>
          </w:p>
        </w:tc>
        <w:tc>
          <w:tcPr>
            <w:tcW w:w="80" w:type="dxa"/>
            <w:vAlign w:val="bottom"/>
            <w:shd w:val="clear" w:color="auto" w:fill="CFF0FC"/>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3,893,455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4,211,797</w:t>
            </w:r>
          </w:p>
        </w:tc>
        <w:tc>
          <w:tcPr>
            <w:tcW w:w="8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783,405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1,367,523</w:t>
            </w:r>
          </w:p>
        </w:tc>
        <w:tc>
          <w:tcPr>
            <w:tcW w:w="80" w:type="dxa"/>
            <w:vAlign w:val="bottom"/>
            <w:shd w:val="clear" w:color="auto" w:fill="CFF0FC"/>
          </w:tcPr>
          <w:p>
            <w:pPr>
              <w:spacing w:after="0"/>
              <w:rPr>
                <w:sz w:val="18"/>
                <w:szCs w:val="18"/>
                <w:color w:val="auto"/>
              </w:rPr>
            </w:pPr>
          </w:p>
        </w:tc>
      </w:tr>
    </w:tbl>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20"/>
          <w:szCs w:val="20"/>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$15.2 billion and $10.8 billion at September 30, 2022 and December 31, 2021,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$3.7 billion at September 30, 2022 and $4.0 billion at December 31, 2021. There have been no material losses incurred as a result of those credit recourse arrangements.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5"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Commitments and contingencies, continued</w:t>
      </w:r>
    </w:p>
    <w:p>
      <w:pPr>
        <w:spacing w:after="0" w:line="9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September 30, 2022, the Company believes that its obligation to loan purchasers was not material to the Company’s consolidated financial position.</w:t>
      </w:r>
    </w:p>
    <w:p>
      <w:pPr>
        <w:spacing w:after="0" w:line="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September 30,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Segment information</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financial information of the Company's segments was compiled utilizing the accounting policies described in note 23 of Notes to Financial Statements in the 2021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Information about the Company's segments follows.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15. Segment information, continued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r>
      <w:tr>
        <w:trPr>
          <w:trHeight w:val="162"/>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Income</w:t>
            </w:r>
          </w:p>
        </w:tc>
      </w:tr>
      <w:tr>
        <w:trPr>
          <w:trHeight w:val="187"/>
        </w:trPr>
        <w:tc>
          <w:tcPr>
            <w:tcW w:w="3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100" w:type="dxa"/>
            <w:vAlign w:val="bottom"/>
          </w:tcPr>
          <w:p>
            <w:pPr>
              <w:spacing w:after="0"/>
              <w:rPr>
                <w:sz w:val="16"/>
                <w:szCs w:val="16"/>
                <w:color w:val="auto"/>
              </w:rPr>
            </w:pPr>
          </w:p>
        </w:tc>
      </w:tr>
      <w:tr>
        <w:trPr>
          <w:trHeight w:val="184"/>
        </w:trPr>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5"/>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Banking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241,629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72,017</w:t>
            </w:r>
          </w:p>
        </w:tc>
        <w:tc>
          <w:tcPr>
            <w:tcW w:w="100" w:type="dxa"/>
            <w:vAlign w:val="bottom"/>
          </w:tcPr>
          <w:p>
            <w:pPr>
              <w:spacing w:after="0"/>
              <w:rPr>
                <w:sz w:val="24"/>
                <w:szCs w:val="24"/>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Banking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510,549</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214,063</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295,209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144,367</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84,663</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Discretionary Portfolio</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(23,044 )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112,529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(14,448 )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74,666</w:t>
            </w:r>
          </w:p>
        </w:tc>
        <w:tc>
          <w:tcPr>
            <w:tcW w:w="100" w:type="dxa"/>
            <w:vAlign w:val="bottom"/>
            <w:shd w:val="clear" w:color="auto" w:fill="CFF0FC"/>
          </w:tcPr>
          <w:p>
            <w:pPr>
              <w:spacing w:after="0"/>
              <w:rPr>
                <w:sz w:val="18"/>
                <w:szCs w:val="18"/>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(3,283 )</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46,077</w:t>
            </w:r>
          </w:p>
        </w:tc>
        <w:tc>
          <w:tcPr>
            <w:tcW w:w="100" w:type="dxa"/>
            <w:vAlign w:val="bottom"/>
          </w:tcPr>
          <w:p>
            <w:pPr>
              <w:spacing w:after="0"/>
              <w:rPr>
                <w:sz w:val="19"/>
                <w:szCs w:val="19"/>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Banking</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650,229</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181,639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357,335</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88,004</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(14,312 )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(12,579 )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(14,334 )</w:t>
            </w:r>
          </w:p>
        </w:tc>
      </w:tr>
      <w:tr>
        <w:trPr>
          <w:trHeight w:val="250"/>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2,241,770</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646,596</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1,536,376</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0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3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0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Inter-</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r>
      <w:tr>
        <w:trPr>
          <w:trHeight w:val="160"/>
        </w:trPr>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segment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r>
      <w:tr>
        <w:trPr>
          <w:trHeight w:val="189"/>
        </w:trPr>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r>
      <w:tr>
        <w:trPr>
          <w:trHeight w:val="184"/>
        </w:trPr>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1"/>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Banking</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586,605</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205,741</w:t>
            </w: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482,874</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Pr>
          <w:p>
            <w:pPr>
              <w:spacing w:after="0"/>
              <w:rPr>
                <w:sz w:val="24"/>
                <w:szCs w:val="24"/>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159,895</w:t>
            </w:r>
          </w:p>
        </w:tc>
        <w:tc>
          <w:tcPr>
            <w:tcW w:w="100" w:type="dxa"/>
            <w:vAlign w:val="bottom"/>
          </w:tcPr>
          <w:p>
            <w:pPr>
              <w:spacing w:after="0"/>
              <w:rPr>
                <w:sz w:val="24"/>
                <w:szCs w:val="24"/>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Banking (b)</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1,239,300</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2,605</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521,749</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865,780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2,830</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378,040</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676,176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314,284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629,719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242,625</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Discretionary Portfolio</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190,761</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(74,952 )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103,283</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365,380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(34,554 )</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243,744</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346,409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35,028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459,655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125,791</w:t>
            </w:r>
          </w:p>
        </w:tc>
        <w:tc>
          <w:tcPr>
            <w:tcW w:w="100" w:type="dxa"/>
            <w:vAlign w:val="bottom"/>
          </w:tcPr>
          <w:p>
            <w:pPr>
              <w:spacing w:after="0"/>
              <w:rPr>
                <w:sz w:val="18"/>
                <w:szCs w:val="18"/>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Banking (b)</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1,523,992</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379,688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1,055,240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262,562</w:t>
            </w:r>
          </w:p>
        </w:tc>
        <w:tc>
          <w:tcPr>
            <w:tcW w:w="100" w:type="dxa"/>
            <w:vAlign w:val="bottom"/>
            <w:shd w:val="clear" w:color="auto" w:fill="CFF0FC"/>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1,106,405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(41,374 )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(333,481 )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620,694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(41,820 )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(11,879 )</w:t>
            </w:r>
          </w:p>
        </w:tc>
      </w:tr>
      <w:tr>
        <w:trPr>
          <w:trHeight w:val="250"/>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5,669,648</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1,226,292</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4,479,342</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1,400,778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-2253615</wp:posOffset>
            </wp:positionV>
            <wp:extent cx="4440555" cy="1714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440555" cy="17145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7747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6858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-8255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5" w:lineRule="exact"/>
        <w:rPr>
          <w:sz w:val="20"/>
          <w:szCs w:val="20"/>
          <w:color w:val="auto"/>
        </w:rPr>
      </w:pPr>
    </w:p>
    <w:p>
      <w:pPr>
        <w:jc w:val="both"/>
        <w:ind w:left="520" w:hanging="512"/>
        <w:spacing w:after="0" w:line="254" w:lineRule="auto"/>
        <w:tabs>
          <w:tab w:leader="none" w:pos="5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$11,827,000 and $3,703,000 for the three-month periods ended September 30, 2022 and 2021, respectively, and $25,787,000 and $11,168,000 for the nine-month periods ended September 30, 2022 and 2021,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3" w:lineRule="exact"/>
        <w:rPr>
          <w:rFonts w:ascii="Times New Roman" w:cs="Times New Roman" w:eastAsia="Times New Roman" w:hAnsi="Times New Roman"/>
          <w:sz w:val="14"/>
          <w:szCs w:val="14"/>
          <w:i w:val="1"/>
          <w:iCs w:val="1"/>
          <w:color w:val="auto"/>
        </w:rPr>
      </w:pPr>
    </w:p>
    <w:p>
      <w:pPr>
        <w:jc w:val="both"/>
        <w:ind w:left="520" w:hanging="512"/>
        <w:spacing w:after="0" w:line="262" w:lineRule="auto"/>
        <w:tabs>
          <w:tab w:leader="none" w:pos="52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During the three months ended September 30, 2022, the Company transferred most financial records and processes associated with People's United to the Company's data systems and processes. Additionally during that period the Company transferred certain acquired operations to the Commercial Banking segment from other segments. Revenues and net income related to those operations were $96.0 million and $32.6 million in the three months ended June 30, 2022 and have been reclassified in the financial data presented herein for the nine months ended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Total Assets</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1"/>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1"/>
                <w:szCs w:val="11"/>
                <w:color w:val="auto"/>
              </w:rPr>
            </w:pPr>
          </w:p>
        </w:tc>
      </w:tr>
      <w:tr>
        <w:trPr>
          <w:trHeight w:val="189"/>
        </w:trPr>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r>
      <w:tr>
        <w:trPr>
          <w:trHeight w:val="187"/>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r>
      <w:tr>
        <w:trPr>
          <w:trHeight w:val="184"/>
        </w:trPr>
        <w:tc>
          <w:tcPr>
            <w:tcW w:w="4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1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Banking</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80" w:type="dxa"/>
            <w:vAlign w:val="bottom"/>
          </w:tcPr>
          <w:p>
            <w:pPr>
              <w:spacing w:after="0"/>
              <w:rPr>
                <w:sz w:val="24"/>
                <w:szCs w:val="24"/>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Banking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40,464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29,109</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28,559</w:t>
            </w: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Discretionary Portfolio</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22,262</w:t>
            </w: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Banking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45,185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80" w:type="dxa"/>
            <w:vAlign w:val="bottom"/>
          </w:tcPr>
          <w:p>
            <w:pPr>
              <w:spacing w:after="0"/>
              <w:rPr>
                <w:sz w:val="18"/>
                <w:szCs w:val="18"/>
                <w:color w:val="auto"/>
              </w:rPr>
            </w:pPr>
          </w:p>
        </w:tc>
      </w:tr>
      <w:tr>
        <w:trPr>
          <w:trHeight w:val="249"/>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187,395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150,967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6032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032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143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14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Relationship with Bayview Lending Group LLC and Bayview Financial Holdings, L.P.</w:t>
      </w:r>
    </w:p>
    <w:p>
      <w:pPr>
        <w:spacing w:after="0" w:line="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M&amp;T holds a 20% minority interest in Bayview Lending Group LLC ("BLG"), a privately-held commercial mortgage company. That investment had no remaining carrying value at September 30, 2022 as a result of cumulative losses recognized and cash distributions received in prior years. Cash distributions now received from BLG are recognized as income by M&amp;T and included in other revenues from operations. That income totaled $30 million for the nine-month period ended September 30, 2022. There was no similar cash distribution during the nine-month period ended September 30, 2021 or in the three-month period ended September 30, 2022.</w:t>
      </w:r>
    </w:p>
    <w:p>
      <w:pPr>
        <w:spacing w:after="0" w:line="5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20"/>
          <w:szCs w:val="20"/>
          <w:color w:val="auto"/>
        </w:rPr>
        <w:t>Bayview Financial Holdings, L.P. (together with its affiliates, "Bayview Financial"), a privately-held specialty finance company, is BLG's majority investor. In addition to their common investment in BLG, the Company and Bayview Financial conduct other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1"/>
          <w:szCs w:val="21"/>
          <w:color w:val="auto"/>
        </w:rPr>
        <w:t>business activities with each other. The Company has obtained loan servicing rights for mortgage loans from BLG and Bayview Financial having outstanding principal balances of $1.4 billion and $1.6 billion at September 30, 2022 and December 31, 2021,</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respectively. Revenues from those servicing rights were $3 million and $2 million in the three-month periods ended September 30, 2022 and 2021, respectively, and $7 million for each of the nine-month periods ended September 30, 2022 and 2021. The Company sub-services residential mortgage loans for Bayview Financial having outstanding principal balances of $81.2 billion and $74.7 billion at September 30, 2022 and December 31, 2021, respectively. Revenues earned for sub-servicing loans for Bayview Financial were $33 million and $39 million for the three-month periods ended September 30, 2022 and 2021, respectively, and $119 million and $110</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1"/>
          <w:szCs w:val="21"/>
          <w:color w:val="auto"/>
        </w:rPr>
        <w:t>million in the nine-month periods ended September 30, 2022 and 2021, respectively. In addition, the Company held $52 million and $62 million of mortgage-backed securities in its held-to-maturity portfolio at September 30, 2022 and December 31, 2021,</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respectively, that were securitized by Bayview Financial. At September 30, 2022, the Company held $298 million of Bayview Financial's $2.0 billion syndicated loan facility. The Company held $210 million of Bayview Financial's $1.4 billion syndicated loan facility at December 31, 2021.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w:t>
      </w:r>
    </w:p>
    <w:p>
      <w:pPr>
        <w:spacing w:after="0" w:line="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following table provides a description of accounting standards that were adopted by the Company in 2022 as well as standards that are not effective that could have an impact to M&amp;T’s consolidated financial statements upon adoption.</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40" w:type="dxa"/>
            <w:vAlign w:val="bottom"/>
            <w:tcBorders>
              <w:top w:val="single" w:sz="8" w:color="auto"/>
              <w:left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00" w:type="dxa"/>
            <w:vAlign w:val="bottom"/>
            <w:tcBorders>
              <w:top w:val="single" w:sz="8" w:color="auto"/>
            </w:tcBorders>
          </w:tcPr>
          <w:p>
            <w:pPr>
              <w:spacing w:after="0"/>
              <w:rPr>
                <w:sz w:val="11"/>
                <w:szCs w:val="11"/>
                <w:color w:val="auto"/>
              </w:rPr>
            </w:pPr>
          </w:p>
        </w:tc>
        <w:tc>
          <w:tcPr>
            <w:tcW w:w="3560" w:type="dxa"/>
            <w:vAlign w:val="bottom"/>
            <w:tcBorders>
              <w:top w:val="single" w:sz="8" w:color="auto"/>
              <w:right w:val="single" w:sz="8" w:color="auto"/>
            </w:tcBorders>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16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60" w:type="dxa"/>
            <w:vAlign w:val="bottom"/>
            <w:tcBorders>
              <w:bottom w:val="single" w:sz="8" w:color="auto"/>
              <w:right w:val="single" w:sz="8" w:color="auto"/>
            </w:tcBorders>
            <w:vMerge w:val="continue"/>
          </w:tcPr>
          <w:p>
            <w:pPr>
              <w:spacing w:after="0"/>
              <w:rPr>
                <w:sz w:val="15"/>
                <w:szCs w:val="15"/>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1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Standards Adopted in 2022</w:t>
            </w:r>
          </w:p>
        </w:tc>
        <w:tc>
          <w:tcPr>
            <w:tcW w:w="3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Changes to</w:t>
            </w:r>
          </w:p>
        </w:tc>
        <w:tc>
          <w:tcPr>
            <w:tcW w:w="200" w:type="dxa"/>
            <w:vAlign w:val="bottom"/>
          </w:tcPr>
          <w:p>
            <w:pPr>
              <w:spacing w:after="0"/>
              <w:rPr>
                <w:sz w:val="19"/>
                <w:szCs w:val="19"/>
                <w:color w:val="auto"/>
              </w:rPr>
            </w:pP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amendments reduce the number of accounting</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1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Accounting for</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models for convertible debt instruments and convertible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instruments affected by the amended guidance and, therefore,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The amendments also reduce form-</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the adoption had no impact on its consolidated financial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Instruments and</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over-substance-based guidance for the derivatives scope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Contracts in an</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exception for contracts in an entity’s own equity.</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4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Entity’s Own Equity</w:t>
            </w:r>
          </w:p>
        </w:tc>
        <w:tc>
          <w:tcPr>
            <w:tcW w:w="200" w:type="dxa"/>
            <w:vAlign w:val="bottom"/>
            <w:tcBorders>
              <w:bottom w:val="single" w:sz="8" w:color="auto"/>
            </w:tcBorders>
          </w:tcPr>
          <w:p>
            <w:pPr>
              <w:spacing w:after="0"/>
              <w:rPr>
                <w:sz w:val="16"/>
                <w:szCs w:val="16"/>
                <w:color w:val="auto"/>
              </w:rPr>
            </w:pPr>
          </w:p>
        </w:tc>
        <w:tc>
          <w:tcPr>
            <w:tcW w:w="35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Issuer’s Accounting</w:t>
            </w:r>
          </w:p>
        </w:tc>
        <w:tc>
          <w:tcPr>
            <w:tcW w:w="200" w:type="dxa"/>
            <w:vAlign w:val="bottom"/>
            <w:shd w:val="clear" w:color="auto" w:fill="CFF0FC"/>
          </w:tcPr>
          <w:p>
            <w:pPr>
              <w:spacing w:after="0"/>
              <w:rPr>
                <w:sz w:val="19"/>
                <w:szCs w:val="19"/>
                <w:color w:val="auto"/>
              </w:rPr>
            </w:pPr>
          </w:p>
        </w:tc>
        <w:tc>
          <w:tcPr>
            <w:tcW w:w="356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amendments clarify and reduce diversity in an</w:t>
            </w:r>
          </w:p>
        </w:tc>
        <w:tc>
          <w:tcPr>
            <w:tcW w:w="15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160" w:type="dxa"/>
            <w:vAlign w:val="bottom"/>
            <w:tcBorders>
              <w:right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At January 1, 2022 the Company did not have the types of</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for Certain</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issuer’s accounting for modifications or exchanges of</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instruments affected by the amended guidance and, therefore,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Modifications or</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freestanding equity-classified written call options (for</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the adoption had no impact on its consolidated financial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Exchanges of</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example, warrants) that remain equity classified after</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Freestanding Equity-</w:t>
            </w:r>
          </w:p>
        </w:tc>
        <w:tc>
          <w:tcPr>
            <w:tcW w:w="200" w:type="dxa"/>
            <w:vAlign w:val="bottom"/>
            <w:shd w:val="clear" w:color="auto" w:fill="CFF0FC"/>
          </w:tcPr>
          <w:p>
            <w:pPr>
              <w:spacing w:after="0"/>
              <w:rPr>
                <w:sz w:val="12"/>
                <w:szCs w:val="12"/>
                <w:color w:val="auto"/>
              </w:rPr>
            </w:pPr>
          </w:p>
        </w:tc>
        <w:tc>
          <w:tcPr>
            <w:tcW w:w="3560" w:type="dxa"/>
            <w:vAlign w:val="bottom"/>
            <w:tcBorders>
              <w:right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modification or exchange.</w:t>
            </w:r>
          </w:p>
        </w:tc>
        <w:tc>
          <w:tcPr>
            <w:tcW w:w="1580" w:type="dxa"/>
            <w:vAlign w:val="bottom"/>
            <w:tcBorders>
              <w:right w:val="single" w:sz="8" w:color="auto"/>
            </w:tcBorders>
            <w:shd w:val="clear" w:color="auto" w:fill="CFF0FC"/>
          </w:tcPr>
          <w:p>
            <w:pPr>
              <w:spacing w:after="0"/>
              <w:rPr>
                <w:sz w:val="12"/>
                <w:szCs w:val="12"/>
                <w:color w:val="auto"/>
              </w:rPr>
            </w:pPr>
          </w:p>
        </w:tc>
        <w:tc>
          <w:tcPr>
            <w:tcW w:w="416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Classified Written</w:t>
            </w:r>
          </w:p>
        </w:tc>
        <w:tc>
          <w:tcPr>
            <w:tcW w:w="200" w:type="dxa"/>
            <w:vAlign w:val="bottom"/>
            <w:shd w:val="clear" w:color="auto" w:fill="CFF0FC"/>
          </w:tcPr>
          <w:p>
            <w:pPr>
              <w:spacing w:after="0"/>
              <w:rPr>
                <w:sz w:val="14"/>
                <w:szCs w:val="14"/>
                <w:color w:val="auto"/>
              </w:rPr>
            </w:pPr>
          </w:p>
        </w:tc>
        <w:tc>
          <w:tcPr>
            <w:tcW w:w="3560" w:type="dxa"/>
            <w:vAlign w:val="bottom"/>
            <w:tcBorders>
              <w:right w:val="single" w:sz="8" w:color="auto"/>
            </w:tcBorders>
            <w:shd w:val="clear" w:color="auto" w:fill="CFF0FC"/>
          </w:tcPr>
          <w:p>
            <w:pPr>
              <w:spacing w:after="0"/>
              <w:rPr>
                <w:sz w:val="14"/>
                <w:szCs w:val="14"/>
                <w:color w:val="auto"/>
              </w:rPr>
            </w:pPr>
          </w:p>
        </w:tc>
        <w:tc>
          <w:tcPr>
            <w:tcW w:w="1580" w:type="dxa"/>
            <w:vAlign w:val="bottom"/>
            <w:tcBorders>
              <w:right w:val="single" w:sz="8" w:color="auto"/>
            </w:tcBorders>
            <w:shd w:val="clear" w:color="auto" w:fill="CFF0FC"/>
          </w:tcPr>
          <w:p>
            <w:pPr>
              <w:spacing w:after="0"/>
              <w:rPr>
                <w:sz w:val="14"/>
                <w:szCs w:val="14"/>
                <w:color w:val="auto"/>
              </w:rPr>
            </w:pPr>
          </w:p>
        </w:tc>
        <w:tc>
          <w:tcPr>
            <w:tcW w:w="41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Call Options</w:t>
            </w:r>
          </w:p>
        </w:tc>
        <w:tc>
          <w:tcPr>
            <w:tcW w:w="200" w:type="dxa"/>
            <w:vAlign w:val="bottom"/>
            <w:shd w:val="clear" w:color="auto" w:fill="CFF0FC"/>
          </w:tcPr>
          <w:p>
            <w:pPr>
              <w:spacing w:after="0"/>
              <w:rPr>
                <w:sz w:val="16"/>
                <w:szCs w:val="16"/>
                <w:color w:val="auto"/>
              </w:rPr>
            </w:pPr>
          </w:p>
        </w:tc>
        <w:tc>
          <w:tcPr>
            <w:tcW w:w="3560" w:type="dxa"/>
            <w:vAlign w:val="bottom"/>
            <w:tcBorders>
              <w:right w:val="single" w:sz="8" w:color="auto"/>
            </w:tcBorders>
            <w:shd w:val="clear" w:color="auto" w:fill="CFF0FC"/>
          </w:tcPr>
          <w:p>
            <w:pPr>
              <w:spacing w:after="0"/>
              <w:rPr>
                <w:sz w:val="16"/>
                <w:szCs w:val="16"/>
                <w:color w:val="auto"/>
              </w:rPr>
            </w:pPr>
          </w:p>
        </w:tc>
        <w:tc>
          <w:tcPr>
            <w:tcW w:w="1580" w:type="dxa"/>
            <w:vAlign w:val="bottom"/>
            <w:tcBorders>
              <w:right w:val="single" w:sz="8" w:color="auto"/>
            </w:tcBorders>
            <w:shd w:val="clear" w:color="auto" w:fill="CFF0FC"/>
          </w:tcPr>
          <w:p>
            <w:pPr>
              <w:spacing w:after="0"/>
              <w:rPr>
                <w:sz w:val="16"/>
                <w:szCs w:val="16"/>
                <w:color w:val="auto"/>
              </w:rPr>
            </w:pPr>
          </w:p>
        </w:tc>
        <w:tc>
          <w:tcPr>
            <w:tcW w:w="416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740" w:type="dxa"/>
            <w:vAlign w:val="bottom"/>
            <w:tcBorders>
              <w:left w:val="single" w:sz="8" w:color="auto"/>
              <w:bottom w:val="single" w:sz="8" w:color="auto"/>
              <w:right w:val="single" w:sz="8" w:color="auto"/>
            </w:tcBorders>
            <w:shd w:val="clear" w:color="auto" w:fill="CFF0FC"/>
          </w:tcPr>
          <w:p>
            <w:pPr>
              <w:spacing w:after="0"/>
              <w:rPr>
                <w:sz w:val="7"/>
                <w:szCs w:val="7"/>
                <w:color w:val="auto"/>
              </w:rPr>
            </w:pPr>
          </w:p>
        </w:tc>
        <w:tc>
          <w:tcPr>
            <w:tcW w:w="200" w:type="dxa"/>
            <w:vAlign w:val="bottom"/>
            <w:tcBorders>
              <w:bottom w:val="single" w:sz="8" w:color="auto"/>
            </w:tcBorders>
            <w:shd w:val="clear" w:color="auto" w:fill="CFF0FC"/>
          </w:tcPr>
          <w:p>
            <w:pPr>
              <w:spacing w:after="0"/>
              <w:rPr>
                <w:sz w:val="7"/>
                <w:szCs w:val="7"/>
                <w:color w:val="auto"/>
              </w:rPr>
            </w:pPr>
          </w:p>
        </w:tc>
        <w:tc>
          <w:tcPr>
            <w:tcW w:w="3560" w:type="dxa"/>
            <w:vAlign w:val="bottom"/>
            <w:tcBorders>
              <w:bottom w:val="single" w:sz="8" w:color="auto"/>
              <w:right w:val="single" w:sz="8" w:color="auto"/>
            </w:tcBorders>
            <w:shd w:val="clear" w:color="auto" w:fill="CFF0FC"/>
          </w:tcPr>
          <w:p>
            <w:pPr>
              <w:spacing w:after="0"/>
              <w:rPr>
                <w:sz w:val="7"/>
                <w:szCs w:val="7"/>
                <w:color w:val="auto"/>
              </w:rPr>
            </w:pPr>
          </w:p>
        </w:tc>
        <w:tc>
          <w:tcPr>
            <w:tcW w:w="1580" w:type="dxa"/>
            <w:vAlign w:val="bottom"/>
            <w:tcBorders>
              <w:bottom w:val="single" w:sz="8" w:color="auto"/>
              <w:right w:val="single" w:sz="8" w:color="auto"/>
            </w:tcBorders>
            <w:shd w:val="clear" w:color="auto" w:fill="CFF0FC"/>
          </w:tcPr>
          <w:p>
            <w:pPr>
              <w:spacing w:after="0"/>
              <w:rPr>
                <w:sz w:val="7"/>
                <w:szCs w:val="7"/>
                <w:color w:val="auto"/>
              </w:rPr>
            </w:pPr>
          </w:p>
        </w:tc>
        <w:tc>
          <w:tcPr>
            <w:tcW w:w="4160" w:type="dxa"/>
            <w:vAlign w:val="bottom"/>
            <w:tcBorders>
              <w:bottom w:val="single" w:sz="8" w:color="auto"/>
              <w:right w:val="single" w:sz="8" w:color="auto"/>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Lessor’s Accounting</w:t>
            </w:r>
          </w:p>
        </w:tc>
        <w:tc>
          <w:tcPr>
            <w:tcW w:w="200" w:type="dxa"/>
            <w:vAlign w:val="bottom"/>
          </w:tcPr>
          <w:p>
            <w:pPr>
              <w:spacing w:after="0"/>
              <w:rPr>
                <w:sz w:val="19"/>
                <w:szCs w:val="19"/>
                <w:color w:val="auto"/>
              </w:rPr>
            </w:pP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The amendments update the classification guidance for</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2022</w:t>
            </w:r>
          </w:p>
        </w:tc>
        <w:tc>
          <w:tcPr>
            <w:tcW w:w="41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The Company adopted the amended guidance effective January</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for Certain Leases</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lessors. Under the amended guidance lessors should</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1, 2022 using a prospective transition method. The adoption did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with Variable Lease</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classify and account for a lease with variable lease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not have a material impact on the Company’s consolidated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payments that do not depend on a reference index or a</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financial 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rate as an operating lease if both of the following criteria</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are met:</w:t>
            </w:r>
          </w:p>
        </w:tc>
        <w:tc>
          <w:tcPr>
            <w:tcW w:w="1580" w:type="dxa"/>
            <w:vAlign w:val="bottom"/>
            <w:tcBorders>
              <w:right w:val="single" w:sz="8" w:color="auto"/>
            </w:tcBorders>
          </w:tcPr>
          <w:p>
            <w:pPr>
              <w:spacing w:after="0"/>
              <w:rPr>
                <w:sz w:val="14"/>
                <w:szCs w:val="14"/>
                <w:color w:val="auto"/>
              </w:rPr>
            </w:pPr>
          </w:p>
        </w:tc>
        <w:tc>
          <w:tcPr>
            <w:tcW w:w="4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1. The lease would have been classified as a sales-</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type lease or a direct financing lease.</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color w:val="auto"/>
              </w:rPr>
              <w:t>2. The lessor would have otherwise recognized a day-</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one loss.</w:t>
            </w:r>
          </w:p>
        </w:tc>
        <w:tc>
          <w:tcPr>
            <w:tcW w:w="1580" w:type="dxa"/>
            <w:vAlign w:val="bottom"/>
            <w:tcBorders>
              <w:right w:val="single" w:sz="8" w:color="auto"/>
            </w:tcBorders>
          </w:tcPr>
          <w:p>
            <w:pPr>
              <w:spacing w:after="0"/>
              <w:rPr>
                <w:sz w:val="16"/>
                <w:szCs w:val="16"/>
                <w:color w:val="auto"/>
              </w:rPr>
            </w:pPr>
          </w:p>
        </w:tc>
        <w:tc>
          <w:tcPr>
            <w:tcW w:w="4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When a lease is classified as operating, the lessor does</w:t>
            </w:r>
          </w:p>
        </w:tc>
        <w:tc>
          <w:tcPr>
            <w:tcW w:w="1580" w:type="dxa"/>
            <w:vAlign w:val="bottom"/>
            <w:tcBorders>
              <w:right w:val="single" w:sz="8" w:color="auto"/>
            </w:tcBorders>
          </w:tcPr>
          <w:p>
            <w:pPr>
              <w:spacing w:after="0"/>
              <w:rPr>
                <w:sz w:val="20"/>
                <w:szCs w:val="20"/>
                <w:color w:val="auto"/>
              </w:rPr>
            </w:pPr>
          </w:p>
        </w:tc>
        <w:tc>
          <w:tcPr>
            <w:tcW w:w="4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not recognize a net investment in the lease, does not</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56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derecognize the underlying asset, and, therefore, does</w:t>
            </w:r>
          </w:p>
        </w:tc>
        <w:tc>
          <w:tcPr>
            <w:tcW w:w="1580" w:type="dxa"/>
            <w:vAlign w:val="bottom"/>
            <w:tcBorders>
              <w:right w:val="single" w:sz="8" w:color="auto"/>
            </w:tcBorders>
          </w:tcPr>
          <w:p>
            <w:pPr>
              <w:spacing w:after="0"/>
              <w:rPr>
                <w:sz w:val="12"/>
                <w:szCs w:val="12"/>
                <w:color w:val="auto"/>
              </w:rPr>
            </w:pPr>
          </w:p>
        </w:tc>
        <w:tc>
          <w:tcPr>
            <w:tcW w:w="4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5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not recognize a selling profit or loss.</w:t>
            </w:r>
          </w:p>
        </w:tc>
        <w:tc>
          <w:tcPr>
            <w:tcW w:w="1580" w:type="dxa"/>
            <w:vAlign w:val="bottom"/>
            <w:tcBorders>
              <w:right w:val="single" w:sz="8" w:color="auto"/>
            </w:tcBorders>
          </w:tcPr>
          <w:p>
            <w:pPr>
              <w:spacing w:after="0"/>
              <w:rPr>
                <w:sz w:val="16"/>
                <w:szCs w:val="16"/>
                <w:color w:val="auto"/>
              </w:rPr>
            </w:pPr>
          </w:p>
        </w:tc>
        <w:tc>
          <w:tcPr>
            <w:tcW w:w="4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74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56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4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17. Recent accounting developments, continued</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1740" w:type="dxa"/>
            <w:vAlign w:val="bottom"/>
            <w:tcBorders>
              <w:top w:val="single" w:sz="8" w:color="auto"/>
              <w:left w:val="single" w:sz="8" w:color="auto"/>
              <w:right w:val="single" w:sz="8" w:color="auto"/>
            </w:tcBorders>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60" w:type="dxa"/>
            <w:vAlign w:val="bottom"/>
            <w:tcBorders>
              <w:top w:val="single" w:sz="8" w:color="auto"/>
              <w:right w:val="single" w:sz="8" w:color="auto"/>
            </w:tcBorders>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0" w:type="dxa"/>
            <w:vAlign w:val="bottom"/>
            <w:tcBorders>
              <w:top w:val="single" w:sz="8" w:color="auto"/>
              <w:right w:val="single" w:sz="8" w:color="auto"/>
            </w:tcBorders>
          </w:tcPr>
          <w:p>
            <w:pPr>
              <w:ind w:left="360"/>
              <w:spacing w:after="0" w:line="137" w:lineRule="exact"/>
              <w:rPr>
                <w:sz w:val="20"/>
                <w:szCs w:val="20"/>
                <w:color w:val="auto"/>
              </w:rPr>
            </w:pPr>
            <w:r>
              <w:rPr>
                <w:rFonts w:ascii="Times New Roman" w:cs="Times New Roman" w:eastAsia="Times New Roman" w:hAnsi="Times New Roman"/>
                <w:sz w:val="14"/>
                <w:szCs w:val="14"/>
                <w:b w:val="1"/>
                <w:bCs w:val="1"/>
                <w:color w:val="auto"/>
              </w:rPr>
              <w:t>Required date</w:t>
            </w:r>
          </w:p>
        </w:tc>
        <w:tc>
          <w:tcPr>
            <w:tcW w:w="4140" w:type="dxa"/>
            <w:vAlign w:val="bottom"/>
            <w:tcBorders>
              <w:top w:val="single" w:sz="8" w:color="auto"/>
              <w:right w:val="single" w:sz="8" w:color="auto"/>
            </w:tcBorders>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3"/>
        </w:trPr>
        <w:tc>
          <w:tcPr>
            <w:tcW w:w="17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3760" w:type="dxa"/>
            <w:vAlign w:val="bottom"/>
            <w:tcBorders>
              <w:bottom w:val="single" w:sz="8" w:color="auto"/>
              <w:right w:val="single" w:sz="8" w:color="auto"/>
            </w:tcBorders>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adoption</w:t>
            </w:r>
          </w:p>
        </w:tc>
        <w:tc>
          <w:tcPr>
            <w:tcW w:w="41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Standards Not Yet Adopted as of September 30, 2022</w:t>
            </w:r>
          </w:p>
        </w:tc>
        <w:tc>
          <w:tcPr>
            <w:tcW w:w="1600" w:type="dxa"/>
            <w:vAlign w:val="bottom"/>
            <w:tcBorders>
              <w:bottom w:val="single" w:sz="8" w:color="auto"/>
            </w:tcBorders>
          </w:tcPr>
          <w:p>
            <w:pPr>
              <w:spacing w:after="0"/>
              <w:rPr>
                <w:sz w:val="19"/>
                <w:szCs w:val="19"/>
                <w:color w:val="auto"/>
              </w:rPr>
            </w:pPr>
          </w:p>
        </w:tc>
        <w:tc>
          <w:tcPr>
            <w:tcW w:w="41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Accounting for</w:t>
            </w: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The amendments require that an entity (acquirer)</w:t>
            </w:r>
          </w:p>
        </w:tc>
        <w:tc>
          <w:tcPr>
            <w:tcW w:w="16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14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The amendments should be applied prospectively to business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Contract Assets and</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recognize and measure contract assets and contract</w:t>
            </w:r>
          </w:p>
        </w:tc>
        <w:tc>
          <w:tcPr>
            <w:tcW w:w="1600" w:type="dxa"/>
            <w:vAlign w:val="bottom"/>
            <w:tcBorders>
              <w:right w:val="single" w:sz="8" w:color="auto"/>
            </w:tcBorders>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Early adoption</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combinations occurring on or after the effective date of the</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liabilities acquired in a business combination in</w:t>
            </w:r>
          </w:p>
        </w:tc>
        <w:tc>
          <w:tcPr>
            <w:tcW w:w="1600" w:type="dxa"/>
            <w:vAlign w:val="bottom"/>
            <w:tcBorders>
              <w:right w:val="single" w:sz="8" w:color="auto"/>
            </w:tcBorders>
            <w:vMerge w:val="continue"/>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amendments. However, if early adoption is elected, the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from Contracts with</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accordance with specified revenue recognition guidance.</w:t>
            </w:r>
          </w:p>
        </w:tc>
        <w:tc>
          <w:tcPr>
            <w:tcW w:w="16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amendments should be applied (1) retrospectively to all</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Customers in a</w:t>
            </w: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At the acquisition date, an acquirer should account for</w:t>
            </w:r>
          </w:p>
        </w:tc>
        <w:tc>
          <w:tcPr>
            <w:tcW w:w="1600" w:type="dxa"/>
            <w:vAlign w:val="bottom"/>
            <w:tcBorders>
              <w:right w:val="single" w:sz="8" w:color="auto"/>
            </w:tcBorders>
            <w:shd w:val="clear" w:color="auto" w:fill="CFF0FC"/>
          </w:tcPr>
          <w:p>
            <w:pPr>
              <w:spacing w:after="0"/>
              <w:rPr>
                <w:sz w:val="14"/>
                <w:szCs w:val="14"/>
                <w:color w:val="auto"/>
              </w:rPr>
            </w:pPr>
          </w:p>
        </w:tc>
        <w:tc>
          <w:tcPr>
            <w:tcW w:w="414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business combinations for which the acquisition date occurs 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related revenue contracts as if it had originated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or after the beginning of the fiscal year that includes the interim</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Combination</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contracts and may assess how the acquiree applied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period of early application and (2) prospectively to all business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revenue guidance to determine what to record for such</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combinations that occur on or after the date of initial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contracts. The guidance is generally expected to result</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application.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in an acquirer recognizing and measuring the acquired</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The Company does not expect the guidance will have a material</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shd w:val="clear" w:color="auto" w:fill="CFF0FC"/>
          </w:tcPr>
          <w:p>
            <w:pPr>
              <w:spacing w:after="0"/>
              <w:rPr>
                <w:sz w:val="14"/>
                <w:szCs w:val="14"/>
                <w:color w:val="auto"/>
              </w:rPr>
            </w:pP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contract assets and contract liabilities consistent with</w:t>
            </w:r>
          </w:p>
        </w:tc>
        <w:tc>
          <w:tcPr>
            <w:tcW w:w="1600" w:type="dxa"/>
            <w:vAlign w:val="bottom"/>
            <w:tcBorders>
              <w:right w:val="single" w:sz="8" w:color="auto"/>
            </w:tcBorders>
            <w:shd w:val="clear" w:color="auto" w:fill="CFF0FC"/>
          </w:tcPr>
          <w:p>
            <w:pPr>
              <w:spacing w:after="0"/>
              <w:rPr>
                <w:sz w:val="14"/>
                <w:szCs w:val="14"/>
                <w:color w:val="auto"/>
              </w:rPr>
            </w:pPr>
          </w:p>
        </w:tc>
        <w:tc>
          <w:tcPr>
            <w:tcW w:w="4140" w:type="dxa"/>
            <w:vAlign w:val="bottom"/>
            <w:tcBorders>
              <w:right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how they were recognized and measured in the</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impact on its consolidated financial statements.</w:t>
            </w: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shd w:val="clear" w:color="auto" w:fill="CFF0FC"/>
          </w:tcPr>
          <w:p>
            <w:pPr>
              <w:spacing w:after="0"/>
              <w:rPr>
                <w:sz w:val="16"/>
                <w:szCs w:val="16"/>
                <w:color w:val="auto"/>
              </w:rPr>
            </w:pP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acquiree’s financial statements.</w:t>
            </w:r>
          </w:p>
        </w:tc>
        <w:tc>
          <w:tcPr>
            <w:tcW w:w="1600" w:type="dxa"/>
            <w:vAlign w:val="bottom"/>
            <w:tcBorders>
              <w:right w:val="single" w:sz="8" w:color="auto"/>
            </w:tcBorders>
            <w:shd w:val="clear" w:color="auto" w:fill="CFF0FC"/>
          </w:tcPr>
          <w:p>
            <w:pPr>
              <w:spacing w:after="0"/>
              <w:rPr>
                <w:sz w:val="16"/>
                <w:szCs w:val="16"/>
                <w:color w:val="auto"/>
              </w:rPr>
            </w:pPr>
          </w:p>
        </w:tc>
        <w:tc>
          <w:tcPr>
            <w:tcW w:w="4140" w:type="dxa"/>
            <w:vAlign w:val="bottom"/>
            <w:tcBorders>
              <w:right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74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3760" w:type="dxa"/>
            <w:vAlign w:val="bottom"/>
            <w:tcBorders>
              <w:bottom w:val="single" w:sz="8" w:color="auto"/>
              <w:right w:val="single" w:sz="8" w:color="auto"/>
            </w:tcBorders>
            <w:shd w:val="clear" w:color="auto" w:fill="CFF0FC"/>
          </w:tcPr>
          <w:p>
            <w:pPr>
              <w:spacing w:after="0"/>
              <w:rPr>
                <w:sz w:val="12"/>
                <w:szCs w:val="12"/>
                <w:color w:val="auto"/>
              </w:rPr>
            </w:pPr>
          </w:p>
        </w:tc>
        <w:tc>
          <w:tcPr>
            <w:tcW w:w="1600" w:type="dxa"/>
            <w:vAlign w:val="bottom"/>
            <w:tcBorders>
              <w:bottom w:val="single" w:sz="8" w:color="auto"/>
              <w:right w:val="single" w:sz="8" w:color="auto"/>
            </w:tcBorders>
            <w:shd w:val="clear" w:color="auto" w:fill="CFF0FC"/>
          </w:tcPr>
          <w:p>
            <w:pPr>
              <w:spacing w:after="0"/>
              <w:rPr>
                <w:sz w:val="12"/>
                <w:szCs w:val="12"/>
                <w:color w:val="auto"/>
              </w:rPr>
            </w:pPr>
          </w:p>
        </w:tc>
        <w:tc>
          <w:tcPr>
            <w:tcW w:w="414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Fair Value Hedging</w:t>
            </w: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amendments allow multiple hedged layers to be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amendments should be applied on a modified retrospective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of Multiple Hedge</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designated for a single closed portfolio of financial</w:t>
            </w:r>
          </w:p>
        </w:tc>
        <w:tc>
          <w:tcPr>
            <w:tcW w:w="16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Early adoption</w:t>
            </w: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basis by means of a cumulative-effect adjustment to the opening</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Layers under</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assets or one or more beneficial interests secured by a</w:t>
            </w:r>
          </w:p>
        </w:tc>
        <w:tc>
          <w:tcPr>
            <w:tcW w:w="1600" w:type="dxa"/>
            <w:vAlign w:val="bottom"/>
            <w:tcBorders>
              <w:right w:val="single" w:sz="8" w:color="auto"/>
            </w:tcBorders>
            <w:vMerge w:val="continue"/>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balance of retained earnings on the initial application date.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Portfolio Layer</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portfolio of financial instruments. If multiple hedged</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1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The Company does not expect the guidance will have a material</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Method</w:t>
            </w: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layers are designated, the amendments require an</w:t>
            </w:r>
          </w:p>
        </w:tc>
        <w:tc>
          <w:tcPr>
            <w:tcW w:w="1600" w:type="dxa"/>
            <w:vAlign w:val="bottom"/>
            <w:tcBorders>
              <w:right w:val="single" w:sz="8" w:color="auto"/>
            </w:tcBorders>
          </w:tcPr>
          <w:p>
            <w:pPr>
              <w:spacing w:after="0"/>
              <w:rPr>
                <w:sz w:val="14"/>
                <w:szCs w:val="14"/>
                <w:color w:val="auto"/>
              </w:rPr>
            </w:pPr>
          </w:p>
        </w:tc>
        <w:tc>
          <w:tcPr>
            <w:tcW w:w="41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analysis to be performed to support the expectation that</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impact on its consolidated financial statements.</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aggregate amount of the hedged layers is anticipated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to be outstanding for the designated hedge periods. Only</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closed portfolios may be hedged under the portfolio</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layer method (that is, no assets can be added to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closed portfolio once established), however designating</w:t>
            </w:r>
          </w:p>
        </w:tc>
        <w:tc>
          <w:tcPr>
            <w:tcW w:w="1600" w:type="dxa"/>
            <w:vAlign w:val="bottom"/>
            <w:tcBorders>
              <w:right w:val="single" w:sz="8" w:color="auto"/>
            </w:tcBorders>
          </w:tcPr>
          <w:p>
            <w:pPr>
              <w:spacing w:after="0"/>
              <w:rPr>
                <w:sz w:val="14"/>
                <w:szCs w:val="14"/>
                <w:color w:val="auto"/>
              </w:rPr>
            </w:pPr>
          </w:p>
        </w:tc>
        <w:tc>
          <w:tcPr>
            <w:tcW w:w="4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new hedging relationships and dedesignating existing</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hedging relationships associated with the closed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portfolio any time after the closed portfolio is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740" w:type="dxa"/>
            <w:vAlign w:val="bottom"/>
            <w:tcBorders>
              <w:left w:val="single" w:sz="8" w:color="auto"/>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established is permitted.</w:t>
            </w:r>
          </w:p>
        </w:tc>
        <w:tc>
          <w:tcPr>
            <w:tcW w:w="1600" w:type="dxa"/>
            <w:vAlign w:val="bottom"/>
            <w:tcBorders>
              <w:bottom w:val="single" w:sz="8" w:color="auto"/>
              <w:right w:val="single" w:sz="8" w:color="auto"/>
            </w:tcBorders>
          </w:tcPr>
          <w:p>
            <w:pPr>
              <w:spacing w:after="0"/>
              <w:rPr>
                <w:sz w:val="16"/>
                <w:szCs w:val="16"/>
                <w:color w:val="auto"/>
              </w:rPr>
            </w:pPr>
          </w:p>
        </w:tc>
        <w:tc>
          <w:tcPr>
            <w:tcW w:w="4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Accounting for</w:t>
            </w: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The amendments (1) eliminate the accounting guidance</w:t>
            </w:r>
          </w:p>
        </w:tc>
        <w:tc>
          <w:tcPr>
            <w:tcW w:w="160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January 1, 2023</w:t>
            </w:r>
          </w:p>
        </w:tc>
        <w:tc>
          <w:tcPr>
            <w:tcW w:w="414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The amendments should be applied prospectively, except for the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Troubled Debt</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for TDRs and require enhanced disclosure for certain</w:t>
            </w:r>
          </w:p>
        </w:tc>
        <w:tc>
          <w:tcPr>
            <w:tcW w:w="1600" w:type="dxa"/>
            <w:vAlign w:val="bottom"/>
            <w:tcBorders>
              <w:right w:val="single" w:sz="8" w:color="auto"/>
            </w:tcBorders>
            <w:vMerge w:val="restart"/>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Early adoption</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amendments related to the recognition and measurement of</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Restructurings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loan refinancings by creditors when a borrower is</w:t>
            </w:r>
          </w:p>
        </w:tc>
        <w:tc>
          <w:tcPr>
            <w:tcW w:w="1600" w:type="dxa"/>
            <w:vAlign w:val="bottom"/>
            <w:tcBorders>
              <w:right w:val="single" w:sz="8" w:color="auto"/>
            </w:tcBorders>
            <w:vMerge w:val="continue"/>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TDRs for which an option is permitted to apply a modified</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(TDRs) and</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experiencing financial difficulty and (2) require</w:t>
            </w:r>
          </w:p>
        </w:tc>
        <w:tc>
          <w:tcPr>
            <w:tcW w:w="1600" w:type="dxa"/>
            <w:vAlign w:val="bottom"/>
            <w:tcBorders>
              <w:right w:val="single" w:sz="8" w:color="auto"/>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retrospective transition method.</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Expansion of Vintage</w:t>
            </w:r>
          </w:p>
        </w:tc>
        <w:tc>
          <w:tcPr>
            <w:tcW w:w="3760" w:type="dxa"/>
            <w:vAlign w:val="bottom"/>
            <w:tcBorders>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disclosure of current-period gross write-offs by year of</w:t>
            </w:r>
          </w:p>
        </w:tc>
        <w:tc>
          <w:tcPr>
            <w:tcW w:w="1600" w:type="dxa"/>
            <w:vAlign w:val="bottom"/>
            <w:tcBorders>
              <w:right w:val="single" w:sz="8" w:color="auto"/>
            </w:tcBorders>
            <w:shd w:val="clear" w:color="auto" w:fill="CFF0FC"/>
          </w:tcPr>
          <w:p>
            <w:pPr>
              <w:spacing w:after="0"/>
              <w:rPr>
                <w:sz w:val="14"/>
                <w:szCs w:val="14"/>
                <w:color w:val="auto"/>
              </w:rPr>
            </w:pPr>
          </w:p>
        </w:tc>
        <w:tc>
          <w:tcPr>
            <w:tcW w:w="414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Disclosures</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origination for financing receivables and net</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Under the amended guidance the Company will no longer be</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Applicable to Credit</w:t>
            </w:r>
          </w:p>
        </w:tc>
        <w:tc>
          <w:tcPr>
            <w:tcW w:w="376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investments in leases within credit loss disclosures.</w:t>
            </w: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required to identify TDRs and apply specialized accounting to</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Losses</w:t>
            </w:r>
          </w:p>
        </w:tc>
        <w:tc>
          <w:tcPr>
            <w:tcW w:w="3760" w:type="dxa"/>
            <w:vAlign w:val="bottom"/>
            <w:tcBorders>
              <w:right w:val="single" w:sz="8" w:color="auto"/>
            </w:tcBorders>
            <w:shd w:val="clear" w:color="auto" w:fill="CFF0FC"/>
          </w:tcPr>
          <w:p>
            <w:pPr>
              <w:spacing w:after="0"/>
              <w:rPr>
                <w:sz w:val="12"/>
                <w:szCs w:val="12"/>
                <w:color w:val="auto"/>
              </w:rPr>
            </w:pP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such loans. The Company does not expect the guidance will</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shd w:val="clear" w:color="auto" w:fill="CFF0FC"/>
          </w:tcPr>
          <w:p>
            <w:pPr>
              <w:spacing w:after="0"/>
              <w:rPr>
                <w:sz w:val="12"/>
                <w:szCs w:val="12"/>
                <w:color w:val="auto"/>
              </w:rPr>
            </w:pPr>
          </w:p>
        </w:tc>
        <w:tc>
          <w:tcPr>
            <w:tcW w:w="3760" w:type="dxa"/>
            <w:vAlign w:val="bottom"/>
            <w:tcBorders>
              <w:right w:val="single" w:sz="8" w:color="auto"/>
            </w:tcBorders>
            <w:shd w:val="clear" w:color="auto" w:fill="CFF0FC"/>
          </w:tcPr>
          <w:p>
            <w:pPr>
              <w:spacing w:after="0"/>
              <w:rPr>
                <w:sz w:val="12"/>
                <w:szCs w:val="12"/>
                <w:color w:val="auto"/>
              </w:rPr>
            </w:pPr>
          </w:p>
        </w:tc>
        <w:tc>
          <w:tcPr>
            <w:tcW w:w="1600" w:type="dxa"/>
            <w:vAlign w:val="bottom"/>
            <w:tcBorders>
              <w:right w:val="single" w:sz="8" w:color="auto"/>
            </w:tcBorders>
            <w:shd w:val="clear" w:color="auto" w:fill="CFF0FC"/>
          </w:tcPr>
          <w:p>
            <w:pPr>
              <w:spacing w:after="0"/>
              <w:rPr>
                <w:sz w:val="12"/>
                <w:szCs w:val="12"/>
                <w:color w:val="auto"/>
              </w:rPr>
            </w:pPr>
          </w:p>
        </w:tc>
        <w:tc>
          <w:tcPr>
            <w:tcW w:w="4140" w:type="dxa"/>
            <w:vAlign w:val="bottom"/>
            <w:tcBorders>
              <w:right w:val="single" w:sz="8" w:color="auto"/>
            </w:tcBorders>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have a material impact on its consolidated financial statements</w:t>
            </w:r>
          </w:p>
        </w:tc>
        <w:tc>
          <w:tcPr>
            <w:tcW w:w="0" w:type="dxa"/>
            <w:vAlign w:val="bottom"/>
          </w:tcPr>
          <w:p>
            <w:pPr>
              <w:spacing w:after="0"/>
              <w:rPr>
                <w:sz w:val="1"/>
                <w:szCs w:val="1"/>
                <w:color w:val="auto"/>
              </w:rPr>
            </w:pPr>
          </w:p>
        </w:tc>
      </w:tr>
      <w:tr>
        <w:trPr>
          <w:trHeight w:val="185"/>
        </w:trPr>
        <w:tc>
          <w:tcPr>
            <w:tcW w:w="1740" w:type="dxa"/>
            <w:vAlign w:val="bottom"/>
            <w:tcBorders>
              <w:left w:val="single" w:sz="8" w:color="auto"/>
              <w:bottom w:val="single" w:sz="8" w:color="auto"/>
              <w:right w:val="single" w:sz="8" w:color="auto"/>
            </w:tcBorders>
            <w:shd w:val="clear" w:color="auto" w:fill="CFF0FC"/>
          </w:tcPr>
          <w:p>
            <w:pPr>
              <w:spacing w:after="0"/>
              <w:rPr>
                <w:sz w:val="16"/>
                <w:szCs w:val="16"/>
                <w:color w:val="auto"/>
              </w:rPr>
            </w:pPr>
          </w:p>
        </w:tc>
        <w:tc>
          <w:tcPr>
            <w:tcW w:w="3760" w:type="dxa"/>
            <w:vAlign w:val="bottom"/>
            <w:tcBorders>
              <w:bottom w:val="single" w:sz="8" w:color="auto"/>
              <w:right w:val="single" w:sz="8" w:color="auto"/>
            </w:tcBorders>
            <w:shd w:val="clear" w:color="auto" w:fill="CFF0FC"/>
          </w:tcPr>
          <w:p>
            <w:pPr>
              <w:spacing w:after="0"/>
              <w:rPr>
                <w:sz w:val="16"/>
                <w:szCs w:val="16"/>
                <w:color w:val="auto"/>
              </w:rPr>
            </w:pPr>
          </w:p>
        </w:tc>
        <w:tc>
          <w:tcPr>
            <w:tcW w:w="1600" w:type="dxa"/>
            <w:vAlign w:val="bottom"/>
            <w:tcBorders>
              <w:bottom w:val="single" w:sz="8" w:color="auto"/>
              <w:right w:val="single" w:sz="8" w:color="auto"/>
            </w:tcBorders>
            <w:shd w:val="clear" w:color="auto" w:fill="CFF0FC"/>
          </w:tcPr>
          <w:p>
            <w:pPr>
              <w:spacing w:after="0"/>
              <w:rPr>
                <w:sz w:val="16"/>
                <w:szCs w:val="16"/>
                <w:color w:val="auto"/>
              </w:rPr>
            </w:pPr>
          </w:p>
        </w:tc>
        <w:tc>
          <w:tcPr>
            <w:tcW w:w="4140" w:type="dxa"/>
            <w:vAlign w:val="bottom"/>
            <w:tcBorders>
              <w:bottom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outside of the modified disclosure requirements.</w:t>
            </w:r>
          </w:p>
        </w:tc>
        <w:tc>
          <w:tcPr>
            <w:tcW w:w="0" w:type="dxa"/>
            <w:vAlign w:val="bottom"/>
          </w:tcPr>
          <w:p>
            <w:pPr>
              <w:spacing w:after="0"/>
              <w:rPr>
                <w:sz w:val="1"/>
                <w:szCs w:val="1"/>
                <w:color w:val="auto"/>
              </w:rPr>
            </w:pPr>
          </w:p>
        </w:tc>
      </w:tr>
      <w:tr>
        <w:trPr>
          <w:trHeight w:val="227"/>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Fair Value</w:t>
            </w: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amendments clarify that a contractual restriction 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January 1, 2024</w:t>
            </w:r>
          </w:p>
        </w:tc>
        <w:tc>
          <w:tcPr>
            <w:tcW w:w="41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The amendments should be applied prospectively with any</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Measurement of</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sale of an equity security is not considered part of</w:t>
            </w:r>
          </w:p>
        </w:tc>
        <w:tc>
          <w:tcPr>
            <w:tcW w:w="16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Early adoption</w:t>
            </w: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adjustments from the adoption of the amendments recognized in</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Equity Securities</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the unit of account of the equity security and, therefore,</w:t>
            </w:r>
          </w:p>
        </w:tc>
        <w:tc>
          <w:tcPr>
            <w:tcW w:w="1600" w:type="dxa"/>
            <w:vAlign w:val="bottom"/>
            <w:tcBorders>
              <w:right w:val="single" w:sz="8" w:color="auto"/>
            </w:tcBorders>
            <w:vMerge w:val="continue"/>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earnings and disclosed on the date of adoption.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Subject to</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is not considered in measuring fair value. The</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permitted</w:t>
            </w:r>
          </w:p>
        </w:tc>
        <w:tc>
          <w:tcPr>
            <w:tcW w:w="41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The Company does not expect the guidance will have a material</w:t>
            </w: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Contractual Sale</w:t>
            </w: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amendments also clarify that an entity cannot, as a</w:t>
            </w:r>
          </w:p>
        </w:tc>
        <w:tc>
          <w:tcPr>
            <w:tcW w:w="1600" w:type="dxa"/>
            <w:vAlign w:val="bottom"/>
            <w:tcBorders>
              <w:right w:val="single" w:sz="8" w:color="auto"/>
            </w:tcBorders>
          </w:tcPr>
          <w:p>
            <w:pPr>
              <w:spacing w:after="0"/>
              <w:rPr>
                <w:sz w:val="14"/>
                <w:szCs w:val="14"/>
                <w:color w:val="auto"/>
              </w:rPr>
            </w:pPr>
          </w:p>
        </w:tc>
        <w:tc>
          <w:tcPr>
            <w:tcW w:w="41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color w:val="auto"/>
              </w:rPr>
              <w:t>Restrictions</w:t>
            </w: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separate unit of account, recognize and measure a</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impact on its consolidated financial statements.</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contractual sale restriction. In addition, the amendments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require the following disclosures for equity securities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subject to contractual sale restrictions:</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1. The fair value of equity securities subject to</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tcBorders>
              <w:left w:val="single" w:sz="8" w:color="auto"/>
              <w:right w:val="single" w:sz="8" w:color="auto"/>
            </w:tcBorders>
          </w:tcPr>
          <w:p>
            <w:pPr>
              <w:spacing w:after="0"/>
              <w:rPr>
                <w:sz w:val="14"/>
                <w:szCs w:val="14"/>
                <w:color w:val="auto"/>
              </w:rPr>
            </w:pP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contractual sale restrictions reflected in the balance</w:t>
            </w:r>
          </w:p>
        </w:tc>
        <w:tc>
          <w:tcPr>
            <w:tcW w:w="1600" w:type="dxa"/>
            <w:vAlign w:val="bottom"/>
            <w:tcBorders>
              <w:right w:val="single" w:sz="8" w:color="auto"/>
            </w:tcBorders>
          </w:tcPr>
          <w:p>
            <w:pPr>
              <w:spacing w:after="0"/>
              <w:rPr>
                <w:sz w:val="14"/>
                <w:szCs w:val="14"/>
                <w:color w:val="auto"/>
              </w:rPr>
            </w:pPr>
          </w:p>
        </w:tc>
        <w:tc>
          <w:tcPr>
            <w:tcW w:w="4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sheet;</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2. The nature and remaining duration of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restriction(s); and</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tcPr>
          <w:p>
            <w:pPr>
              <w:spacing w:after="0"/>
              <w:rPr>
                <w:sz w:val="12"/>
                <w:szCs w:val="12"/>
                <w:color w:val="auto"/>
              </w:rPr>
            </w:pPr>
          </w:p>
        </w:tc>
        <w:tc>
          <w:tcPr>
            <w:tcW w:w="3760" w:type="dxa"/>
            <w:vAlign w:val="bottom"/>
            <w:tcBorders>
              <w:right w:val="single" w:sz="8" w:color="auto"/>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3. The circumstances that could cause a lapse in the</w:t>
            </w:r>
          </w:p>
        </w:tc>
        <w:tc>
          <w:tcPr>
            <w:tcW w:w="1600" w:type="dxa"/>
            <w:vAlign w:val="bottom"/>
            <w:tcBorders>
              <w:right w:val="single" w:sz="8" w:color="auto"/>
            </w:tcBorders>
          </w:tcPr>
          <w:p>
            <w:pPr>
              <w:spacing w:after="0"/>
              <w:rPr>
                <w:sz w:val="12"/>
                <w:szCs w:val="12"/>
                <w:color w:val="auto"/>
              </w:rPr>
            </w:pPr>
          </w:p>
        </w:tc>
        <w:tc>
          <w:tcPr>
            <w:tcW w:w="4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40" w:type="dxa"/>
            <w:vAlign w:val="bottom"/>
            <w:tcBorders>
              <w:left w:val="single" w:sz="8" w:color="auto"/>
              <w:right w:val="single" w:sz="8" w:color="auto"/>
            </w:tcBorders>
          </w:tcPr>
          <w:p>
            <w:pPr>
              <w:spacing w:after="0"/>
              <w:rPr>
                <w:sz w:val="16"/>
                <w:szCs w:val="16"/>
                <w:color w:val="auto"/>
              </w:rPr>
            </w:pPr>
          </w:p>
        </w:tc>
        <w:tc>
          <w:tcPr>
            <w:tcW w:w="3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restriction(s).</w:t>
            </w:r>
          </w:p>
        </w:tc>
        <w:tc>
          <w:tcPr>
            <w:tcW w:w="160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740" w:type="dxa"/>
            <w:vAlign w:val="bottom"/>
            <w:tcBorders>
              <w:left w:val="single" w:sz="8" w:color="auto"/>
              <w:bottom w:val="single" w:sz="8" w:color="auto"/>
              <w:right w:val="single" w:sz="8" w:color="auto"/>
            </w:tcBorders>
          </w:tcPr>
          <w:p>
            <w:pPr>
              <w:spacing w:after="0"/>
              <w:rPr>
                <w:sz w:val="9"/>
                <w:szCs w:val="9"/>
                <w:color w:val="auto"/>
              </w:rPr>
            </w:pPr>
          </w:p>
        </w:tc>
        <w:tc>
          <w:tcPr>
            <w:tcW w:w="376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41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M&amp;T Bank Corporation (“M&amp;T”) had net income of $647 million in the third quarter of 2022, compared with $495 million in the corresponding quarter of 2021 and $218 million in the second quarter of 2022. Diluted and basic earnings per common share were $3.53 and $3.55, respectively, in the recent quarter, $3.69 and $3.70, respectively, in the third quarter of 2021 and were each $1.08 in the second quarter of 2022. M&amp;T's second and third quarter results each reflect a full-quarter impact of its April 1, 2022 acquisition of People's United Financial, Inc. ("People's United"). The after-tax impact of merger-related expenses was $39 million ($53 million pre-tax) or $.22 of basic and diluted earnings per common share in the recent quarter, $7 million ($9 million pre-tax) or $.05 of basic and diluted earnings per common share in the third quarter of 2021 and $346 million ($465 million pre-tax) or $1.94 of basic and diluted earnings per common share in the second quarter of 2022. Such expenses included professional services and other temporary help fees associated with conversions of systems and/or integration of operations, costs related to terminations of existing contractual arrangements to purchase various services, severance, travel costs and, in the second quarter of 2022, an initial provision for credit losses on loans not deemed to be purchased credit deteriorated ("PCD") on April 1, 2022. Net income aggregated $1.23 billion or $7.14 of diluted and $7.18 of basic earnings per common share in the first nine months of 2022, compared with $1.40 billion or $10.43 of diluted and $10.44 of basic earnings per common share in the corresponding 2021 period. Merger-related expenses were $398 million ($535 million pre-tax) or $2.46 of basic and diluted earnings per common share in the nine months ended September 30, 2022 and $17 million ($23 million pre-tax) or $.13 of basic and diluted earnings per common share in the nine months ended September 30, 2021.</w:t>
      </w:r>
    </w:p>
    <w:p>
      <w:pPr>
        <w:spacing w:after="0" w:line="7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annualized rate of return on average total assets for M&amp;T and its consolidated subsidiaries (“the Company”) in each of the third quarters of 2022 and 2021 was 1.28% compared with .42% in the second quarter of 2022. The annualized rate of return on average common shareholders’ equity was 10.43% in the recent quarter, 12.16% in the third quarter of 2021 and 3.21% in the second quarter of 2022. During the nine-month period ended September 30, 2022, the annualized rates of return on average assets and average common shareholders’ equity were .87% and 7.24%, respectively, compared with 1.24% and 11.76%, respectively, in the corresponding period of 2021.</w:t>
      </w:r>
    </w:p>
    <w:p>
      <w:pPr>
        <w:spacing w:after="0" w:line="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On April 1, 2022, the Company closed the acquisition of People's United resulting in the issuance of 50,325,004 common shares. Pursuant to the terms of the merger agreement, People’s United shareholders received consideration valued at .118 of an M&amp;T common share in exchange for each common share of People’s United. The purchase price totaled approximately $8.4 billion (with the price based on M&amp;T’s closing price of $164.66 per share as of April 1, 2022). Additionally, People’s United outstanding preferred stock was converted into new shares of Series H preferred stock of M&amp;T.</w:t>
      </w:r>
    </w:p>
    <w:p>
      <w:pPr>
        <w:spacing w:after="0" w:line="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The People's United transaction has been accounted for using the acquisition method of accounting and, accordingly, assets acquired, liabilities assumed, and consideration exchanged were recorded at estimated fair value on the acquisition date. M&amp;T preliminarily recorded assets acquired of $64.2 billion, including $35.8 billion of loans and leases and $11.6 billion of investment securities, and liabilities assumed totaling $55.5 billion, including $53.0 billion of deposits. The transaction added $8.4 billion to M&amp;T's common shareholders' equity and $261 million to preferred equity. In connection with the acquisition the Company recorded $3.9 billion of goodwill and $261 million of core deposit and other intangible assets. The acquisition of People's United formed a banking franchise with approximately $200 billion in assets serving communities in the Northeast and Mid-Atlantic from Maine to Virginia, including Washington, D.C. M&amp;T completed the transfer of most financial records of People’s United to M&amp;T’s core operating systems in the recent quarter.</w:t>
      </w:r>
    </w:p>
    <w:p>
      <w:pPr>
        <w:spacing w:after="0" w:line="6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On July 19, 2022 the Company's Board of Directors authorized a program to repurchase up to $3.0 billion of M&amp;T's common stock. The action replaced the previous program under which the repurchases in the second quarter of 2022 were conducted. In accordance with the program and its capital plan, M&amp;T repurchased 3,282,449 shares of its common stock during the recent quarter at an average cost per share of $182.79 resulting in a total cost of $600 million. During the first nine months of 2022, M&amp;T repurchased 6,788,395 shares of its common stock at an average cost per share of $176.77 resulting in a total cost of $1.2 billion.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color w:val="auto"/>
        </w:rPr>
        <w:t>Supplemental Reporting of Non-GAAP Results of Operations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Net operating income totaled $700 million in the third quarter of 2022, compared with $504 million in the year-earlier quarter and $578 million in the second 2022 quarter. Diluted net operating earnings per common share in the third quarters of 2022 and 2021 were $3.83 and $3.76, respectively, compared with $3.10 in the second quarter of 2022. For the first nine months of 2022, net operating income and diluted net operating earnings per common share were $1.65 billion and $9.78, respectively, compared with $1.42 billion and $10.61, respectively, in the first nine months of 2021.</w:t>
      </w:r>
    </w:p>
    <w:p>
      <w:pPr>
        <w:spacing w:after="0" w:line="84" w:lineRule="exact"/>
        <w:rPr>
          <w:sz w:val="20"/>
          <w:szCs w:val="20"/>
          <w:color w:val="auto"/>
        </w:rPr>
      </w:pPr>
    </w:p>
    <w:p>
      <w:pPr>
        <w:jc w:val="both"/>
        <w:ind w:firstLine="574"/>
        <w:spacing w:after="0" w:line="241" w:lineRule="auto"/>
        <w:rPr>
          <w:sz w:val="20"/>
          <w:szCs w:val="20"/>
          <w:color w:val="auto"/>
        </w:rPr>
      </w:pPr>
      <w:r>
        <w:rPr>
          <w:rFonts w:ascii="Times New Roman" w:cs="Times New Roman" w:eastAsia="Times New Roman" w:hAnsi="Times New Roman"/>
          <w:sz w:val="21"/>
          <w:szCs w:val="21"/>
          <w:color w:val="auto"/>
        </w:rPr>
        <w:t>Net operating income in the recent quarter expressed as an annualized rate of return on average tangible assets was 1.44%, compared with 1.34% in the third quarter of 2021 and 1.16% in 2022’s second quarter. Net operating income represented an annualized return on average tangible common equity of 17.89% in the third quarter of 2022, 17.54% in the year-earlier quarter and 14.41% in the second quarter of 2022. For the first nine months of 2022, net operating income represented an annualized return on average tangible assets and average tangible common shareholders’ equity of 1.23% and 15.13%, respectively, compared with 1.30% and 17.10%, respectively, in the corresponding 2021 period.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Reconciliations of GAAP amounts with corresponding non-GAAP amounts are provided in table 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Taxable-equivalent Net Interest Income</w:t>
      </w:r>
    </w:p>
    <w:p>
      <w:pPr>
        <w:spacing w:after="0" w:line="1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Taxable-equivalent net interest income was $1.69 billion in the third quarter of 2022, 74% higher than $971 million recorded in the year-earlier quarter. That increase reflects the impact of $42.0 billion in additional average earning assets predominantly resulting from the People's United transaction, and a 94 basis point (hundredths of one percent) expansion of the net interest margin, or taxable-equivalent net interest income expressed as an annualized percentage of average earning assets, to 3.68% in the recent quarter from 2.74% in the third quarter of 2021. That increase resulted from higher yields on loans, deposits at the Federal Reserve Bank ("FRB") of New York, and investment securities, partially offset by a 27 basis point increase in the rates paid on interest-bearing liabilities. Taxable-equivalent net interest income in the recent quarter increased $268 million from the second quarter of 2022 reflecting an increase in the net interest margin in the recent quarter from 3.01% in the prior quarter. For the first nine months of 2022, taxable-equivalent net interest income was $4.02 billion, up 39% from $2.90 billion in the corresponding 2021 period. The increase was largely attributable to the higher level of earning assets, including the impact of the People's United transaction, and a 32 basis point widening of the net interest margin to 3.15% in the 2022 period from 2.83% in the year-earlier period. The higher net interest margin in the recent periods is generally reflective of a rising interest rate environment resulting from actions taken by the Federal Reserve to raise interest rates in an attempt to temper inflationary pressures on the U.S. economy.</w:t>
      </w:r>
    </w:p>
    <w:p>
      <w:pPr>
        <w:spacing w:after="0" w:line="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Average loans and leases totaled $127.5 billion in the third quarter of 2022, up $32.2 billion or 34% from $95.3 billion in the similar quarter of 2021. Included in average loans and leases in the recent quarter were loans obtained in the People's United acquisition. Loans acquired from People's United totaled $35.8 billion on the April 1, 2022 acquisition date and consisted of approximately $13.6 billion of commercial loans and leases, $13.5 billion of commercial real estate loans, $7.1 billion of residential real estate loans and $1.6 billion of consumer loans. Including the impact of the acquired loan balances, commercial loans and leases averaged $38.3 billion in the recent quarter, $14.6 billion or 61% higher than in the year-earlier quarter. Partially offsetting the increase from acquired loans was a reduction in average balances of Paycheck Protection Program (“PPP”) loans, reflecting loan repayments by the Small Business Administration. PPP loans averaged $241 million in the third quarter of 2022, compared with $3.3 billion in the third quarter of 2021. Average commercial real estate loans were $46.3 billion in the recent quarter, up</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53" w:name="page54"/>
    <w:bookmarkEnd w:id="53"/>
    <w:p>
      <w:pPr>
        <w:jc w:val="both"/>
        <w:spacing w:after="0"/>
        <w:rPr>
          <w:sz w:val="20"/>
          <w:szCs w:val="20"/>
          <w:color w:val="auto"/>
        </w:rPr>
      </w:pPr>
      <w:r>
        <w:rPr>
          <w:rFonts w:ascii="Times New Roman" w:cs="Times New Roman" w:eastAsia="Times New Roman" w:hAnsi="Times New Roman"/>
          <w:sz w:val="21"/>
          <w:szCs w:val="21"/>
          <w:color w:val="auto"/>
        </w:rPr>
        <w:t>$8.7 billion or 23% from $37.5 billion in the corresponding quarter of 2021. That increase was predominantly due to the impact of loans obtained in the acquisition of People's United partially offset by a reduction in balances of construction and permanent mortgage loans, reflecting repayments by customers. Average residential real estate loans increased $6.6 billion or 40% to $23.0 billion in the third quarter of 2022 from $16.4 billion in the year-earlier quarter. The growth in residential real estate loans was largely attributable to the acquisition of loans from People's United and the Company's decision in the third quarter of 2021 to retain rather than sell most originated residential mortgage loans. Consumer loans averaged $20.0 billion in the third quarter of 2022, up $2.3 billion or 13% from $17.7 billion in the year-earlier quarter, reflecting the impact of loans obtained in the acquisition of People's United (that consisted predominantly of outstanding balances of home equity lines of credit) and growth in average recreational finance loans (consisting predominantly of loans secured by recreational vehicles and boats).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0"/>
          <w:szCs w:val="20"/>
          <w:color w:val="auto"/>
        </w:rPr>
        <w:t>Average loan and lease balances in the third quarter of 2022 were $127.5 billion, little changed from $127.6 billion in the second quarter of 2022. Commercial loan and lease average balances in the recent quarter increased $504 million from $37.8 billion in the second quarter of 2022. Average commercial real estate loans in the third quarter of 2022 declined $946 million from $47.2 billion in the second quarter of 2022. Average balances of residential real estate loans in the recently completed quarter increased $201 million from $22.8 billion in 2022’s second quarter. Average consumer loans in the recent quarter increased $167 million from $19.8 billion in 2022’s second quarter. The accompanying table summarizes quarterly changes in the major components of the loan and lease portfolio.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LOANS AND LEASES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(net of unearned discount)</w:t>
      </w: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20" w:type="dxa"/>
            <w:vAlign w:val="bottom"/>
            <w:tcBorders>
              <w:top w:val="single" w:sz="8" w:color="auto"/>
            </w:tcBorders>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financial, etc.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38,321</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 commercial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 — consumer</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Recreational finance</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equity lines and loans</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4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consumer</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4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127,525</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60325" cy="1714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51435" cy="1714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51435" cy="1714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For the first nine months of 2022, average loans and leases totaled $115.9 billion, up 19% from $97.7 billion in the corresponding 2021 period. The impact of loans obtained in the People's United acquisition was the most significant factor for that increase offset, in part, by lower average balances of PPP loans of $549 million and $4.9 billion in the first nine months of 2022 and 2021, respectively.</w:t>
      </w:r>
    </w:p>
    <w:p>
      <w:pPr>
        <w:spacing w:after="0" w:line="6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The investment securities portfolio averaged $23.9 billion in the third quarter of 2022, up $17.9 billion from $6.0 billion in the year-earlier quarter and $1.6 billion higher than the $22.4 billion averaged in the second quarter of 2022. For the first nine months of 2022 and 2021, investment securities averaged $18.1 billion and $6.3 billion, respectively. The higher average balance in the recent periods reflect the acquisition of People’s United, which added approximately $11.6 billion to the investment securities portfolio on April 1, 2022, and purchases of approximately $2.7 billion of investment securities during each of the quarters ended September 30, 2022, June 30, 2022 and March 31, 2022. The purchases in the first nine months of 2022 consisted predominantly of U.S. Treasury notes and fixed rate residential mortgage-backed securities. There were no significant sales of investment securities during the first nine months of 2022 or 2021. The Company routinely has increases and decreases in its holdings of capital stock of the Federal Home Loan Bank (“FHLB”) of New York and the FRB of New York. Those holdings are accounted for at cost and are adjusted based on amounts of outstanding borrowings and available lines of credit with those entities.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4" w:name="page55"/>
    <w:bookmarkEnd w:id="54"/>
    <w:p>
      <w:pPr>
        <w:jc w:val="both"/>
        <w:ind w:firstLine="509"/>
        <w:spacing w:after="0"/>
        <w:rPr>
          <w:sz w:val="20"/>
          <w:szCs w:val="20"/>
          <w:color w:val="auto"/>
        </w:rPr>
      </w:pPr>
      <w:r>
        <w:rPr>
          <w:rFonts w:ascii="Times New Roman" w:cs="Times New Roman" w:eastAsia="Times New Roman" w:hAnsi="Times New Roman"/>
          <w:sz w:val="21"/>
          <w:szCs w:val="21"/>
          <w:color w:val="auto"/>
        </w:rPr>
        <w:t>The investment securities portfolio is largely comprised of residential mortgage-backed securities and shorter-term U.S. Treasury notes and, following the acquisition of People's United, municipal securities.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p>
    <w:p>
      <w:pPr>
        <w:spacing w:after="0" w:line="8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Fair value changes in equity securities with readily determinable fair values are recognized in the consolidated statement of income. Net unrealized losses on such equity securities were not significant in the third quarter of 2022, the second quarter of 2022 or the third quarter of 2021. Net unrealized losses for the first nine months of 2022 and 2021 were $2 million and $23 million, respectively</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color w:val="auto"/>
        </w:rPr>
        <w:t xml:space="preserve"> Those losses include changes in the value of the Company’s holdings of Fannie Mae and Freddie Mac preferred stock.</w:t>
      </w:r>
    </w:p>
    <w:p>
      <w:pPr>
        <w:spacing w:after="0" w:line="7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nine-month periods ended September 30, 2022 or 2021. Based on management’s assessment of future cash flows associated with individual investment securities as of September 30, 2022, the Company did not expect to incur any material credit-related losses in its portfolios of debt investment securities. Additional information about the investment securities portfolio is included in notes 3 and 13 of Notes to Financial Statements.</w:t>
      </w:r>
    </w:p>
    <w:p>
      <w:pPr>
        <w:spacing w:after="0" w:line="71"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Other earning assets include interest-bearing deposits at the FRB of New York and other banks, trading account assets, federal funds sold and agreements to resell securities. Those other earning assets in the aggregate averaged $30.9 billion in the recently completed quarter, compared with $39.1 billion in the year-earlier quarter and $39.8 billion in the second quarter of 2022. Interest-bearing deposits at banks averaged $30.8 billion, $39.0 billion and $39.4 billion during the three months ended September 30, 2022, September 30, 2021 and June 30, 2022, respectively. The amounts of interest-bearing deposits at banks at the respective dates were predominantly comprised of deposits held at the FRB of New York. The decline in the recent quarter reflects actions taken by the Company including the purchases of investment securities and treasury stock and the management of select deposit relationships designed to reduce the balances of higher-cost deposit accounts. In general, the level of deposits held at the FRB of New York also fluctuates due to changes in deposits of commercial entities, trust-related deposits and additions to or maturities of investment securities or borrowings.</w:t>
      </w:r>
    </w:p>
    <w:p>
      <w:pPr>
        <w:spacing w:after="0" w:line="83"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As a result of the changes described herein, average earning assets totaled $182.4 billion in the most recent quarter, compared with $140.4 billion in the third quarter of 2021 and $189.8 billion in the second quarter of 2022. Average earning assets totaled $170.4 billion and $137.3 billion during the first nine months of 2022 and 2021, respectively.</w:t>
      </w:r>
    </w:p>
    <w:p>
      <w:pPr>
        <w:spacing w:after="0" w:line="7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$162.8 billion in the third quarter of 2022, up 28% from $127.1 billion in the similar 2021 quarter, but down 4% from $169.6 billion in the second quarter of 2022. The People's United acquisition added approximately $50.8 billion of core deposits on April 1, 2022, including $30.8 billion of savings and interest-checking deposits, $2.6 billion of time deposits and $17.4 billion of noninterest-bearing deposits. The decline in average core deposits in the recent quarter as compared with the second quarter of 2022 is largely reflective of the Company's initiative to reduce certain historically higher-cost deposits as well as customer reactions to the generally rising rate environment. The following table provides an analysis of quarterly changes in the components of average core deposits.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AVERAGE CORE DEPOSITS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2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62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158"/>
        </w:trPr>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60" w:type="dxa"/>
            <w:vAlign w:val="bottom"/>
            <w:tcBorders>
              <w:top w:val="single" w:sz="8" w:color="auto"/>
            </w:tcBorders>
          </w:tcPr>
          <w:p>
            <w:pPr>
              <w:jc w:val="right"/>
              <w:ind w:right="199"/>
              <w:spacing w:after="0" w:line="158" w:lineRule="exact"/>
              <w:rPr>
                <w:sz w:val="20"/>
                <w:szCs w:val="20"/>
                <w:color w:val="auto"/>
              </w:rPr>
            </w:pPr>
            <w:r>
              <w:rPr>
                <w:rFonts w:ascii="Times New Roman" w:cs="Times New Roman" w:eastAsia="Times New Roman" w:hAnsi="Times New Roman"/>
                <w:sz w:val="14"/>
                <w:szCs w:val="14"/>
                <w:b w:val="1"/>
                <w:bCs w:val="1"/>
                <w:color w:val="auto"/>
              </w:rPr>
              <w:t>Third Quarter</w:t>
            </w: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Second Quarter</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6"/>
                <w:szCs w:val="16"/>
                <w:color w:val="auto"/>
              </w:rPr>
            </w:pPr>
          </w:p>
        </w:tc>
        <w:tc>
          <w:tcPr>
            <w:tcW w:w="15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17"/>
                <w:szCs w:val="17"/>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85,585</w:t>
            </w:r>
          </w:p>
        </w:tc>
        <w:tc>
          <w:tcPr>
            <w:tcW w:w="3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72,861</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18"/>
                <w:szCs w:val="18"/>
                <w:color w:val="auto"/>
              </w:rPr>
            </w:pPr>
          </w:p>
        </w:tc>
        <w:tc>
          <w:tcPr>
            <w:tcW w:w="18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9"/>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162,759</w:t>
            </w:r>
          </w:p>
        </w:tc>
        <w:tc>
          <w:tcPr>
            <w:tcW w:w="3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3"/>
              </w:rPr>
              <w:t>(4</w:t>
            </w:r>
          </w:p>
        </w:tc>
        <w:tc>
          <w:tcPr>
            <w:tcW w:w="340" w:type="dxa"/>
            <w:vAlign w:val="bottom"/>
            <w:tcBorders>
              <w:bottom w:val="single" w:sz="8" w:color="CFF0FC"/>
            </w:tcBorders>
            <w:shd w:val="clear" w:color="auto" w:fill="CFF0FC"/>
          </w:tcPr>
          <w:p>
            <w:pPr>
              <w:jc w:val="right"/>
              <w:ind w:right="10"/>
              <w:spacing w:after="0" w:line="210"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-25400</wp:posOffset>
            </wp:positionV>
            <wp:extent cx="6032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603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5143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514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514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20"/>
          <w:szCs w:val="20"/>
          <w:color w:val="auto"/>
        </w:rPr>
        <w:t>The Company also receives funding from other deposit sources, including branch-related time deposits over $250,000, brokered deposits and, prior to June 30, 2021, deposits associated with the Company’s Cayman Islands office. Time deposits over $250,000 averaged $681 million in the recent quarter, compared with $357 million in the third quarter of 2021 and $808 million in the second quarter of 2022. In the second quarter of 2021, the Company introduced a new interest-bearing sweep product (included in savings and interest-bearing deposits) that replaced the Eurodollar sweep product previously recorded as Cayman Islands office deposits. As a result, there are no longer deposits maintained at the Cayman Islands office and the office is closed. The Company had brokered savings and interest-bearing transaction accounts, which in the aggregate averaged $3.8 billion during each of the recent quarter and the third quarter of 2021 and $4.2 billion during the second quarter of 2022. Total uninsured deposits, including deposits associated with the People's United acquisition, were estimated to be $74.7 billion at September 30, 2022 and $69.1 billion at December 31, 2021.</w:t>
      </w:r>
    </w:p>
    <w:p>
      <w:pPr>
        <w:spacing w:after="0" w:line="73"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21"/>
          <w:szCs w:val="21"/>
          <w:color w:val="auto"/>
        </w:rPr>
        <w:t>The accompanying table summarizes average total deposits for the quarters ended September 30, 2022, June 30, 2022 and September 30, 2021.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AVERAGE DEPOSITS</w:t>
      </w:r>
    </w:p>
    <w:tbl>
      <w:tblPr>
        <w:tblLayout w:type="fixed"/>
        <w:tblInd w:w="0" w:type="dxa"/>
        <w:tblCellMar>
          <w:top w:w="0" w:type="dxa"/>
          <w:left w:w="0" w:type="dxa"/>
          <w:bottom w:w="0" w:type="dxa"/>
          <w:right w:w="0" w:type="dxa"/>
        </w:tblCellMar>
      </w:tblPr>
      <w:tr>
        <w:trPr>
          <w:trHeight w:val="158"/>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Trust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33"/>
              <w:spacing w:after="0" w:line="158"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51,196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47,880</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Savings and interest-checking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-1893570</wp:posOffset>
            </wp:positionV>
            <wp:extent cx="59690" cy="1714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-1893570</wp:posOffset>
            </wp:positionV>
            <wp:extent cx="60325" cy="1714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-1893570</wp:posOffset>
            </wp:positionV>
            <wp:extent cx="51435" cy="1714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-1893570</wp:posOffset>
            </wp:positionV>
            <wp:extent cx="51435" cy="1714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-1036320</wp:posOffset>
            </wp:positionV>
            <wp:extent cx="59690" cy="1714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-1036320</wp:posOffset>
            </wp:positionV>
            <wp:extent cx="60325" cy="1714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-1036320</wp:posOffset>
            </wp:positionV>
            <wp:extent cx="51435" cy="1714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-1036320</wp:posOffset>
            </wp:positionV>
            <wp:extent cx="51435" cy="1714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-170815</wp:posOffset>
            </wp:positionV>
            <wp:extent cx="59690" cy="1714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60325" cy="1714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51435" cy="1714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51435" cy="1714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6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also uses borrowings from banks, securities dealers, various Federal Home Loan Banks, the FRB of New York and others as sources of funding. Short-term borrowings represent borrowing arrangements that at the time they were entered into or were assumed in an acquisition had a contractual maturity of one year or less. Average short-term borrowings totaled $913 million in the third quarter of 2022, compared with $91 million in the year-earlier quarter and $1.1 billion in the second quarter of 2022. Short-term borrowings assumed in connection with the People's United acquisition totaled $895 million. In October 2022 M&amp;T redeemed $500 million of unsecured senior notes due to mature in December 2022 that had been assumed in the acquisition of People's United and included in short-term borrowings.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6" w:name="page57"/>
    <w:bookmarkEnd w:id="56"/>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Long-term borrowings averaged $3.3 billion in each of the two most recent quarters, compared with $3.4 billion in the third quarter of 2021. Average balances of the Company’s outstanding senior notes were $1.7 billion during each of the three months ended September 30, 2022 and June 30, 2022, compared with $2.4 billion in the third quarter of 2021. In August 2022, M&amp;T issued $500 million of senior notes that mature in August 2028 and pay a fixed rate of 4.553% semi-annually until August 2027 after which the Secured Overnight Financing Rate ("SOFR") plus 1.78% will be paid quarterly until maturity. In April 2022, M&amp;T Bank redeemed $650 million of fixed rate senior notes that were due to mature on May 18, 2022. During May 2022, $250 million of variable rate senior notes of M&amp;T Bank matured. In January 2021, $350 million of variable rate senior notes matured. Subordinated capital notes included in long-term borrowings averaged $982 million in the third quarter of 2022, $500 million in the three-month period ended September 30, 2021 and $983 million in the second quarter of 2022. In March 2021, M&amp;T Bank redeemed $500 million of subordinated capital notes. Junior subordinated debentures associated with trust preferred securities that were included in average long-term borrowings were $534 million, $530 million and $533 million during the third quarters of 2022 and 2021 and the second quarter of 2022, respectively. Additional information regarding junior subordinated debentures is provided in note 5 of Notes to Financial Statements. As of April 1, 2022, long-term borrowings assumed in the People's United acquisition totaled $494 million and included $483 million of fixed-rate subordinated notes and $11 million of FHLB advances.</w:t>
      </w:r>
    </w:p>
    <w:p>
      <w:pPr>
        <w:spacing w:after="0" w:line="9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The Company has utilized interest rate swap agreements to modify the repricing characteristics of certain components of its loans and long-term debt. As of September 30, 2022, interest rate swap agreements were used as fair value hedges of approximately $1.5 billion of outstanding fixed rate long-term borrowings. Additionally, interest rate swap agreements with a notional amount of $15.25 billion were used as cash flow hedges of interest payments associated with variable rate commercial real estate loans. Further information on interest rate swap agreements is provided herein and in note 11 of Notes to Financial Statements.</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20"/>
          <w:szCs w:val="20"/>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3.49% in the recent quarter, up 81 basis points from 2.68% in the third quarter of 2021. The yield on earning assets during the third quarter of 2022 was 3.90%, up 108 basis points from 2.82% in the similar 2021 period, while the rate paid on interest-bearing liabilities increased 27 basis points to .41% in the recent quarter from .14% in the year-earlier period. In the second quarter of 2022, the net interest spread was 2.92%, the yield on earning assets was 3.12% and the rate paid on interest-bearing liabilities was .20%. The increases in the net interest spread since the third quarter of 2021 reflect the impact of generally rising interest rates that resulted in higher yields on loans and leases, deposits at the FRB of New York and investment securities, partially offset by higher rates on interest-bearing liabilities. For the first nine months of 2022, the net interest spread was 3.03%, up 27 basis points from 2.76% in the year-earlier period. The yield on earning assets and the rate paid on interest-bearing liabilities for the first nine months of 2022 were 3.30% and .27%, respectively, compared with 2.91%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 respectively, in the initial nine months of 2021. The Federal Reserve raised its target Federal funds rate 3.00% since September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 2021, including hikes of 1.50% and 1.25% in the third quarter of 2022 and second quarter of 2022, respectively.</w:t>
      </w:r>
    </w:p>
    <w:p>
      <w:pPr>
        <w:spacing w:after="0" w:line="7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$83.8 billion in the third quarter of 2022, compared with $62.9 billion in the year-earlier quarter and $84.7 billion in the second quarter of 2022. During the first nine months of 2022 and 2021, average net interest-free funds aggregated $78.0 billion and $59.0 billion, respectively. The increases in average net interest-free funds in the recent quarter and the second quarter of 2022 as compared with third quarter of 2021 reflect higher average balances of noninterest-bearing deposits and shareholders’ equity that include the impact of the acquisition of People's United. Shareholders’ equity averaged $25.7 billion during the three-month period ended September 30, 2022, compared with $17.1 billion during the year-earlier period and $26.1 billion during the three-month period ended June 30, 2022. The higher amounts of shareholders' equity in the two most recent quarters as compared with 2021's third quarter reflect retained earnings and additional equity issued in connection with the People's United acquisition, partially offset by share repurchase activity. M&amp;T issued $8.4 billion of common equity and $261 million of preferred equity in completing the acquisition of People's United on April 1, 2022. M&amp;T also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7" w:name="page58"/>
    <w:bookmarkEnd w:id="57"/>
    <w:p>
      <w:pPr>
        <w:jc w:val="both"/>
        <w:spacing w:after="0" w:line="250" w:lineRule="auto"/>
        <w:rPr>
          <w:sz w:val="20"/>
          <w:szCs w:val="20"/>
          <w:color w:val="auto"/>
        </w:rPr>
      </w:pPr>
      <w:r>
        <w:rPr>
          <w:rFonts w:ascii="Times New Roman" w:cs="Times New Roman" w:eastAsia="Times New Roman" w:hAnsi="Times New Roman"/>
          <w:sz w:val="20"/>
          <w:szCs w:val="20"/>
          <w:color w:val="auto"/>
        </w:rPr>
        <w:t>repurchased $600 million of its common stock in each of the third and second quarters of 2022. Goodwill and core deposit and other intangible assets averaged $8.7 billion and $8.8 billion in the third quarter of 2022 and second quarter of 2022, respectively, up from $4.6 billion in the third quarter of 2021. The Company recorded $3.9 billion of goodwill on April 1, 2022 which represents excess consideration over the fair value of net assets acquired in the People's United transaction. As part of the transaction, intangible assets were identified and recorded at fair value, thereby increasing the balance of core deposit and other intangible assets on the Company's balance sheet by $261 million on April 1, 2022. Reflecting the impact of the People's United acquisition, the cash surrender value of bank owned life insurance averaged $2.6 billion in each of the third and second quarters of 2022, compared with $1.9 billion in the third quarter of 2021. Changes in the cash surrender value of bank owned life insurance and benefits received are not included in interest income, but rather are recorded in “other revenues from operations.” The contribution of net interest-free funds to net interest margin was .19% in the third quarter of 2022, compared with .06% and .09% in the third quarter of 2021 and the second quarter of 2022, respectively. The increased contribution of net interest-free funds to net interest margin in the most recent quarter as compared with the third quarter of 2021 and second quarter of 2022 reflects the higher rates on interest-bearing liabilities used to value net interest-free funds. The contribution of net interest-free funds to net interest margin in the first nine months of 2022 and 2021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 and .07%, respectively.</w:t>
      </w:r>
    </w:p>
    <w:p>
      <w:pPr>
        <w:spacing w:after="0" w:line="8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Reflecting the changes to the net interest spread and the contribution of net interest-free funds as described herein, the Company’s net interest margin was 3.68% in the third quarter of 2022, compared with 2.74% in the year-earlier period and 3.01% in the second quarter of 2022. During the first nine months of 2022 and 2021, the net interest margin was 3.15% and 2.83%, respectively. Future changes in market interest rates or spreads, as well as changes in the composition of the Company’s portfolios of earning assets and interest-bearing liabilities that result in changes to spreads, could impact the Company’s net interest income and net interest margin. The Federal Open Market Committee has conducted a series of basis point increases in short-term interest rates during the first nine months of 2022. These actions have led to generally higher interest rates overall and, accordingly, have contributed to the Company's higher net interest margin in the recent quarter as compared with the year-earlier quarter and immediately preceding quarter.</w:t>
      </w:r>
    </w:p>
    <w:p>
      <w:pPr>
        <w:spacing w:after="0" w:line="8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21"/>
          <w:szCs w:val="21"/>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$16.75 billion (excluding $4.65 billion of forward-starting swap agreements) at September 30, 2022, $19.0 billion (excluding $8.35 billion of forward-starting swap agreements) at September 30, 2021 and $15.0 billion (excluding $8.35 billion of forward-starting swap agreements) at December 31, 2021. Under the terms of those interest rate swap agreements, the Company received payments based on the outstanding notional amount at fixed rates and made payments at variable rates. At September 30, 2022 interest rate swap agreements with notional amounts of $15.25 billion were serving as cash flow hedges of interest payments associated with variable rate commercial real estate loans, compared with $17.35 billion at September 30, 2021 and $13.35 billion at December 31, 2021. Interest rate swap agreements with notional amounts of $1.5 billion at September 30, 2022 and $1.65 billion at each of September 30, 2021 and December 31, 2021 were serving as fair value hedges of fixed rate long-term borrowings. The Company enters into forward-starting interest rate swap agreements predominantly to extend the term of its interest rate swap agreements serving as cash flow hedges and provide a hedge against changing interest rates on certain of its variable rate loans.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8" w:name="page59"/>
    <w:bookmarkEnd w:id="58"/>
    <w:p>
      <w:pPr>
        <w:jc w:val="both"/>
        <w:ind w:firstLine="509"/>
        <w:spacing w:after="0"/>
        <w:rPr>
          <w:sz w:val="20"/>
          <w:szCs w:val="20"/>
          <w:color w:val="auto"/>
        </w:rPr>
      </w:pPr>
      <w:r>
        <w:rPr>
          <w:rFonts w:ascii="Times New Roman" w:cs="Times New Roman" w:eastAsia="Times New Roman" w:hAnsi="Times New Roman"/>
          <w:sz w:val="21"/>
          <w:szCs w:val="21"/>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September 30, 2022, September 30, 2021 and June 30, 2022 were not material to the Company’s consolidated results of operations. Information regarding the fair value of interest rate swap agreements and hedge ineffectiveness is presented in note 11 of Notes to Financial Statements. Information regarding the valuation of cash flow hedges included in other comprehensive income is presented in note 10 of Notes to Financial Statements. The changes in the fair values of the interest rate swap agreements and the hedged items primarily result from the effects of changing interest rates and spreads.</w:t>
      </w:r>
    </w:p>
    <w:p>
      <w:pPr>
        <w:spacing w:after="0" w:line="7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11 of Notes to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INTEREST RATE SWAP AGREEMENTS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69"/>
        </w:trPr>
        <w:tc>
          <w:tcPr>
            <w:tcW w:w="53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Rate(a)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Rate(a)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09"/>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(22,466 )</w:t>
            </w:r>
          </w:p>
        </w:tc>
        <w:tc>
          <w:tcPr>
            <w:tcW w:w="12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.(05 )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58,058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(651 )</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(8,731 )</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380" w:type="dxa"/>
            <w:vAlign w:val="bottom"/>
            <w:shd w:val="clear" w:color="auto" w:fill="CFF0FC"/>
          </w:tcPr>
          <w:p>
            <w:pPr>
              <w:spacing w:after="0"/>
              <w:rPr>
                <w:sz w:val="18"/>
                <w:szCs w:val="18"/>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r>
      <w:tr>
        <w:trPr>
          <w:trHeight w:val="20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(21,815 )</w:t>
            </w:r>
          </w:p>
        </w:tc>
        <w:tc>
          <w:tcPr>
            <w:tcW w:w="12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.(05 )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66,789</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53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notional amount (c)</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16,472,826</w:t>
            </w:r>
          </w:p>
        </w:tc>
        <w:tc>
          <w:tcPr>
            <w:tcW w:w="4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18,923,913</w:t>
            </w:r>
          </w:p>
        </w:tc>
        <w:tc>
          <w:tcPr>
            <w:tcW w:w="4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r>
      <w:tr>
        <w:trPr>
          <w:trHeight w:val="196"/>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Rate received (b)</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7"/>
                <w:szCs w:val="17"/>
                <w:color w:val="auto"/>
              </w:rPr>
            </w:pPr>
          </w:p>
        </w:tc>
        <w:tc>
          <w:tcPr>
            <w:tcW w:w="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7"/>
                <w:szCs w:val="17"/>
                <w:color w:val="auto"/>
              </w:rPr>
            </w:pPr>
          </w:p>
        </w:tc>
        <w:tc>
          <w:tcPr>
            <w:tcW w:w="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Rate paid (b)</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5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169"/>
        </w:trPr>
        <w:tc>
          <w:tcPr>
            <w:tcW w:w="53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9"/>
        </w:trPr>
        <w:tc>
          <w:tcPr>
            <w:tcW w:w="5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Rate(a)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4"/>
                <w:szCs w:val="14"/>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Rate(a)</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r>
      <w:tr>
        <w:trPr>
          <w:trHeight w:val="21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206,713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(14,436 )</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(26,084 )</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380" w:type="dxa"/>
            <w:vAlign w:val="bottom"/>
            <w:shd w:val="clear" w:color="auto" w:fill="CFF0FC"/>
          </w:tcPr>
          <w:p>
            <w:pPr>
              <w:spacing w:after="0"/>
              <w:rPr>
                <w:sz w:val="18"/>
                <w:szCs w:val="18"/>
                <w:color w:val="auto"/>
              </w:rPr>
            </w:pPr>
          </w:p>
        </w:tc>
      </w:tr>
      <w:tr>
        <w:trPr>
          <w:trHeight w:val="210"/>
        </w:trPr>
        <w:tc>
          <w:tcPr>
            <w:tcW w:w="5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49,936</w:t>
            </w:r>
          </w:p>
        </w:tc>
        <w:tc>
          <w:tcPr>
            <w:tcW w:w="440" w:type="dxa"/>
            <w:vAlign w:val="bottom"/>
            <w:tcBorders>
              <w:top w:val="single" w:sz="8" w:color="CFF0FC"/>
            </w:tcBorders>
          </w:tcPr>
          <w:p>
            <w:pPr>
              <w:spacing w:after="0"/>
              <w:rPr>
                <w:sz w:val="18"/>
                <w:szCs w:val="18"/>
                <w:color w:val="auto"/>
              </w:rPr>
            </w:pP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232,797</w:t>
            </w:r>
          </w:p>
        </w:tc>
        <w:tc>
          <w:tcPr>
            <w:tcW w:w="420" w:type="dxa"/>
            <w:vAlign w:val="bottom"/>
            <w:tcBorders>
              <w:top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6"/>
        </w:trPr>
        <w:tc>
          <w:tcPr>
            <w:tcW w:w="53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Average notional amount (c)</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15,452,015</w:t>
            </w:r>
          </w:p>
        </w:tc>
        <w:tc>
          <w:tcPr>
            <w:tcW w:w="4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18,915,751</w:t>
            </w:r>
          </w:p>
        </w:tc>
        <w:tc>
          <w:tcPr>
            <w:tcW w:w="4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r>
      <w:tr>
        <w:trPr>
          <w:trHeight w:val="197"/>
        </w:trPr>
        <w:tc>
          <w:tcPr>
            <w:tcW w:w="5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Rate received (b)</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7"/>
                <w:szCs w:val="17"/>
                <w:color w:val="auto"/>
              </w:rPr>
            </w:pPr>
          </w:p>
        </w:tc>
        <w:tc>
          <w:tcPr>
            <w:tcW w:w="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7"/>
                <w:szCs w:val="17"/>
                <w:color w:val="auto"/>
              </w:rPr>
            </w:pPr>
          </w:p>
        </w:tc>
        <w:tc>
          <w:tcPr>
            <w:tcW w:w="38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Rate paid (b)</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-2262505</wp:posOffset>
            </wp:positionV>
            <wp:extent cx="76835" cy="1714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-2262505</wp:posOffset>
            </wp:positionV>
            <wp:extent cx="68580" cy="1714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-2262505</wp:posOffset>
            </wp:positionV>
            <wp:extent cx="68580" cy="1714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-1953895</wp:posOffset>
            </wp:positionV>
            <wp:extent cx="1894205" cy="16256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894205" cy="1625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-607695</wp:posOffset>
            </wp:positionV>
            <wp:extent cx="76835" cy="1714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-607695</wp:posOffset>
            </wp:positionV>
            <wp:extent cx="68580" cy="1714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-607695</wp:posOffset>
            </wp:positionV>
            <wp:extent cx="68580" cy="1714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-299720</wp:posOffset>
            </wp:positionV>
            <wp:extent cx="1894205" cy="1631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894205" cy="163195"/>
                    </a:xfrm>
                    <a:prstGeom prst="rect">
                      <a:avLst/>
                    </a:prstGeom>
                    <a:noFill/>
                  </pic:spPr>
                </pic:pic>
              </a:graphicData>
            </a:graphic>
          </wp:anchor>
        </w:drawing>
      </w:r>
    </w:p>
    <w:p>
      <w:pPr>
        <w:spacing w:after="0" w:line="19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Computed as an annualized percentage of average earning assets or interest-bearing liabilities.</w:t>
      </w:r>
    </w:p>
    <w:p>
      <w:pPr>
        <w:spacing w:after="0" w:line="1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Weighted-average rate paid or received on interest rate swap agreements in effect during the period.</w:t>
      </w:r>
    </w:p>
    <w:p>
      <w:pPr>
        <w:spacing w:after="0" w:line="1"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forward-starting interest rate swap agreements not in effect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90309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w:t>
      </w:r>
    </w:p>
    <w:p>
      <w:pPr>
        <w:spacing w:after="0" w:line="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9" w:name="page60"/>
    <w:bookmarkEnd w:id="59"/>
    <w:p>
      <w:pPr>
        <w:jc w:val="both"/>
        <w:spacing w:after="0"/>
        <w:rPr>
          <w:sz w:val="20"/>
          <w:szCs w:val="20"/>
          <w:color w:val="auto"/>
        </w:rPr>
      </w:pPr>
      <w:r>
        <w:rPr>
          <w:rFonts w:ascii="Times New Roman" w:cs="Times New Roman" w:eastAsia="Times New Roman" w:hAnsi="Times New Roman"/>
          <w:sz w:val="21"/>
          <w:szCs w:val="21"/>
          <w:color w:val="auto"/>
        </w:rPr>
        <w:t>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FRB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each of September 30, 2022 and December 31, 2021, long-term borrowings aggregated $3.5 billion.</w:t>
      </w:r>
    </w:p>
    <w:p>
      <w:pPr>
        <w:spacing w:after="0" w:line="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Cayman Islands office deposits had been used by some customers of the Company as an alternative to other deposit and investment products. During the second quarter of 2021, the Company introduced a new interest-bearing sweep product (included in savings and interest-checking deposits) that replaced the Eurodollar sweep product previously recorded as Cayman Islands office deposits. As a result, the Cayman Islands office has been closed and there were no Cayman Islands office deposits outstanding as of September 30, 2022 and December 31, 2021. The Company has benefited from the placement of brokered deposits. The Company had brokered savings and interest-checking deposit accounts which aggregated approximately $3.3 billion at September 30, 2022, $3.2 billion at December 31, 2021 and $3.4 billion at September 30, 2021. Brokered time deposits were not a significant source of funding as of those dates.</w:t>
      </w:r>
    </w:p>
    <w:p>
      <w:pPr>
        <w:spacing w:after="0" w:line="8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7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September 30, 2022 or December 31, 2021. The total amounts of VRDBs outstanding backed by M&amp;T Bank letters of credit were $633 million at September 30, 2022, $662 million at December 31, 2021 and $683 million at September 30, 2021. M&amp;T Bank also serves as remarketing agent for most of those bonds.</w:t>
      </w:r>
    </w:p>
    <w:p>
      <w:pPr>
        <w:spacing w:after="0" w:line="7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14 of Notes to Financial Statements.</w:t>
      </w:r>
    </w:p>
    <w:p>
      <w:pPr>
        <w:spacing w:after="0" w:line="8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September 30, 2022 approximately $937 million was available for payment of dividends to M&amp;T from bank subsidiaries. M&amp;T also may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0" w:name="page61"/>
    <w:bookmarkEnd w:id="60"/>
    <w:p>
      <w:pPr>
        <w:jc w:val="both"/>
        <w:spacing w:after="0" w:line="245" w:lineRule="auto"/>
        <w:rPr>
          <w:sz w:val="20"/>
          <w:szCs w:val="20"/>
          <w:color w:val="auto"/>
        </w:rPr>
      </w:pPr>
      <w:r>
        <w:rPr>
          <w:rFonts w:ascii="Times New Roman" w:cs="Times New Roman" w:eastAsia="Times New Roman" w:hAnsi="Times New Roman"/>
          <w:sz w:val="21"/>
          <w:szCs w:val="21"/>
          <w:color w:val="auto"/>
        </w:rPr>
        <w:t>obtain funding through long-term borrowings. Outstanding senior notes of M&amp;T at September 30, 2022 and December 31, 2021 were $1.22 billion and $766 million, respectively. M&amp;T assumed $503 million of short-term borrowings and $78 million of long-term borrowings in the acquisition of People's United. In October 2022, M&amp;T redeemed the short-term borrowings obtained in the acquisition of People's United. Junior subordinated debentures of M&amp;T associated with trust preferred securities outstanding at September 30, 2022 and December 31, 2021 totaled $535 million and $532 million, respectively.</w:t>
      </w:r>
    </w:p>
    <w:p>
      <w:pPr>
        <w:spacing w:after="0" w:line="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Management closely monitors the Company’s liquidity position on an ongoing basis for compliance with internal policies and believes that available sources of liquidity are adequate to meet funding needs anticipated in the ordinary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September 30, 2022, the aggregate notional amount of interest rate swap agreements entered into for interest rate risk management purposes that were currently in effect was $16.75 billion. In addition, the Company has entered into $4.65 billion of forward-starting interest rate swap agreements.</w:t>
      </w:r>
    </w:p>
    <w:p>
      <w:pPr>
        <w:spacing w:after="0" w:line="8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90" w:lineRule="exact"/>
        <w:rPr>
          <w:sz w:val="20"/>
          <w:szCs w:val="20"/>
          <w:color w:val="auto"/>
        </w:rPr>
      </w:pPr>
    </w:p>
    <w:p>
      <w:pPr>
        <w:jc w:val="both"/>
        <w:ind w:right="20" w:firstLine="509"/>
        <w:spacing w:after="0" w:line="249" w:lineRule="auto"/>
        <w:rPr>
          <w:sz w:val="20"/>
          <w:szCs w:val="20"/>
          <w:color w:val="auto"/>
        </w:rPr>
      </w:pPr>
      <w:r>
        <w:rPr>
          <w:rFonts w:ascii="Times New Roman" w:cs="Times New Roman" w:eastAsia="Times New Roman" w:hAnsi="Times New Roman"/>
          <w:sz w:val="21"/>
          <w:szCs w:val="21"/>
          <w:color w:val="auto"/>
        </w:rPr>
        <w:t>The accompanying table as of September 30, 2022 and December 31, 2021 displays the estimated impact on net interest income in the base scenario described above resulting from parallel changes in interest rates across repricing categories during the first modeling year.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1" w:name="page62"/>
    <w:bookmarkEnd w:id="61"/>
    <w:p>
      <w:pPr>
        <w:ind w:right="700"/>
        <w:spacing w:after="0" w:line="295" w:lineRule="auto"/>
        <w:rPr>
          <w:sz w:val="20"/>
          <w:szCs w:val="20"/>
          <w:color w:val="auto"/>
        </w:rPr>
      </w:pPr>
      <w:r>
        <w:rPr>
          <w:rFonts w:ascii="Times New Roman" w:cs="Times New Roman" w:eastAsia="Times New Roman" w:hAnsi="Times New Roman"/>
          <w:sz w:val="20"/>
          <w:szCs w:val="20"/>
          <w:color w:val="auto"/>
        </w:rPr>
        <w:t>SENSITIVITY OF NET INTEREST INCOME TO CHANGES IN INTEREST RATES</w:t>
      </w: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Changes in interest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Calculated Increase (Decrease)</w:t>
      </w:r>
    </w:p>
    <w:p>
      <w:pPr>
        <w:spacing w:after="0" w:line="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5080</wp:posOffset>
            </wp:positionV>
            <wp:extent cx="23571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7"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September 30, 2022</w:t>
      </w:r>
      <w:r>
        <w:rPr>
          <w:sz w:val="20"/>
          <w:szCs w:val="20"/>
          <w:color w:val="auto"/>
        </w:rPr>
        <w:tab/>
      </w: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16510</wp:posOffset>
            </wp:positionV>
            <wp:extent cx="235712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ectPr>
          <w:pgSz w:w="11900" w:h="16838" w:orient="portrait"/>
          <w:cols w:equalWidth="0" w:num="2">
            <w:col w:w="4640" w:space="720"/>
            <w:col w:w="5880"/>
          </w:cols>
          <w:pgMar w:left="320" w:top="431" w:right="339" w:bottom="1440" w:gutter="0" w:footer="0" w:header="0"/>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48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251,494</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533,317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2480" w:type="dxa"/>
            <w:vAlign w:val="bottom"/>
          </w:tcPr>
          <w:p>
            <w:pPr>
              <w:spacing w:after="0"/>
              <w:rPr>
                <w:sz w:val="18"/>
                <w:szCs w:val="18"/>
                <w:color w:val="auto"/>
              </w:rPr>
            </w:pPr>
          </w:p>
        </w:tc>
        <w:tc>
          <w:tcPr>
            <w:tcW w:w="1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179,848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297,573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2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(248,760 )</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(204,760 )</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9"/>
              </w:rPr>
              <w:t>(a)</w:t>
            </w: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480" w:type="dxa"/>
            <w:vAlign w:val="bottom"/>
          </w:tcPr>
          <w:p>
            <w:pPr>
              <w:spacing w:after="0"/>
              <w:rPr>
                <w:sz w:val="20"/>
                <w:szCs w:val="20"/>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(520,661 )</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did not analyze this scenario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Changes in amounts presented since December 31, 2021 reflect higher balances of earnings assets obtained in the People's United acquisition, changes in portfolio composition, the level of market-implied forward interest rates and hedging actions taken by the Company.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A significant amount of the Company’s interest-earning assets, interest-bearing liabilities, preferred equity instruments and interest rate swap agreements have contractual repricing terms that reference the London Interbank Offered Rate (“LIBOR”). Various regulatory bodies have encouraged banks to transition away from LIBOR as soon as practicable, generally cease entering new contracts that use LIBOR as a reference rate no later than December 31, 2021, and for new contracts entered into before December 31, 2021 to utilize a reference rate other than LIBOR or include robust language that includes a clearly defined alternative reference rate after LIBOR’s discontinuation. Publication of certain tenors of LIBOR has already ceased and complete cessation of LIBOR publication is expected by June 30, 2023. Effective December 31, 2021, the Company essentially discontinued entering into new LIBOR-based contracts.</w:t>
      </w:r>
    </w:p>
    <w:p>
      <w:pPr>
        <w:spacing w:after="0" w:line="88"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At September 30, 2022 the Company had LIBOR-based commercial loans and leases and commercial real estate loans of $36.6 billion and residential mortgage and consumer loans of $4.3 billion outstanding. Approximately 70% of the loans either mature before June 30, 2023 or have been amended to include appropriate alternative language to be effective upon cessation of LIBOR publication. Approximately $731 million of borrowings and $1.1 billion of preferred equity instruments reference LIBOR as of September 30, 2022. The Company’s interest rate swap agreements primarily reference LIBOR. In October 2020, the International Swaps and Derivatives Association, Inc. published the IBOR Fallbacks Supplement (“Supplement”) and the IBOR Fallback Protocol (“Protocol”). The Protocol enables market participants to incorporate certain revisions into their legacy non-cleared derivative trades with other counterparties that also choose to adhere to the Protocol. M&amp;T adhered to the Protocol in November 2020 and is in the process of remediating its interest rate swap transactions with its end-user customers. With respect to the Company’s cleared interest rate swap agreements that reference LIBOR, clearinghouses have adopted the same relevant Secured Overnight Financing Rate (“SOFR”) benchmark alternatives of the Supplement and Protocol.</w:t>
      </w:r>
    </w:p>
    <w:p>
      <w:pPr>
        <w:spacing w:after="0" w:line="8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As loans mature and new originations occur a larger percentage of the Company’s variable-rate loans are expected to reference SOFR or other indexes, including the Bloomberg Short Term Bank Yield Index (“BSBY”). At September 30, 2022 the Company had approximately $21.3 billion and $274 million of outstanding loan balances that reference SOFR and BSBY, respectively. Additionally, as of September 30, 2022, the Company had $15.6 billion of notional amount of interest rate swap agreements designated as cash flow hedges of commercial real estate loans,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62" w:name="page63"/>
    <w:bookmarkEnd w:id="62"/>
    <w:p>
      <w:pPr>
        <w:jc w:val="both"/>
        <w:spacing w:after="0" w:line="241" w:lineRule="auto"/>
        <w:rPr>
          <w:sz w:val="20"/>
          <w:szCs w:val="20"/>
          <w:color w:val="auto"/>
        </w:rPr>
      </w:pPr>
      <w:r>
        <w:rPr>
          <w:rFonts w:ascii="Times New Roman" w:cs="Times New Roman" w:eastAsia="Times New Roman" w:hAnsi="Times New Roman"/>
          <w:sz w:val="21"/>
          <w:szCs w:val="21"/>
          <w:color w:val="auto"/>
        </w:rPr>
        <w:t>including $4.7 billion of forward-starting interest rate swap agreements that become effective in 2023, and notional amounts of $4.3 billion of non-hedging derivative interest rate contracts that are referenced to SOFR. The Company’s usage of interest rate swap agreements referenced to SOFR or BSBY is expected to increase in response to the discontinuation of LIBOR. The Company continues to work with its customers and other counterparties to remediate LIBOR-based agreements which expire after June 30, 2023 by incorporating alternative language, negotiating new agreements, or other means. The discontinuation of LIBOR and uncertainty relating to the emergence of one or more alternative benchmark indexes to replace LIBOR could materially impact the Company’s interest rate risk profile and its management thereof.</w:t>
      </w:r>
    </w:p>
    <w:p>
      <w:pPr>
        <w:spacing w:after="0" w:line="8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20"/>
          <w:szCs w:val="20"/>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3 and 13 of Notes to Financial Statements.</w:t>
      </w:r>
    </w:p>
    <w:p>
      <w:pPr>
        <w:spacing w:after="0" w:line="5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Company enters into interest rate and foreign exchange contracts to meet the financial needs of customers that it includes in its financial statements as non-hedging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11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balance sheet were $416 million and $1.42 billion, respectively, at September 30, 2022 and $418 million and $83 million, respectively, at December 31, 2021. The fair value asset and liability amounts at September 30, 2022 have been reduced by contractual settlements of $1.15 billion and $20 million, respectively, and at December 31, 2021 have been reduced by contractual settlements of $54 million and $305 million, respectively. The values associated with the Company's non-hedging derivative activities at September 30, 2022 as compared with December 31, 2021 reflect changes in values associated with interest rate swap agreements entered into with commercial customers that are not subject to periodic variation margin settlement payments.</w:t>
      </w:r>
    </w:p>
    <w:p>
      <w:pPr>
        <w:spacing w:after="0" w:line="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20"/>
          <w:szCs w:val="20"/>
          <w:color w:val="auto"/>
        </w:rPr>
        <w:t>Trading account assets were $130 million at September 30, 2022, $50 million at December 31, 2021 and $51 million at September 30, 2021. Included in trading account assets were assets related to deferred compensation plans aggregating $23 million at September 30, 2022, compared with $21 million at each of September 30, 2021 and December 31, 2021. Changes in the fair values of such assets are recorded as “trading account and non-hedging derivative gains” in the consolidated statement of income. Included in “other liabilities” in the consolidated balance sheet at September 30, 2022 was $29 million of liabilities related to deferred compensation plans, compared with $25 million at September 30, 2021 and $24 million at December 31, 2021.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$107 million at September 30, 2022 and $29 million at each of September 30, 2021 and December 31, 2021. The increase at September 30, 2022 as compared with the prior dates reflects assets obtained in the acquisition of the People's United non-qualified supplemental retirement and other benefit plans.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3" w:name="page64"/>
    <w:bookmarkEnd w:id="63"/>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Given the Company’s policies and positions, management believes that the potential loss exposure to the Company resulting from market risk associated with trading account and non-hedging derivative activities was not material, however, as previously noted, the Company is exposed to credit risk associated with counterparties to transactions related to the Company’s actions to mitigate foreign currency and interest rate risk associated with customer activities. Additional information about the Company’s use of derivative financial instruments is included in note 11 of Notes to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Provision for Credit Losses</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 provision for credit losses is recorded to adjust the level of the allowance to reflect expected credit losses that are based on economic forecasts as of each reporting date. Provisions for credit losses of $115 million and $302 million were recorded in the third and second quarters of 2022, respectively, compared with a credit loss recapture of $20 million in the third quarter of 2021. The provision recorded in the second quarter of 2022 included $242 million on loans obtained in the acquisition of People's United not deemed to be PCD. GAAP requires a provision for credit losses to be recorded beyond the recognition of the fair value of the loans at the acquisition date. In addition to the recorded provision, the allowance for credit losses was also increased by $99 million in the second quarter of 2022 to reflect the expected credit losses on loans obtained in the acquisition of People's United deemed to be PCD. That addition represents an increase of the carrying values of loans identified as PCD at the time of the acquisition. The Company's estimates of expected credit losses at September 30, 2022 reflect anticipated increases in unemployment spurred by Federal Reserve initiatives to curb high rates of inflation that could lead to overall deterioration of economic conditions and, thus, credit quality during an eight-quarter forecast period. Risks considered included inflation, a projected rise in unemployment, reduction of economic growth projections, decreasing residential real estate prices as compared with the immediately preceding quarter and continued concerns about commercial real estate values in the hospitality and office building sectors. Macroeconomic assumptions used to estimate credit losses on loans acquired from People's United at the April 1, 2022 acquisition date were consistent with those used by the Company to estimate credit losses at March 31, 2022.</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20"/>
          <w:szCs w:val="20"/>
          <w:color w:val="auto"/>
        </w:rPr>
        <w:t>Net charge-offs of loans were $63 million in the recent quarter, compared with net charge-offs of $40 million in the third quarter of 2021 and $50 million in the second quarter of 2022. Net charge-offs as an annualized percentage of average loans and leases were</w:t>
      </w:r>
    </w:p>
    <w:p>
      <w:pPr>
        <w:jc w:val="both"/>
        <w:spacing w:after="0" w:line="246" w:lineRule="auto"/>
        <w:rPr>
          <w:sz w:val="20"/>
          <w:szCs w:val="20"/>
          <w:color w:val="auto"/>
        </w:rPr>
      </w:pPr>
      <w:r>
        <w:rPr>
          <w:rFonts w:ascii="Times New Roman" w:cs="Times New Roman" w:eastAsia="Times New Roman" w:hAnsi="Times New Roman"/>
          <w:sz w:val="20"/>
          <w:szCs w:val="20"/>
          <w:color w:val="auto"/>
        </w:rPr>
        <w:t>.20% in the third quarter of 2022, .17% in the year-earlier quarter and .16% in the second quarter of 2022. As an annualized percentage by loan type, net charge-offs (recoveries) for the third quarter of 2022, third quarter of 2021 and the second quarter of 2022 were .16%,</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.38% and .31% for commercial loans and leases, .30%, .13% and .06% for commercial real estate loans and .25%, .12% and .26% for consumer loans, respectively. Net charge-offs of residential real estate loans as an annualized percentage of average loan balances were less than .01% for each of the three quarters noted herein. Net charge-offs for the nine-month periods ended September 30, 2022 and 2021 were $120 million and $161 million, respectively, representing an annualized .14% and .22%, respectively, of average loans and leases. A summary of net charge-offs by loan type is presented in the table that follows.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color w:val="auto"/>
        </w:rPr>
        <w:t>NET CHARGE-OFFS (RECOVERIES)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LOAN/LEASE TYPE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00" w:type="dxa"/>
            <w:vAlign w:val="bottom"/>
            <w:vMerge w:val="restart"/>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1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(a)</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to-date (a)</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(13,143 )</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63,199</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00" w:type="dxa"/>
            <w:vAlign w:val="bottom"/>
            <w:vMerge w:val="restart"/>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Second</w:t>
            </w: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Third</w:t>
            </w:r>
          </w:p>
        </w:tc>
        <w:tc>
          <w:tcPr>
            <w:tcW w:w="18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to-date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financial, leasing, etc.</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75,181</w:t>
            </w:r>
          </w:p>
        </w:tc>
        <w:tc>
          <w:tcPr>
            <w:tcW w:w="2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46,078</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161,363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-1722120</wp:posOffset>
            </wp:positionV>
            <wp:extent cx="60325" cy="30861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-1722120</wp:posOffset>
            </wp:positionV>
            <wp:extent cx="60325" cy="3086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0325" cy="30861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-1722120</wp:posOffset>
            </wp:positionV>
            <wp:extent cx="51435" cy="3086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1435" cy="30861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-1722120</wp:posOffset>
            </wp:positionV>
            <wp:extent cx="51435" cy="10026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1435" cy="100266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032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032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032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5143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514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5143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5143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quarter ended June 30, 2022 and nine months ended September 30, 2022, net charge-offs do not reflect $33 million of charge-offs related to PCD acquired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The net charge-offs of commercial loans in the third quarter of 2022 reflect a $23 million charge-off of a loan to a paper distribution company partially offset by recoveries of previously charged-off loan balances. Net charge-offs of commercial loans in the second quarter of 2022 include a $23 million charge-off of a loan to a consumer products manufacturer. The net charge-offs of commercial real estate loans in the third quarter of 2022 reflect a $20 million charge-off of a loan to a healthcare provider and a $7 million charge-off of a loan to a residential leasing company. Included in net charge-offs of consumer loans were: net recoveries of automobile loans of less than $1 million in the recent quarter, $2 million in the year-earlier quarter and $1 million in the second quarter of 2022; net charge-offs of recreational finance loans of $5 million in the third quarter of 2022, $1 million in the year-earlier quarter and $7 million in the second 2022 quarter; and net recoveries of home equity loans and lines of credit secured by one-to-four family residential properties of less than $1 million in each of the recent quarter, the third quarter of 2021 and the second quarter of 2022. Net charge-offs associated with other consumer loans including credit cards and installment loans totaled $8 million in each of the recent quarter and the second quarter of 2022, compared with $7 million in the third quarter of 2021.</w:t>
      </w:r>
    </w:p>
    <w:p>
      <w:pPr>
        <w:spacing w:after="0" w:line="7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Nonaccrual loans aggregated $2.43 billion or 1.89% of total loans and leases outstanding at September 30, 2022, compared with $2.24 billion or 2.40% at September 30, 2021, $2.06 billion or 2.22% at December 31, 2021 and $2.63 billion or 2.05% at June 30, 2022. Loans obtained in the acquisition of People's United that have been classified as nonaccrual totaled $581 million at September 30, 2022 and $545 million at June 30, 2022. The level of nonaccrual loans reflects the continuing impact of economic conditions on borrowers’ abilities to make contractual payments on their loans, most notably commercial real estate loans in the hospitality, office, retail and health care-related sectors.</w:t>
      </w:r>
    </w:p>
    <w:p>
      <w:pPr>
        <w:spacing w:after="0" w:line="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Accruing loans past due 90 days or more were $477 million or .37% of loans and leases at September 30, 2022, compared with $1.03 billion or 1.10% at September 30, 2021, $963 million or 1.04% at December 31, 2021 and $524 million or .41% at June 30, 2022. Accruing loans past due 90 days or more were predominantly residential real estate loans and included loans guaranteed by government-related entities of $423 million, $947 million, $928 million and $468 million at September 30, 2022, September 30, 2021, December 31, 2021 and June 30, 2022, respectively. The lower balance at September 30, 2022 and June 30, 2022 compared with the 2021 dates reflects residential real estate loans guaranteed by government-related entities receiving payment deferrals during the COVID-19 pandemic, but ineligible for treatment under the CARES act, that exited these arrangements and complied with modified terms 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20"/>
          <w:szCs w:val="20"/>
          <w:color w:val="auto"/>
        </w:rPr>
        <w:t>become current. Guaranteed loans included one-to-four family residential mortgage loans serviced by the Company that were 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those purchased loans that are guaranteed by government-related entities totaled $366 million at September 30, 2022, $919 million a year earlier, $889 million at December 31, 2021 and $435 million at June 30, 2022. The remaining accruing loans past due 90 days or more not guaranteed by government-related entities were loans considered to be with creditworthy borrowers that were in the process of collection or renewal.</w:t>
      </w:r>
    </w:p>
    <w:p>
      <w:pPr>
        <w:spacing w:after="0" w:line="72" w:lineRule="exact"/>
        <w:rPr>
          <w:sz w:val="20"/>
          <w:szCs w:val="20"/>
          <w:color w:val="auto"/>
        </w:rPr>
      </w:pPr>
    </w:p>
    <w:p>
      <w:pPr>
        <w:jc w:val="both"/>
        <w:ind w:firstLine="562"/>
        <w:spacing w:after="0" w:line="241" w:lineRule="auto"/>
        <w:rPr>
          <w:sz w:val="20"/>
          <w:szCs w:val="20"/>
          <w:color w:val="auto"/>
        </w:rPr>
      </w:pPr>
      <w:r>
        <w:rPr>
          <w:rFonts w:ascii="Times New Roman" w:cs="Times New Roman" w:eastAsia="Times New Roman" w:hAnsi="Times New Roman"/>
          <w:sz w:val="21"/>
          <w:szCs w:val="21"/>
          <w:color w:val="auto"/>
        </w:rPr>
        <w:t>The direct and indirect effects of the COVID-19 pandemic resulted in a dramatic reduction in 2020 in economic activity that severely hampered the ability of some businesses and consumers to meet their repayment obligations. Information regarding the Company's treatment of loan modifications subject to applicable regulatory guidance issued during the pandemic, including the CARES Act, can be found in Management's Discussion and Analysis of Financial Condition and Results of Operations within Form 10-K for the year ended December 31, 2021. COVID-19 related modifications with payment deferrals at September 30, 2022 were not material.</w:t>
      </w:r>
    </w:p>
    <w:p>
      <w:pPr>
        <w:spacing w:after="0" w:line="7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Information about modifications of loans that are considered troubled debt restructurings is included in note 4 of Notes to Financial Statements.</w:t>
      </w:r>
    </w:p>
    <w:p>
      <w:pPr>
        <w:spacing w:after="0" w:line="6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$382 million at September 30, 2022, $425 million at each of September 30, 2021 and December 31, 2021, and $356 million at June 30, 2022.</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Commercial loans and leases classified as nonaccrual totaled $368 million, $280 million, $221 million and $442 million at September 30, 2022, September 30, 2021, December 31, 2021 and June 30, 2022, respectively. Commercial real estate loans in nonaccrual status aggregated $1.47 billion, $1.31 billion, $1.18 billion, and $1.55 billion September 30, 2022, September 30, 2021, December 31, 2021 and June 30, 2022, respectively. Commercial real estate loans in nonaccrual status were largely reflective of loans in the hospitality, office, retail and health care-related sectors. Commercial loans and leases and commercial real estate loans acquired from People's United and classified as nonaccrual totaled $136 million and $416 million, respectively, at September 30, 2022 and $188 million and $312 million, respectively, at June 30, 2022.</w:t>
      </w:r>
    </w:p>
    <w:p>
      <w:pPr>
        <w:spacing w:after="0" w:line="85"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Nonaccrual residential real estate loans totaled $381 million at September 30, 2022, compared with $480 million at September 30, 2021, $479 million at December 31, 2021 and $444 million at June 30, 2022. The decreases since September 30, 2021 largely reflect borrower repayment performance since that date partially offset by $17 million of residential real estate loans acquired from People's United and classified as nonaccrual at September 30, 2022. Included in residential real estate loans classified as nonaccrual were limited documentation first mortgage loans of $95 million at September 30, 2022, compared with $127 million at September 30, 2021, $123 million at December 31, 2021 and $113 million at June 30, 2022.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$412 million at September 30, 2022, compared with $945 million at September 30, 2021, $920 million at December 31, 2021 and $474 million at June 30, 2022. Those amounts related predominantly to government-guaranteed loans as previously noted. The lower balances at the two most recent quarter-ends also reflect improved borrower repayment performance. Information about the location of nonaccrual and charged-off residential real estate loans as of and for the quarter ended September 30, 2022 is presented in the accompanying table.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6" w:name="page67"/>
    <w:bookmarkEnd w:id="66"/>
    <w:p>
      <w:pPr>
        <w:jc w:val="both"/>
        <w:ind w:right="80" w:firstLine="509"/>
        <w:spacing w:after="0" w:line="241" w:lineRule="auto"/>
        <w:rPr>
          <w:sz w:val="20"/>
          <w:szCs w:val="20"/>
          <w:color w:val="auto"/>
        </w:rPr>
      </w:pPr>
      <w:r>
        <w:rPr>
          <w:rFonts w:ascii="Times New Roman" w:cs="Times New Roman" w:eastAsia="Times New Roman" w:hAnsi="Times New Roman"/>
          <w:sz w:val="21"/>
          <w:szCs w:val="21"/>
          <w:color w:val="auto"/>
        </w:rPr>
        <w:t>Nonaccrual consumer loans were $206 million at September 30, 2022, $170 million at September 30, 2021, $177 million at December 31, 2021 and $196 million at June 30, 2022. Included in nonaccrual consumer loans at September 30, 2022, September 30, 2021, December 31, 2021 and June 30, 2022 were: automobile loans of $40 million, $31 million, $34 million and $36 million, respectively; recreational finance loans of $39 million, $24 million, $28 million and $33 million, respectively; and outstanding balances of home equity loans and lines of credit of $78 million, $71 million, $70 million and $79 million, respectively. Consumer loans acquired from People's United and classified as nonaccrual at September 30, 2022 totaled $12 million and consisted predominantly of home equity loans and lines of credit. Information about the location of nonaccrual and charged-off home equity loans and lines of credit as of and for the quarter ended September 30, 2022 is presented in the accompanying table.</w:t>
      </w:r>
    </w:p>
    <w:p>
      <w:pPr>
        <w:spacing w:after="0" w:line="72"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21"/>
          <w:szCs w:val="21"/>
          <w:color w:val="auto"/>
        </w:rPr>
        <w:t>Information about past due and nonaccrual loans as of September 30, 2022 and December 31, 2021 is also included in note 4 of Notes to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SELECTED RESIDENTIAL REAL ESTATE-RELATED LOAN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Quarter Ended</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3"/>
                <w:szCs w:val="13"/>
                <w:b w:val="1"/>
                <w:bCs w:val="1"/>
                <w:color w:val="auto"/>
              </w:rPr>
              <w:t>Nonaccrual</w:t>
            </w:r>
          </w:p>
        </w:tc>
        <w:tc>
          <w:tcPr>
            <w:tcW w:w="920" w:type="dxa"/>
            <w:vAlign w:val="bottom"/>
            <w:tcBorders>
              <w:top w:val="single" w:sz="8" w:color="auto"/>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340" w:type="dxa"/>
            <w:vAlign w:val="bottom"/>
            <w:tcBorders>
              <w:top w:val="single" w:sz="8" w:color="auto"/>
              <w:bottom w:val="single" w:sz="8" w:color="auto"/>
            </w:tcBorders>
            <w:gridSpan w:val="3"/>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rPr>
              <w:t>Net Charge-offs (Recoveries)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2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Balances</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4"/>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Residential mortgages:</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6,553,820</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111,080</w:t>
            </w:r>
          </w:p>
        </w:tc>
        <w:tc>
          <w:tcPr>
            <w:tcW w:w="2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1.69 %</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2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6,549,714</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104,464</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6,187,859</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49,177</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2,631,196</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19,086</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(216 )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21,922,589</w:t>
            </w:r>
          </w:p>
        </w:tc>
        <w:tc>
          <w:tcPr>
            <w:tcW w:w="3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283,807</w:t>
            </w:r>
          </w:p>
        </w:tc>
        <w:tc>
          <w:tcPr>
            <w:tcW w:w="2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1.29 </w:t>
            </w:r>
            <w:r>
              <w:rPr>
                <w:rFonts w:ascii="Times New Roman" w:cs="Times New Roman" w:eastAsia="Times New Roman" w:hAnsi="Times New Roman"/>
                <w:sz w:val="14"/>
                <w:szCs w:val="14"/>
                <w:color w:val="auto"/>
                <w:highlight w:val="white"/>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2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.02 </w:t>
            </w:r>
            <w:r>
              <w:rPr>
                <w:rFonts w:ascii="Times New Roman" w:cs="Times New Roman" w:eastAsia="Times New Roman" w:hAnsi="Times New Roman"/>
                <w:sz w:val="14"/>
                <w:szCs w:val="14"/>
                <w:color w:val="auto"/>
                <w:highlight w:val="white"/>
              </w:rPr>
              <w:t>%</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Residential construction loans:</w:t>
            </w: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21,563</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1.74 %</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21,688</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18,439</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3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64,256</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2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2.47 </w:t>
            </w:r>
            <w:r>
              <w:rPr>
                <w:rFonts w:ascii="Times New Roman" w:cs="Times New Roman" w:eastAsia="Times New Roman" w:hAnsi="Times New Roman"/>
                <w:sz w:val="14"/>
                <w:szCs w:val="14"/>
                <w:color w:val="auto"/>
                <w:highlight w:val="white"/>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auto"/>
                <w:highlight w:val="white"/>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Limited documentation first lien mortgages:</w:t>
            </w: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501,679</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40,427</w:t>
            </w:r>
          </w:p>
        </w:tc>
        <w:tc>
          <w:tcPr>
            <w:tcW w:w="2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8.06 %</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442,905</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34,664</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99,097</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43,754</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(565 )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(4.94 )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1,087,435</w:t>
            </w:r>
          </w:p>
        </w:tc>
        <w:tc>
          <w:tcPr>
            <w:tcW w:w="3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95,382</w:t>
            </w:r>
          </w:p>
        </w:tc>
        <w:tc>
          <w:tcPr>
            <w:tcW w:w="2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8.77 </w:t>
            </w:r>
            <w:r>
              <w:rPr>
                <w:rFonts w:ascii="Times New Roman" w:cs="Times New Roman" w:eastAsia="Times New Roman" w:hAnsi="Times New Roman"/>
                <w:sz w:val="14"/>
                <w:szCs w:val="14"/>
                <w:color w:val="auto"/>
                <w:highlight w:val="white"/>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.(18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First lien home equity loans and lines of credit:</w:t>
            </w: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969,253</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16,728</w:t>
            </w:r>
          </w:p>
        </w:tc>
        <w:tc>
          <w:tcPr>
            <w:tcW w:w="2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1.73 %</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2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1,110,862</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21,961</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(18 )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704,555</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20,620</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(20 )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2,805,290</w:t>
            </w:r>
          </w:p>
        </w:tc>
        <w:tc>
          <w:tcPr>
            <w:tcW w:w="38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42,250</w:t>
            </w:r>
          </w:p>
        </w:tc>
        <w:tc>
          <w:tcPr>
            <w:tcW w:w="2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1.51 </w:t>
            </w:r>
            <w:r>
              <w:rPr>
                <w:rFonts w:ascii="Times New Roman" w:cs="Times New Roman" w:eastAsia="Times New Roman" w:hAnsi="Times New Roman"/>
                <w:sz w:val="14"/>
                <w:szCs w:val="14"/>
                <w:color w:val="auto"/>
                <w:highlight w:val="white"/>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2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.03 </w:t>
            </w:r>
            <w:r>
              <w:rPr>
                <w:rFonts w:ascii="Times New Roman" w:cs="Times New Roman" w:eastAsia="Times New Roman" w:hAnsi="Times New Roman"/>
                <w:sz w:val="14"/>
                <w:szCs w:val="14"/>
                <w:color w:val="auto"/>
                <w:highlight w:val="white"/>
              </w:rPr>
              <w:t>%</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Junior lien home equity loans and lines of credit:</w:t>
            </w:r>
          </w:p>
        </w:tc>
        <w:tc>
          <w:tcPr>
            <w:tcW w:w="2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York</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768,949</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16,106</w:t>
            </w:r>
          </w:p>
        </w:tc>
        <w:tc>
          <w:tcPr>
            <w:tcW w:w="2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2.09 %</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(479 )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0" w:type="dxa"/>
            <w:vAlign w:val="bottom"/>
          </w:tcPr>
          <w:p>
            <w:pPr>
              <w:spacing w:after="0"/>
              <w:rPr>
                <w:sz w:val="1"/>
                <w:szCs w:val="1"/>
                <w:color w:val="auto"/>
              </w:rPr>
            </w:pPr>
          </w:p>
        </w:tc>
      </w:tr>
      <w:tr>
        <w:trPr>
          <w:trHeight w:val="175"/>
        </w:trPr>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Mid-Atlantic (a)</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929,851</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16,674</w:t>
            </w: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(539 )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New England (b)</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538,721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20,612</w:t>
            </w:r>
          </w:p>
        </w:tc>
        <w:tc>
          <w:tcPr>
            <w:tcW w:w="3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5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2,258,133</w:t>
            </w:r>
          </w:p>
        </w:tc>
        <w:tc>
          <w:tcPr>
            <w:tcW w:w="6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35,958</w:t>
            </w:r>
          </w:p>
        </w:tc>
        <w:tc>
          <w:tcPr>
            <w:tcW w:w="24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1.59 </w:t>
            </w:r>
            <w:r>
              <w:rPr>
                <w:rFonts w:ascii="Times New Roman" w:cs="Times New Roman" w:eastAsia="Times New Roman" w:hAnsi="Times New Roman"/>
                <w:sz w:val="14"/>
                <w:szCs w:val="14"/>
                <w:color w:val="auto"/>
                <w:highlight w:val="white"/>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(642 )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.(11 </w:t>
            </w:r>
            <w:r>
              <w:rPr>
                <w:rFonts w:ascii="Times New Roman" w:cs="Times New Roman" w:eastAsia="Times New Roman" w:hAnsi="Times New Roman"/>
                <w:sz w:val="14"/>
                <w:szCs w:val="14"/>
                <w:color w:val="auto"/>
                <w:highlight w:val="white"/>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-2956560</wp:posOffset>
            </wp:positionV>
            <wp:extent cx="77470" cy="1454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-2956560</wp:posOffset>
            </wp:positionV>
            <wp:extent cx="76835" cy="14541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-2956560</wp:posOffset>
            </wp:positionV>
            <wp:extent cx="68580" cy="14541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-2253615</wp:posOffset>
            </wp:positionV>
            <wp:extent cx="77470" cy="14541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-2253615</wp:posOffset>
            </wp:positionV>
            <wp:extent cx="76835" cy="1454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-2253615</wp:posOffset>
            </wp:positionV>
            <wp:extent cx="68580" cy="1454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-1550670</wp:posOffset>
            </wp:positionV>
            <wp:extent cx="77470" cy="1460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-1550670</wp:posOffset>
            </wp:positionV>
            <wp:extent cx="76835" cy="146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-1550670</wp:posOffset>
            </wp:positionV>
            <wp:extent cx="68580" cy="1460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-847725</wp:posOffset>
            </wp:positionV>
            <wp:extent cx="77470" cy="146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-847725</wp:posOffset>
            </wp:positionV>
            <wp:extent cx="76835" cy="146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-847725</wp:posOffset>
            </wp:positionV>
            <wp:extent cx="68580" cy="146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-145415</wp:posOffset>
            </wp:positionV>
            <wp:extent cx="77470" cy="1460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-145415</wp:posOffset>
            </wp:positionV>
            <wp:extent cx="76835" cy="1460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-145415</wp:posOffset>
            </wp:positionV>
            <wp:extent cx="68580" cy="1460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5"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Delaware, Maryland, New Jersey, Pennsylvania, Virginia, West Virginia and the District of Columbia.</w:t>
      </w:r>
    </w:p>
    <w:p>
      <w:pPr>
        <w:spacing w:after="0" w:line="4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Includes Connecticut, Maine, Massachusetts, New Hampshire, Rhode Island and Vermont.</w:t>
      </w:r>
    </w:p>
    <w:p>
      <w:pPr>
        <w:spacing w:after="0" w:line="263" w:lineRule="exact"/>
        <w:rPr>
          <w:sz w:val="20"/>
          <w:szCs w:val="20"/>
          <w:color w:val="auto"/>
        </w:rPr>
      </w:pPr>
    </w:p>
    <w:p>
      <w:pPr>
        <w:jc w:val="both"/>
        <w:ind w:right="80" w:firstLine="509"/>
        <w:spacing w:after="0" w:line="242" w:lineRule="auto"/>
        <w:rPr>
          <w:sz w:val="20"/>
          <w:szCs w:val="20"/>
          <w:color w:val="auto"/>
        </w:rPr>
      </w:pPr>
      <w:r>
        <w:rPr>
          <w:rFonts w:ascii="Times New Roman" w:cs="Times New Roman" w:eastAsia="Times New Roman" w:hAnsi="Times New Roman"/>
          <w:sz w:val="21"/>
          <w:szCs w:val="21"/>
          <w:color w:val="auto"/>
        </w:rPr>
        <w:t>Real estate and other foreclosed assets totaled $37 million at September 30, 2022, compared with $25 million at September 30, 2021, $24 million at December 31, 2021 and $29 million at June 30, 2022. Net gains or losses associated with real estate and other foreclosed assets were not material during the three months and nine months ended September 30, 2022 and 2021. At September 30, 2022, foreclosed assets are comprised predominantly of residential real estate-related properties.</w:t>
      </w:r>
    </w:p>
    <w:p>
      <w:pPr>
        <w:spacing w:after="0" w:line="1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31" w:right="259" w:bottom="1440" w:gutter="0" w:footer="0" w:header="0"/>
        </w:sectPr>
      </w:pPr>
    </w:p>
    <w:bookmarkStart w:id="67" w:name="page68"/>
    <w:bookmarkEnd w:id="67"/>
    <w:p>
      <w:pPr>
        <w:ind w:right="60" w:firstLine="509"/>
        <w:spacing w:after="0" w:line="270" w:lineRule="auto"/>
        <w:rPr>
          <w:sz w:val="20"/>
          <w:szCs w:val="20"/>
          <w:color w:val="auto"/>
        </w:rPr>
      </w:pPr>
      <w:r>
        <w:rPr>
          <w:rFonts w:ascii="Times New Roman" w:cs="Times New Roman" w:eastAsia="Times New Roman" w:hAnsi="Times New Roman"/>
          <w:sz w:val="21"/>
          <w:szCs w:val="21"/>
          <w:color w:val="auto"/>
        </w:rPr>
        <w:t>A comparative summary of nonperforming assets and certain past due, renegotiated and impaired loan data and credit quality ratios is presented in the accompanying table.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NONPERFORMING ASSET AND PAST DUE, RENEGOTIATED AND IMPAIRED LOAN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2022 Quarters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2021 Quarters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00" w:type="dxa"/>
            <w:vAlign w:val="bottom"/>
          </w:tcPr>
          <w:p>
            <w:pPr>
              <w:spacing w:after="0"/>
              <w:rPr>
                <w:sz w:val="17"/>
                <w:szCs w:val="17"/>
                <w:color w:val="auto"/>
              </w:rPr>
            </w:pPr>
          </w:p>
        </w:tc>
      </w:tr>
      <w:tr>
        <w:trPr>
          <w:trHeight w:val="184"/>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thousands)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5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2,429,326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2,633,005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2,134,231</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2,060,083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2,242,263</w:t>
            </w:r>
          </w:p>
        </w:tc>
        <w:tc>
          <w:tcPr>
            <w:tcW w:w="100" w:type="dxa"/>
            <w:vAlign w:val="bottom"/>
          </w:tcPr>
          <w:p>
            <w:pPr>
              <w:spacing w:after="0"/>
              <w:rPr>
                <w:sz w:val="24"/>
                <w:szCs w:val="24"/>
                <w:color w:val="auto"/>
              </w:rPr>
            </w:pPr>
          </w:p>
        </w:tc>
      </w:tr>
      <w:tr>
        <w:trPr>
          <w:trHeight w:val="21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 and other foreclosed assets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37,031</w:t>
            </w:r>
          </w:p>
        </w:tc>
        <w:tc>
          <w:tcPr>
            <w:tcW w:w="2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2,466,357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2,661,697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2,157,755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2,083,984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2,267,049</w:t>
            </w: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Accruing loans past due 90 days or more(a)</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476,503</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523,662</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776,751</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963,399</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1,026,080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43"/>
        </w:trPr>
        <w:tc>
          <w:tcPr>
            <w:tcW w:w="46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Government guaranteed loans included in totals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39"/>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above: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47,358</w:t>
            </w:r>
          </w:p>
        </w:tc>
        <w:tc>
          <w:tcPr>
            <w:tcW w:w="100" w:type="dxa"/>
            <w:vAlign w:val="bottom"/>
            <w:shd w:val="clear" w:color="auto" w:fill="CFF0FC"/>
          </w:tcPr>
          <w:p>
            <w:pPr>
              <w:spacing w:after="0"/>
              <w:rPr>
                <w:sz w:val="19"/>
                <w:szCs w:val="19"/>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Accruing loans past due 90 days or more(a)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689,831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947,091</w:t>
            </w:r>
          </w:p>
        </w:tc>
        <w:tc>
          <w:tcPr>
            <w:tcW w:w="10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Renegotiated loans</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356,797</w:t>
            </w:r>
          </w:p>
        </w:tc>
        <w:tc>
          <w:tcPr>
            <w:tcW w:w="24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276,584</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242,108</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230,408</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242,955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-1053465</wp:posOffset>
            </wp:positionV>
            <wp:extent cx="77470" cy="1714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-1053465</wp:posOffset>
            </wp:positionV>
            <wp:extent cx="68580" cy="1714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-1053465</wp:posOffset>
            </wp:positionV>
            <wp:extent cx="68580" cy="1714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-1053465</wp:posOffset>
            </wp:positionV>
            <wp:extent cx="68580" cy="1714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714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-744855</wp:posOffset>
            </wp:positionV>
            <wp:extent cx="3463290" cy="2825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463290" cy="28257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3463290" cy="16319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463290" cy="16319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 and leases, net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discount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2.05 %</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2.32 %</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162"/>
        </w:trPr>
        <w:tc>
          <w:tcPr>
            <w:tcW w:w="46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Nonperforming assets to total net loans and</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leases and real estate and other foreclosed assets</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1.92 %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2.35 %</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162"/>
        </w:trPr>
        <w:tc>
          <w:tcPr>
            <w:tcW w:w="464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Accruing loans past due 90 days or more(a) to</w:t>
            </w: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.85 %</w:t>
            </w: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03"/>
        </w:trPr>
        <w:tc>
          <w:tcPr>
            <w:tcW w:w="464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total loans and leases, net of unearned discount</w:t>
            </w:r>
          </w:p>
        </w:tc>
        <w:tc>
          <w:tcPr>
            <w:tcW w:w="13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25717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5" w:lineRule="exact"/>
        <w:rPr>
          <w:sz w:val="20"/>
          <w:szCs w:val="20"/>
          <w:color w:val="auto"/>
        </w:rPr>
      </w:pPr>
    </w:p>
    <w:p>
      <w:pPr>
        <w:ind w:left="580" w:hanging="513"/>
        <w:spacing w:after="0"/>
        <w:tabs>
          <w:tab w:leader="none" w:pos="580" w:val="left"/>
        </w:tabs>
        <w:numPr>
          <w:ilvl w:val="0"/>
          <w:numId w:val="2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Predominantly residential real estate loans.</w:t>
      </w:r>
    </w:p>
    <w:p>
      <w:pPr>
        <w:spacing w:after="0" w:line="114" w:lineRule="exact"/>
        <w:rPr>
          <w:sz w:val="20"/>
          <w:szCs w:val="20"/>
          <w:color w:val="auto"/>
        </w:rPr>
      </w:pPr>
    </w:p>
    <w:p>
      <w:pPr>
        <w:jc w:val="both"/>
        <w:ind w:right="60" w:firstLine="509"/>
        <w:spacing w:after="0" w:line="249" w:lineRule="auto"/>
        <w:rPr>
          <w:sz w:val="20"/>
          <w:szCs w:val="20"/>
          <w:color w:val="auto"/>
        </w:rPr>
      </w:pPr>
      <w:r>
        <w:rPr>
          <w:rFonts w:ascii="Times New Roman" w:cs="Times New Roman" w:eastAsia="Times New Roman" w:hAnsi="Times New Roman"/>
          <w:sz w:val="21"/>
          <w:szCs w:val="21"/>
          <w:color w:val="auto"/>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p>
    <w:p>
      <w:pPr>
        <w:spacing w:after="0" w:line="72" w:lineRule="exact"/>
        <w:rPr>
          <w:sz w:val="20"/>
          <w:szCs w:val="20"/>
          <w:color w:val="auto"/>
        </w:rPr>
      </w:pPr>
    </w:p>
    <w:p>
      <w:pPr>
        <w:jc w:val="both"/>
        <w:ind w:right="60" w:firstLine="509"/>
        <w:spacing w:after="0" w:line="238"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September 30, 2022, concerns existed about the somewhat incomplete recovery evident in some sectors of the economy; elevated levels of inflation; fears of a slowing economy and possible recession in coming quarters; the volatile nature of global markets and international economic conditions that could impact the U.S. economy; Federal Reserve positioning of monetary policy; ongoing supply chain issues and wage pressures impacting commercial borrowers; the extent to which borrowers, in particular commercial real estate borrowers, may be negatively affected by pandemic-related and general economic conditions; and continued stagnant population and economic growth in the upstate New York and central Pennsylvania regions (approximately 37% of the Company’s loans and leases are to customers in New York State and Pennsylvania) that historically lag other regions of the country.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Criticized commercial loans and commercial real estate loans totaled $10.9 billion, including $2.8 billion of loans acquired from People's United, at September 30, 2022, compared with $9.6 billion at September 30, 2021, $9.0 billion at December 31, 2021 and $11.6 billion at June 30, 2022, including $2.8 billion of loans acquired from People's United. The level of criticized loans remains reflective of the impact of current conditions on many borrowers, particularly those with investor-owned commercial real estate loans in the hotel, office and healthcare sectors. Investor-owned commercial real estate loans</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1" w:right="27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21"/>
          <w:szCs w:val="21"/>
          <w:color w:val="auto"/>
        </w:rPr>
        <w:t>comprised $8.0 billion or 74% of total criticized loans at September 30, 2022. The weighted-average loan-to-value (“LTV”) ratio for investor-owned commercial real estate properties was approximately 60%. Criticized loans secured by investor-owned commercial real estate had a weighted-average LTV ratio of approximately 65%.</w:t>
      </w:r>
    </w:p>
    <w:p>
      <w:pPr>
        <w:spacing w:after="0" w:line="54" w:lineRule="exact"/>
        <w:rPr>
          <w:sz w:val="20"/>
          <w:szCs w:val="20"/>
          <w:color w:val="auto"/>
        </w:rPr>
      </w:pPr>
    </w:p>
    <w:p>
      <w:pPr>
        <w:jc w:val="both"/>
        <w:ind w:firstLine="562"/>
        <w:spacing w:after="0" w:line="239" w:lineRule="auto"/>
        <w:rPr>
          <w:sz w:val="20"/>
          <w:szCs w:val="20"/>
          <w:color w:val="auto"/>
        </w:rPr>
      </w:pPr>
      <w:r>
        <w:rPr>
          <w:rFonts w:ascii="Times New Roman" w:cs="Times New Roman" w:eastAsia="Times New Roman" w:hAnsi="Times New Roman"/>
          <w:sz w:val="21"/>
          <w:szCs w:val="21"/>
          <w:color w:val="auto"/>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centralized credit risk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8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September 30, 2022, approximately 55% of the Company’s home equity portfolio consisted of first lien loans and lines of credit and 45% were junior liens.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September 30, 2022 approximately 86% of all outstanding balances of home equity lines of credit related to lines that were still in the draw period, the weighted-average remaining draw periods were approximately five years, and approximately 18% were making contractually allowed payments that do not include any repayment of principal.</w:t>
      </w:r>
    </w:p>
    <w:p>
      <w:pPr>
        <w:spacing w:after="0" w:line="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85"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September 30, 2022, September 30, 2021 and December 31, 2021 included utilizing macroeconomic assumptions to project losses over a two-year reasonable and supportable forecast period. Subsequent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9" w:name="page70"/>
    <w:bookmarkEnd w:id="69"/>
    <w:p>
      <w:pPr>
        <w:jc w:val="both"/>
        <w:spacing w:after="0" w:line="238" w:lineRule="auto"/>
        <w:rPr>
          <w:sz w:val="20"/>
          <w:szCs w:val="20"/>
          <w:color w:val="auto"/>
        </w:rPr>
      </w:pPr>
      <w:r>
        <w:rPr>
          <w:rFonts w:ascii="Times New Roman" w:cs="Times New Roman" w:eastAsia="Times New Roman" w:hAnsi="Times New Roman"/>
          <w:sz w:val="21"/>
          <w:szCs w:val="21"/>
          <w:color w:val="auto"/>
        </w:rPr>
        <w:t>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Events posing emerging risks to the macroeconomic environment, such as international conflicts and other events, inflation and supply chain issues, are considered when developing economic forecasts even if the events do not directly and materially impact the Company’s financial results. Supply chain disruptions, inflationary pressures or other peripheral impacts of global events may alter economic forecasts and the Company monitors this activity as part of its risk management procedures in assessing the allowance for credit losses. Among the assumptions utilized as of September 30, 2022 was that the national unemployment rate will average 3.9% through the reasonable and supportable forecast period. The forecast also assumed gross domestic product grows at a 1.5% average rate during the first year of the reasonable and supportable forecast period and at a 2.7% average rate in the second year. Commercial real estate prices were assumed to cumulatively grow 6.5% and residential real estate prices were assumed to contract 4.4% over the two-year reasonable and supportable forecast period. As of June 30, 2022 the national unemployment rate was assumed to average 3.4% through the reasonable and supportable period. The forecast also assumed gross domestic product would grow during the first year of the reasonable and supportable period at a 2.4% average annual rate and at a 2.9% average rate in the second year. Commercial real estate and residential real estate prices were assumed to cumulatively grow 11.6% and 0.4%, respectively, over the two-year reasonable and supportable forecast period. As of December 31, 2021 the forecast assumed that national unemployment would average 4.6% through the first year of the reasonable and supportable forecast period before gradually improving to 3.7% in the latter half of 2023. The forecast also assumed gross domestic product would grow during 2022 at a 3.1% average annual rate and during 2023 at a 2.7% annual rate. Commercial and residential real estate prices were assumed to cumulatively grow 11.1% and 5.9%, respectively, over the two-year reasonable and supportable forecast period. Among the assumptions utilized as of September 30, 2021 was that the national unemployment rate would continue to be at then elevated levels, on average 4.6%, through the remainder of 2021, followed by a gradual improvement reaching 3.5% within the reasonable and supportable forecast period. The forecast also assumed gross domestic product would grow at an average annualized rate of 3.3% during the eight-quarter forecast period. The commercial real estate price index was assumed to be down modestly in 2021, but improving in 2022 and 2023. Residential real estate prices were not assumed to fluctuate significantly. The assumptions utilized were based on the information available to the Company at or near September 30, 2022, June 30, 2022, December 31, 2021 and September 30, 2021 (at the time the Company was preparing its estimate of expected credit losses as of those dates).</w:t>
      </w:r>
    </w:p>
    <w:p>
      <w:pPr>
        <w:spacing w:after="0" w:line="6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could have an adverse impact on expected credit losses and may result in an increase to the allowance for credit losses. Forward 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spacing w:after="0" w:line="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A potential downside economic scenario assumed the unemployment rate averages 7.1% in the reasonable and supportable forecast period. The scenario also assumed gross domestic product contracts 2.4% in the first year of the reasonable and supportable forecast period before recovering to 2.2% growth in the second year and commercial real estate and residential real estate prices cumulatively decline 18.4% and 11.4%, respectively, by the end of the reasonable and supportable forecast period.</w:t>
      </w:r>
    </w:p>
    <w:p>
      <w:pPr>
        <w:spacing w:after="0" w:line="7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A potential upside economic scenario assumed the unemployment rate declines to approximately 3.4% for the duration of the reasonable and supportable forecast period. The scenario also assumes gross domestic product grows 5.2% in the initial year of the reasonable and supportable forecast period and 2.0% in the second year while commercial real estate and residential real estate prices cumulatively rise 8.9% and 1.4%, respectively, over the two-year reasonable and supportable forecast period.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0" w:name="page71"/>
    <w:bookmarkEnd w:id="70"/>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The scenario analyses resulted in an additional $370 million of modeled credit losses under the assumptions of the downside economic scenario, whereas under the assumptions of the upside economic scenario a $161 million reduction in modeled credit losses could occur. 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spacing w:after="0" w:line="6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p>
    <w:p>
      <w:pPr>
        <w:spacing w:after="0" w:line="7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Management believes that the allowance for credit losses at September 30, 2022 appropriately reflected expected credit losses inherent in the portfolio as of that date. The allowance for credit losses totaled $1.88 billion at September 30, 2022, compared with $1.52 billion at September 30, 2021, $1.47 billion at December 31, 2021 and $1.82 billion at June 30, 2022. As a percentage of loans outstanding, the allowance was 1.46% at September 30, 2022, 1.62% at September 30, 2021, 1.58% at December 31, 2021 and 1.42% at June 30, 2022. Using the same methodology described herein, the Company added $341 million to the allowance for credit losses related to the $35.8 billion of loans and leases obtained in the acquisition of People's United on April 1, 2022. The combined Company allowance for credit losses at April 1, 2022 as a percentage of loans outstanding was 1.42%.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8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The ratio of the allowance for credit losses to total nonaccrual loans at September 30, 2022 and December 31, 2021 was 77% and 71%,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Income</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Other income totaled $563 million in the third quarter of 2022, compared with $569 million in the year-earlier quarter. Trust income, service charges on deposit accounts and credit-related fees all increased reflecting the acquisition of People's United, but were offset by a decline in mortgage banking revenues resulting from the Company's decision to retain the substantial majority of recently originated mortgage loans in portfolio rather than sell such loans. Other income was $571 million in the second quarter of 2022. The modest decline in the recent quarter resulted from lower service charges on deposit accounts and trust income, offset by higher credit-related fees.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20"/>
          <w:szCs w:val="20"/>
          <w:color w:val="auto"/>
        </w:rPr>
        <w:t>Mortgage banking revenues were $83 million in each of the third quarter and second quarter of 2022, compared with $160 million in the third quarter of 2021.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6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Residential mortgage banking revenues, consisting of realized gains and losses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$55 million in the third quarter of 2022, $110 million in the similar quarter of 2021 and $50 million in the second quarter of 2022. As compared with the third quarter of 2021, lower residential mortgage banking revenues in the recent quarter resulted from decreased gains associated with loans held for sale and related commitments, reflecting the Company’s decision late in the third quarter of 2021 to retain most originated mortgage loans in portfolio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21"/>
          <w:szCs w:val="21"/>
          <w:color w:val="auto"/>
        </w:rPr>
        <w:t>rather than sell such loans. Residential mortgage banking revenues were $5 million lower in the second quarter of 2022 as compared with the recent quarter as a result of the Company recognizing a loss on lower-yielding repurchased mortgage loans in the second quarter of 2022.</w:t>
      </w:r>
    </w:p>
    <w:p>
      <w:pPr>
        <w:spacing w:after="0" w:line="5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New commitments to originate residential real estate loans to be sold were approximately $47 million in the third quarter of 2022, compared with $1.1 billion in the year-earlier quarter and $78 million in the second quarter of 2022. Realized gains and losses from sales of residential real estate loans and loan servicing rights and recognized net unrealized gains or losses attributable to residential real estate loans held for sale, commitments to originate loans for sale and commitments to sell loans totaled gains of $1 million in the third quarter of 2022 and $49 million in the corresponding period of 2021, compared with losses of $17 million in 2022’s second quarter.</w:t>
      </w:r>
    </w:p>
    <w:p>
      <w:pPr>
        <w:spacing w:after="0" w:line="8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Loans held for sale that were secured by residential real estate aggregated $43 million at September 30, 2022, $279 million at September 30, 2021 and $474 million at December 31, 2021. Commitments to sell residential real estate loans and commitments to originate residential real estate loans for sale at pre-determined rates totaled $80 million and $57 million, respectively, at September 30, 2022, compared with $795 million and $751 million, respectively, at September 30, 2021 and $617 million and $233 million, respectively, at December 31, 2021. Net recognized unrealized gains on residential real estate loans held for sale, commitments to sell loans, and commitments to originate loans for sale were $1 million at September 30, 2022, $22 million at September 30, 2021 and $10 million at December 31, 2021. Changes in net unrealized gains or losses are recorded in mortgage banking revenues and resulted in a net increase in revenues of $1 million in the recent quarter and $10 million in the third quarter of 2021, compared with a net decrease of $5 million in the second quarter of 2022.</w:t>
      </w:r>
    </w:p>
    <w:p>
      <w:pPr>
        <w:spacing w:after="0" w:line="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Revenues from servicing residential real estate loans for others were $54 million during the quarter ended September 30, 2022, compared with $61 million and $67 million during the three months ended September 30, 2021 and June 30, 2022, respectively. Residential real estate loans serviced for others totaled $104.0 billion at September 30, 2022, $97.1 billion at September 30, 2021, $97.9 billion at December 31, 2021 and $102.5 billion at June 30, 2022. Reflected in residential real estate loans serviced for others were loans sub-serviced for others of $81.2 billion, $73.2 billion, $74.7 billion and $79.0 billion at September 30, 2022, September 30, 2021, December 31, 2021 and June 30, 2022, respectively. Revenues earned for sub-servicing loans totaled $33 million during the recent quarter, $39 million in the third quarter of 2021 and $44 million in the second quarter of 2022. The decrease in sub-servicing fees in the recent quarter reflects lower fees associated with modifying and selling reperforming loans previously repurchased by the holder of the contractual servicing rights. The contractual servicing rights associated with loans sub-serviced by the Company were predominantly held by affiliates of Bayview Lending Group LLC ("BLG"). Information about the Company’s relationship with BLG and its affiliates is included in note 16 of Notes to Financial Statements. Capitalized residential mortgage servicing assets totaled $208 million at September 30, 2022, $218 million at September 30, 2021, $217 million at December 31, 2021 and $215 million at June 30, 2022.</w:t>
      </w:r>
    </w:p>
    <w:p>
      <w:pPr>
        <w:spacing w:after="0" w:line="8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20"/>
          <w:szCs w:val="20"/>
          <w:color w:val="auto"/>
        </w:rPr>
        <w:t>Commercial mortgage banking revenues totaled $28 million in the third quarter of 2022 compared to $50 million in the third quarter of 2021 and $33 million in the second quarter of 2022. Included in such amounts were revenues from loan origination and sales activities of $12 million and $24 million in the third quarters of 2022 and 2021, respectively, compared with $14 million in the second quarter of 2022. Commercial real estate loans originated for sale to other investors were $906 million in the recent quarter, compared with $1.7 billion in the third quarter of 2021 and $692 million in the second quarter of 2022. Loan servicing revenues totaled $16 million and $26 million in the third quarters of 2022 and 2021, respectively, compared with $19 million in the second quarter of 2022. Capitalized commercial mortgage servicing assets were $129 million and $131 million at September 30, 2022 and September 30, 2021, respectively, and $133 million at December 31, 2021. Commercial real estate loans serviced for other investors totaled $25.1 billion at September 30, 2022, $23.1 billion at September 30, 2021 and $23.7 billion at December 31, 2021. Those servicing amounts included $3.7 billion at September 30, 2022, $3.9 billion at September 30, 2021 and $4.0 billion at December 31, 2021 of loan balances for which investors had recourse to the Company if such balances are ultimately uncollectable. Included in commercial real estate loans serviced for others were loans sub-serviced for others of $3.7 billion at September 30, 2022, $3.4 billion at September 30, 2021 and $3.5 billion at December 31, 2021. Commitments to sell commercial real estate loans and commitments to originate commercial real estate loans for sale were $703 million and $401 million, respectively, at September 30, 2022, $993 million and $434 million,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2" w:name="page73"/>
    <w:bookmarkEnd w:id="72"/>
    <w:p>
      <w:pPr>
        <w:jc w:val="both"/>
        <w:spacing w:after="0" w:line="255" w:lineRule="auto"/>
        <w:rPr>
          <w:sz w:val="20"/>
          <w:szCs w:val="20"/>
          <w:color w:val="auto"/>
        </w:rPr>
      </w:pPr>
      <w:r>
        <w:rPr>
          <w:rFonts w:ascii="Times New Roman" w:cs="Times New Roman" w:eastAsia="Times New Roman" w:hAnsi="Times New Roman"/>
          <w:sz w:val="21"/>
          <w:szCs w:val="21"/>
          <w:color w:val="auto"/>
        </w:rPr>
        <w:t>respectively, at September 30, 2021 and $751 million and $325 million, respectively, at December 31, 2021. Commercial real estate loans held for sale at September 30, 2022, September 30, 2021 and December 31, 2021 were $300 million, $559 million and $425 million, respectively.</w:t>
      </w:r>
    </w:p>
    <w:p>
      <w:pPr>
        <w:spacing w:after="0" w:line="54"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Service charges on deposit accounts were $115 million and $105 million in the third quarters of 2022 and 2021, respectively, compared with $124 million in the second quarter of 2022. The People's United acquisition contributed $20 million to the service charges on deposit accounts total in the most recent quarter and $33 million in the second quarter of 2022. The lower fees associated with People's United reflect waivers of certain fees in September following conversion of customer deposit accounts to the Company's deposit servicing system. The Company is waiving additional fees and reimbursing select customers in the fourth quarter. The Company does not expect those amounts to ultimately be material to its consolidated financial position or results of operations. Excluding the contribution associated with the People's United acquisition, the decrease in the recent quarter as compared with the year-earlier quarter, reflected the Company's planned elimination, announced in February 2022, of certain non-sufficient funds fees and overdraft protection transfer charges from linked deposit accounts.</w:t>
      </w:r>
    </w:p>
    <w:p>
      <w:pPr>
        <w:spacing w:after="0" w:line="81"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21"/>
          <w:szCs w:val="21"/>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$187 million in the third quarter of 2022, compared with $157 million in the year-earlier quarter and $190 million in the second quarter of 2022. Trust income contributed from the acquisition of People's United totaled approximately $11 million in the recent quarter and $14 million in the second quarter of 2022. Revenues associated with the ICS business were $114 million during the quarter ended September 30, 2022 and $109 million during the quarter ended June 30, 2022, each inclusive of $2 million of People's United-related revenue, compared with $94 million during the quarter ended September 30, 2021. The higher revenues in the recent quarter as compared with the prior year third quarter were largely attributable to reduced fee waivers of $13 million resulting from higher rates on money market fund accounts and incremental fees from sales. Relative to the second quarter of 2022, the higher level of ICS revenues resulted from lower money market fund account fee waivers and higher collective fund fees. Revenues attributable to WAS, including $8 million of People's United-related fees, totaled approximately $71 million in the three-month period ended September 30, 2022, compared with $78 million, including $10 million of People's United-related fees, during the quarter ended June 30, 2022 and $63 million during the quarter ended September 30, 2021. The decline in WAS revenues in the recent quarter as compared with the second quarter of 2022 was largely reflective of annual tax service fees of $4 million recognized in the second quarter of 2022. Trust assets under management were $153.5 billion, $152.2 billion, $165.6 billion and $151.8 billion at September 30, 2022, September 30, 2021, December 31, 2021 and June 30, 2022, respectively. Trust assets under management include the Company’s proprietary mutual funds’ assets of $12.7 billion, $13.0 billion, $13.2 billion and $11.9 billion at September 30, 2022, September 30, 2021, December 31, 2021 and June 30, 2022, respectively. Additional trust income from investment management activities comprised of fees earned from retail customer investment accounts was $2 million in the third quarter of 2022, less than $1 million in the third quarter of 2021 and $3 million in the second quarter of 2022.</w:t>
      </w:r>
    </w:p>
    <w:p>
      <w:pPr>
        <w:spacing w:after="0" w:line="9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Brokerage services income, which includes revenues from the sale of mutual funds and annuities and securities brokerage fees, and, since June 2021, sales of select investment products of LPL Financial, totaled $21 million in the third quarter of 2022, $20 million in the third quarter of 2021 and $24 million in the second quarter of 2022. The acquisition of People's United contributed approximately $2 million and $3 million to brokerage services income in the third and second quarters of 2022, respectively. Trading account and non-hedging derivative gains were $5 million, $6 million and $2 million during the quarters ended September 30, 2022, September 30, 2021 and June 30, 2022, respectively. Information about the notional amount of interest rate, foreign exchange and other contracts entered into by the Company is included in note 11 of Notes to Financial Statements and herein under the heading “Taxable-equivalent Net Interest Income.”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3" w:name="page74"/>
    <w:bookmarkEnd w:id="73"/>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Other revenues from operations were $153 million in the third quarter of 2022, compared with $120 million in the corresponding 2021 period and $148 million in the second quarter of 2022. Other revenues from operations associated with the People's United acquisition totaled $28 million and $29 million in the third and second quarters of 2022, respectively. Included in other revenues from operations were the following significant components. Letter of credit and other credit-related fees aggregated $54 million in the recent quarter, compared with $36 million in the year-earlier quarter and $38 million in the second quarter of 2022. As compared with the second quarter of 2022, the higher credit-related fees in 2022's third quarter resulted from an increase in loan syndication fees. The increase in letter of credit and other credit-related fees in the recent quarter as compared with the year-earlier quarter reflects both higher loan syndication fees and the impact resulting from the acquisition of People's United. Reflecting increased customer activity and incremental revenues associated with the People's United acquisition, revenues from merchant discount and credit card fees were $45 million in each of the recent quarter and second quarter of 2022, compared with $39 million in the year-earlier quarter. Tax-exempt income from bank owned life insurance, which includes changes in the cash surrender value of life insurance policies and benefits received, totaled $12 million in the third quarter of 2022, $11 million in the third quarter of 2021 and $14 million in the second quarter of 2022. The Company owns both general account and separate account policies. To the extent market conditions change such that the market value of assets in a separate account bank owned life insurance policy becomes less than the previously recorded cash surrender value, an adjustment is recorded as a reduction to "other revenues from operations." The increase in interest rates during 2022 has led to reductions of the market values of assets in some separate account bank owned life insurance policies below previously recorded cash surrender value. While the resultant reductions in recognized cash surrender value have not been material, a continued rise in interest rates could result in additional adjustments. Insurance-related sales commissions and other revenues totaled $13 million in the quarter ended September 30, 2022, compared with $10 million in the third quarter of 2021 and $14 million in the second quarter of 2022.</w:t>
      </w:r>
    </w:p>
    <w:p>
      <w:pPr>
        <w:spacing w:after="0" w:line="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Other income totaled $1.68 billion during the first nine months of 2022, compared with $1.59 billion during the year-earlier period. Higher trust income, service charges on deposit accounts, brokerage services income, income resulting from a distribution received from the Company's investment in BLG in 2022, a reduction in unrealized losses on investment securities, and an increase in credit-related and merchant discount and credit card fees were partially offset by lower mortgage banking revenues. The acquisition of People's United contributed approximately $140 million to other income in the second and third quarters of 2022.</w:t>
      </w:r>
    </w:p>
    <w:p>
      <w:pPr>
        <w:spacing w:after="0" w:line="8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Mortgage banking revenues totaled $275 million during the first nine months of 2022, compared with $432 million during the similar period in 2021. Residential mortgage banking revenues aggregated $181 million and $315 million during the nine-month periods ended September 30, 2022 and 2021, respectively. New commitments to originate residential real estate loans to be sold aggregated $286 million and $3.7 billion in the initial nine months of 2022 and 2021, respectively. Realized gains from sales of residential real estate loans and loan servicing rights and recognized unrealized gains and losses on residential real estate loans held for sale, commitments to originate loans for sale and commitments to sell loans aggregated to losses of $2 million in the first nine months of 2022, compared with gains of $138 million in the first nine months of 2021. The reductions in volume and revenues reflect the Company’s decision to retain the substantial majority of recently originated mortgage loans in portfolio rather than sell such loans. Revenues from servicing residential real estate loans for others were $183 million in the first nine months of 2022 and $177 million in the corresponding 2021 period. Included in servicing revenues were sub-servicing revenues aggregating $119 million and $110 million in the first nine months of 2022 and 2021, respectively. For the nine months ended September 30, commercial mortgage banking revenues were $94 million and $117 million in 2022 and 2021, respectively. Commercial real estate loans originated for sale to other investors totaled $2.2 billion and $2.7 billion during the nine-month periods ended September 30, 2022 and 2021, respectively. The decline in commercial mortgage banking revenues is predominantly reflective of the origination volumes.</w:t>
      </w:r>
    </w:p>
    <w:p>
      <w:pPr>
        <w:spacing w:after="0" w:line="9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Service charges on deposit accounts aggregated $341 million during the first nine months of 2022, compared with $297 million in the year-earlier period. The increase can be attributed to the acquisition of People's United and increased consumer activity, partially offset by reductions resulting from the Company's planned elimination of certain fees and charges beginning in the second quarter of 2022. Trust income totaled $546 million and $476 million during the first nine months of 2022 and 2021, respectively. The increase in trust income in 2022 as compared with 2021 was largely due to higher revenues from the ICS business, reflecting lower money market fund fee waivers, increased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4" w:name="page75"/>
    <w:bookmarkEnd w:id="74"/>
    <w:p>
      <w:pPr>
        <w:jc w:val="both"/>
        <w:spacing w:after="0" w:line="241" w:lineRule="auto"/>
        <w:rPr>
          <w:sz w:val="20"/>
          <w:szCs w:val="20"/>
          <w:color w:val="auto"/>
        </w:rPr>
      </w:pPr>
      <w:r>
        <w:rPr>
          <w:rFonts w:ascii="Times New Roman" w:cs="Times New Roman" w:eastAsia="Times New Roman" w:hAnsi="Times New Roman"/>
          <w:sz w:val="21"/>
          <w:szCs w:val="21"/>
          <w:color w:val="auto"/>
        </w:rPr>
        <w:t>activities and higher retirement services income from growth in collective fund balances, as well as WAS revenues associated with the People's United acquisition. Brokerage services income totaled $65 million in the first nine months of 2022, compared with $44 million in the nine-month period ended September 30, 2021. That increase reflects a change in June 2021 in product delivery to retail brokerage and certain trust customers related to the LPL Financial relationship. Revenues associated with the sale of investment products of LPL Financial, an independent financial services broker, are included in “brokerage services income.” Prior to the transition to LPL Financial’s product platform, revenues earned from providing those customers with proprietary trust products managed by the Company were reported as trust income.</w:t>
      </w:r>
    </w:p>
    <w:p>
      <w:pPr>
        <w:spacing w:after="0" w:line="85" w:lineRule="exact"/>
        <w:rPr>
          <w:sz w:val="20"/>
          <w:szCs w:val="20"/>
          <w:color w:val="auto"/>
        </w:rPr>
      </w:pPr>
    </w:p>
    <w:p>
      <w:pPr>
        <w:jc w:val="both"/>
        <w:ind w:right="20" w:firstLine="509"/>
        <w:spacing w:after="0" w:line="249" w:lineRule="auto"/>
        <w:rPr>
          <w:sz w:val="20"/>
          <w:szCs w:val="20"/>
          <w:color w:val="auto"/>
        </w:rPr>
      </w:pPr>
      <w:r>
        <w:rPr>
          <w:rFonts w:ascii="Times New Roman" w:cs="Times New Roman" w:eastAsia="Times New Roman" w:hAnsi="Times New Roman"/>
          <w:sz w:val="21"/>
          <w:szCs w:val="21"/>
          <w:color w:val="auto"/>
        </w:rPr>
        <w:t>Net unrealized losses on investment securities, including investments of Fannie Mae and Freddie Mac preferred stock, totaling $2 million were recognized during the first nine months of 2022, compared with net unrealized losses of $23 million in the corresponding 2021 period.</w:t>
      </w:r>
    </w:p>
    <w:p>
      <w:pPr>
        <w:spacing w:after="0" w:line="7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Other revenues from operations totaled $437 million (including approximately $55 million associated with the acquisition of People's United) in the first nine months of 2022, compared with $344 million in the year-earlier period. Other revenues from operations include the following significant components. Letter of credit and other credit-related fees aggregated $119 million (including $21 million associated with the acquisition of People's United) and $96 million in 2022 and 2021, respectively. Merchant discount and credit card fees were $124 million (including $5 million associated with the acquisition of People's United) and $101 million in the first nine months of 2022 and 2021, respectively. Income from bank owned life insurance totaled $36 million in the first nine months of 2022, compared with $34 million in the corresponding 2021 period. Insurance-related commissions and other revenues aggregated $42 million and $35 million in the first nine months of 2022 and 2021, respectively. M&amp;T’s investment in BLG resulted in income of $30 million in the first nine months of 2022; there was no similar income in the first nine months of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Expense</w:t>
      </w:r>
    </w:p>
    <w:p>
      <w:pPr>
        <w:spacing w:after="0" w:line="1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Other expense totaled $1.28 billion in the third quarter of 2022, compared with $899 million in the year-earlier quarter and $1.40 billion in the second quarter of 2022. Included in those amounts are expenses considered to be “nonoperating” in nature consisting of amortization of core deposit and other intangible assets of $18 million in each of the second and third quarter of 2022 and $3 million in the third quarter of 2021, and merger-related expenses of $53 million, $9 million and $223 million in the recent quarter, third quarter of 2021 and second quarter of 2022, respectively. Exclusive of those nonoperating expenses, noninterest operating expenses were $1.21 billion in the recent quarter, compared with $888 million in the year-earlier quarter and $1.16 billion in the second quarter of 2022. Operations acquired from People's United were the largest contributor to the rise in noninterest operating expenses in the third and second quarters of 2022 as compared with the third quarter of 2021. Factors contributing to the higher level of operating expenses in 2022’s third quarter as compared with the year-earlier quarter, in addition to People's United-related noninterest operating expenses, were higher costs for salaries and employee benefits and outside data processing and software, offset by lower defined benefit pension-related expenses included in other costs of operations. As compared with the second quarter of 2022, the increase in the recent quarter was predominantly attributed to higher salaries and benefits expenses resulting from an additional pay day and M&amp;T's continued investment in its talent base through salaries and incentive compensation. Table 2 provides a reconciliation of other expense to noninterest operating expense.</w:t>
      </w:r>
    </w:p>
    <w:p>
      <w:pPr>
        <w:spacing w:after="0" w:line="90"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Other expense for the first nine months of 2022 totaled $3.64 billion, compared with $2.68 billion in the year-earlier period. Included in those amounts are expenses considered to be “nonoperating” in nature consisting of amortization of core deposit and other intangible assets of $38 million and $8 million in the nine-month periods ended September 30, 2022 and 2021, respectively, and merger-related expenses of $293 million and $23 million during the same respective periods. Exclusive of those nonoperating expenses, noninterest operating expenses for the first nine months of 2022 were $3.31 billion, compared with $2.65 billion in the first nine months of 2021. Approximately three-fourths of that increase can be attributed to operating expenses associated with the People's United acquisition. In addition, the year-over-year increase reflects higher costs for salaries and employee benefits, outside data processing and software, equipment and net occupancy and professional services expenses partially offset by lower defined benefit pension-related expenses included in other costs of operations.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5" w:name="page76"/>
    <w:bookmarkEnd w:id="75"/>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Salaries and employee benefits expense totaled $736 million in the third quarter of 2022, compared with $510 million in the year-earlier quarter and $776 million in the second quarter of 2022. Excluding the nonoperating expense items described earlier, salaries and employee benefits expense totaled $723 million and $691 million in the third and second quarters of 2022, respectively. The higher operating expense in the recent quarter as compared with the third quarter of 2021 reflects higher employee staffing levels, including employees retained from the acquisition of People's United, and higher salaries from merit increases and incentive compensation. Comparing the recent quarter with the second quarter of 2022, the increase reflected an additional pay day in the recent quarter and M&amp;T's continued investment in its talent base through salaries and incentive compensation. During the first nine months of 2022 and 2021, salaries and employee benefits expense aggregated $2.09 billion and $1.53 billion, respectively. Excluding nonoperating expenses described herein, salaries and employee benefits expense in the first nine months of 2022 totaled $1.99 billion. The higher operating expense level in 2022 largely reflects increased staffing levels, including the addition of People's United employees at the beginning of the second quarter, higher salaries resulting from merit increases and a rise in incentive compensation. The Company, in accordance with GAAP, has accelerated the recognition of compensation costs for stock-based awards granted to retirement-eligible employees and employees who will become retirement-eligible prior to full vesting of the award. Salaries and employee benefits expense included stock-based compensation of $21 million, $12 million and $23 million, in the three-month periods ended September 30, 2022, September 30, 2021 and June 30, 2022, respectively, and $94 million and $74 million during the nine-month periods ended September 30, 2022 and September 30, 2021, respectively. The number of full-time equivalent employees was 22,879 at September 30, 2022, compared with 17,103 and 22,680 at September 30, 2021 and June 30, 2022, respectively. The increase in staffing levels since September 30, 2021 was predominantly the result of the acquisition of People's United.</w:t>
      </w:r>
    </w:p>
    <w:p>
      <w:pPr>
        <w:spacing w:after="0" w:line="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Excluding the nonoperating expense items described earlier from each quarter, non-personnel operating expenses were $485 million, $377 million and $471 million in the quarters ended September 30, 2022, September 30, 2021 and June 30, 2022, respectively. On that same basis, such expenses were $1.32 billion and $1.12 billion in the nine-month periods ended September 30, 2022 and 2021, respectively. The increase in non-personnel operating expenses in 2022’s third quarter as compared with 2022’s second quarter reflects higher FDIC assessments and professional services expenses. The higher non-personnel operating expenses in the 2022 periods as compared with the corresponding 2021 periods is predominantly attributable to the impact of the People's United acquisition. In addition to those expenses, higher costs for outside data processing and software, professional services and equipment and net occupancy were offset by reduced defined benefit pension-related expenses. Components of pension expense included in other costs of operations reflect the amortization of net unrecognized losses included in accumulated other comprehensive income. Such net unrecognized losses had been amortized over the average remaining service periods of active participants in the plan. If all or substantially all of the plan’s participants are inactive, GAAP provides for the average remaining life expectancy of the participants to be used instead of average remaining service period. Substantially all of the participants in the Company’s qualified defined benefit pension plan were inactive and beginning in 2022 the average remaining life expectancy was utilized prospectively to amortize the net unrecognized gains and losses of the Plan existent at each measurement date. The change increased the amortization period by approximately sixteen years and reduced the amount of quarterly amortization of unrecognized losses recorded in 2022 from what would have been recorded without such change in the amortization period by $9 million.</w:t>
      </w:r>
    </w:p>
    <w:p>
      <w:pPr>
        <w:spacing w:after="0" w:line="8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21"/>
          <w:szCs w:val="21"/>
          <w:color w:val="auto"/>
        </w:rPr>
        <w:t>The efficiency ratio measures the relationship of noninterest operating expenses to revenues. The Company’s efficiency ratio was 53.6% during the recent quarter, compared with 57.7% and 58.3% in the third quarter of 2021 and second quarter of 2022, respectively. The efficiency ratios for the nine-month periods ended September 30, 2022 and 2021 were 58.1% and 58.8%, respectively. The calculation of the efficiency ratio is presented in Table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Income Taxes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Income tax expense was $201 million in the third quarter of 2022, compared with $162 million in the year-earlier quarter and $60 million in the second quarter of 2022. For the nine-month periods ended September 30, 2022 and 2021, income tax expense was $374 million and $454 million, respectively. The effective tax rates were 23.7%, 24.6% and 21.7% for the quarters ended September 30, 2022, September 30, 2021 and June 30, 2022, respectively, and 23.4% and 24.5% for the nine-month periods ended September 30, 2022 and 2021, respectively.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6" w:name="page77"/>
    <w:bookmarkEnd w:id="76"/>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Capital</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Shareholders’ equity was $25.3 billion at September 30, 2022, representing 12.76% of total assets, compared with $17.5 billion or 11.54% a year earlier and $17.9 billion or 11.54% at December 31, 2021. The increase in shareholders' equity reflects the issuance of 50,325,004 M&amp;T common shares and other common equity consideration totaling $8.4 billion for the acquisition of People's United and the conversion of People's United preferred stock into 10,000,000 shares of Series H Perpetual Fixed-to-Floating Rate Non-cumulative Preferred Stock of M&amp;T ("Series H Preferred Stock") amounting to $261 million.</w:t>
      </w:r>
    </w:p>
    <w:p>
      <w:pPr>
        <w:spacing w:after="0" w:line="8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Included in shareholders’ equity was preferred stock with financial statement carrying values of $2.01 billion at September 30, 2022, compared with $1.75 billion at each of September 30, 2021 and December 31, 2021. On April 1, 2022, the Company closed the acquisition of People's United resulting in the issuance of 10,000,000 shares of Series H Preferred Stock, par value $1.00 per share and liquidation preference of $25.00 per share, valued at $261 million. Through December 14, 2026, holders of the Series H Preferred Stock are entitled to receive, only when, as and if declared by M&amp;T's Board of Directors, non-cumulative cash dividends at an annual rate of 5.625%, payable quarterly in arrears. Subsequent to December 14, 2026, holders will be entitled to receive, only when, as and if declared by M&amp;T's Board of Directors, non-cumulative cash dividends at an annual rate of the three-month LIBOR plus 402 basis points. The Series H preferred stock may be redeemed at M&amp;T's option, in whole or in part, from time to time, on or after April 1, 2027 or, in whole but not in part, at any time within 90 days following a regulatory capital treatment event whereby the full liquidation value of the shares no longer qualifies as "additional Tier 1 capital". The Series H Preferred Stock is listed on the NYSE under the symbol MTPrH.</w:t>
      </w:r>
    </w:p>
    <w:p>
      <w:pPr>
        <w:spacing w:after="0" w:line="82"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Common shareholders’ equity was $23.2 billion, or $134.45 per share, at September 30, 2022, compared with $15.8 billion, or $122.60 per share, a year earlier and $16.2 billion, or $125.51 per share, at December 31, 2021. Tangible equity per common share, which excludes goodwill and core deposit and other intangible assets and applicable deferred tax balances, was $84.28 at the end of the recent quarter, compared with $86.88 at September 30, 2021 and $89.80 at December 31, 2021. The Company’s ratio of tangible common equity to tangible assets was 7.70% at September 30, 2022, compared with 7.59% a year earlier and 7.68% at December 31, 2021. Reconciliations of total common shareholders’ equity and tangible common equity and total assets and tangible assets as of each of those dates are presented in table 2.</w:t>
      </w:r>
    </w:p>
    <w:p>
      <w:pPr>
        <w:spacing w:after="0" w:line="85"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1"/>
          <w:szCs w:val="21"/>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$348 million or $2.01 per common share, at September 30, 2022 compared with net unrealized gains of $105 million, or $.81 per common share, at September 30, 2021 and $78 million, or $.60 per common share, at December 31, 2021. Changes in unrealized gains and losses on investment securities are predominantly reflective of the impact of changes in interest rates on the values of such securities. Information about unrealized gains and losses as of September 30, 2022 and December 31, 2021 is included in note 3 of Notes to Financial Statements.</w:t>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1"/>
          <w:szCs w:val="21"/>
          <w:color w:val="auto"/>
        </w:rPr>
        <w:t>Reflected in the carrying amount of available-for-sale investment securities at September 30, 2022 were pre-tax effect unrealized gains of $1 million on securities with an amortized cost of $261 million and pre-tax effect unrealized losses of $471 million on securities with an amortized cost of $11.1 billion. Information concerning the Company’s fair valuations of investment securities is provided in notes 3 and 13 of 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7" w:name="page78"/>
    <w:bookmarkEnd w:id="77"/>
    <w:p>
      <w:pPr>
        <w:jc w:val="both"/>
        <w:ind w:firstLine="509"/>
        <w:spacing w:after="0" w:line="245" w:lineRule="auto"/>
        <w:rPr>
          <w:sz w:val="20"/>
          <w:szCs w:val="20"/>
          <w:color w:val="auto"/>
        </w:rPr>
      </w:pPr>
      <w:r>
        <w:rPr>
          <w:rFonts w:ascii="Times New Roman" w:cs="Times New Roman" w:eastAsia="Times New Roman" w:hAnsi="Times New Roman"/>
          <w:sz w:val="21"/>
          <w:szCs w:val="21"/>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w:t>
      </w:r>
    </w:p>
    <w:p>
      <w:pPr>
        <w:spacing w:after="0" w:line="6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20"/>
          <w:szCs w:val="20"/>
          <w:color w:val="auto"/>
        </w:rPr>
        <w:t>As of September 30, 2022, based on a review of each of the securities in the available-for-sale investment securities portfolio, the Company concluded that it expected to realize the amortized cost basis of each security. As of September 30, 2022,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p>
    <w:p>
      <w:pPr>
        <w:spacing w:after="0" w:line="6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Accounting guidance requires investment securities held to maturity to be presented at their net carrying value that is expected to be collected over their contractual term. The Company estimated no material credit losses for its investment securities classified as held-to-maturity at September 30, 2022 and December 31, 2021. The amortized cost basis of obligations of states and political subdivisions in the held-to-maturity portfolio totaled $2.7 billion at September 30, 2022 and less than $1 million at December 31, 2021. The increase reflected municipal securities obtained in the acquisition of People's United. At September 30, 2022 and December 31, 2021, the Company had in its held-to-maturity portfolio privately issued mortgage-backed securities with an amortized cost basis of $52 million and $62 million, respectively, and a fair value of $53 million and $57 million, respectively. At September 30, 2022, 83% of those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concluded that as of September 30, 2022,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86" w:lineRule="exact"/>
        <w:rPr>
          <w:sz w:val="20"/>
          <w:szCs w:val="20"/>
          <w:color w:val="auto"/>
        </w:rPr>
      </w:pPr>
    </w:p>
    <w:p>
      <w:pPr>
        <w:jc w:val="both"/>
        <w:ind w:firstLine="509"/>
        <w:spacing w:after="0" w:line="249" w:lineRule="auto"/>
        <w:rPr>
          <w:sz w:val="20"/>
          <w:szCs w:val="20"/>
          <w:color w:val="auto"/>
        </w:rPr>
      </w:pPr>
      <w:r>
        <w:rPr>
          <w:rFonts w:ascii="Times New Roman" w:cs="Times New Roman" w:eastAsia="Times New Roman" w:hAnsi="Times New Roman"/>
          <w:sz w:val="21"/>
          <w:szCs w:val="21"/>
          <w:color w:val="auto"/>
        </w:rPr>
        <w:t>Adjustments to reflect the funded status of defined benefit pension and other postretirement plans, net of applicable tax effect, reduced accumulated other comprehensive income by $258 million, or $1.49 per common share, at September 30, 2022, $436 million or $3.38 per common share, at September 30, 2021 and $267 million or $2.08 per common share, at December 31, 2021.</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20"/>
          <w:szCs w:val="20"/>
          <w:color w:val="auto"/>
        </w:rPr>
        <w:t>In January 2021 M&amp;T’s Board of Directors authorized a plan to repurchase up to $800 million of shares of M&amp;T’s common stock subject to all applicable regulatory limitations. In February 2022, the Board reaffirmed that plan. M&amp;T repurchased 3,505,946 shares of its common stock for $600 million in the second quarter of 2022. There were no repurchases pursuant to that repurchase plan during 2021. On July 19, 2022, M&amp;T's Board of Directors authorized a new stock purchase program to repurchase up to $3.0 billion of common shares subject to all applicable regulatory reporting limitations. The new plan authorized in July 2022 replaced the previous plan. M&amp;T repurchased 3,282,449 shares of its common stock for $600 million under the new program in the third quarter of 2022.</w:t>
      </w:r>
    </w:p>
    <w:p>
      <w:pPr>
        <w:spacing w:after="0" w:line="54" w:lineRule="exact"/>
        <w:rPr>
          <w:sz w:val="20"/>
          <w:szCs w:val="20"/>
          <w:color w:val="auto"/>
        </w:rPr>
      </w:pPr>
    </w:p>
    <w:p>
      <w:pPr>
        <w:jc w:val="both"/>
        <w:ind w:firstLine="469"/>
        <w:spacing w:after="0" w:line="241" w:lineRule="auto"/>
        <w:rPr>
          <w:sz w:val="20"/>
          <w:szCs w:val="20"/>
          <w:color w:val="auto"/>
        </w:rPr>
      </w:pPr>
      <w:r>
        <w:rPr>
          <w:rFonts w:ascii="Times New Roman" w:cs="Times New Roman" w:eastAsia="Times New Roman" w:hAnsi="Times New Roman"/>
          <w:sz w:val="21"/>
          <w:szCs w:val="21"/>
          <w:color w:val="auto"/>
        </w:rPr>
        <w:t>Cash dividends declared on M&amp;T's common stock totaled $210 million in the recent quarter, compared with $143 million and $215 million in the quarters ended September 30, 2021 and June 30, 2022, respectively. During the fourth quarter of 2021, M&amp;T's Board of Directors authorized an increase in the quarterly common stock dividend to $1.20 per common share from the previous rate of $1.10 per common share. Common stock cash dividends declared during the nine-month periods ended September 30, 2022 and 2021 were $581 million and $428 million, respectively. Cash dividends declared on preferred stock aggregated $25 million in both the recent quarter and second quarter of 2022 compared with $17 million in the third quarter of 2021. Preferred stock dividends totaled $72 million and $51 million during the first nine months of 2022 and 2021, respectively.</w:t>
      </w:r>
    </w:p>
    <w:p>
      <w:pPr>
        <w:spacing w:after="0" w:line="85"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65"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4.5% Common Equity Tier 1 (“CET1”) to risk-weighted assets (each as defined in the capital regulations);</w:t>
      </w:r>
    </w:p>
    <w:p>
      <w:pPr>
        <w:spacing w:after="0" w:line="218"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8" w:name="page79"/>
    <w:bookmarkEnd w:id="78"/>
    <w:p>
      <w:pPr>
        <w:ind w:left="760" w:hanging="378"/>
        <w:spacing w:after="0" w:line="283" w:lineRule="auto"/>
        <w:tabs>
          <w:tab w:leader="none" w:pos="7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6.0% Tier 1 capital (that is, CET1 plus Additional Tier 1 capital) to risk-weighted assets (each as defined in the capital regulations);</w:t>
      </w:r>
    </w:p>
    <w:p>
      <w:pPr>
        <w:spacing w:after="0" w:line="38" w:lineRule="exact"/>
        <w:rPr>
          <w:rFonts w:ascii="Times New Roman" w:cs="Times New Roman" w:eastAsia="Times New Roman" w:hAnsi="Times New Roman"/>
          <w:sz w:val="21"/>
          <w:szCs w:val="21"/>
          <w:color w:val="auto"/>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8.0% Total capital (that is, Tier 1 capital plus Tier 2 capital) to risk-weighted assets (each as defined in the capital regulations); and</w:t>
      </w:r>
    </w:p>
    <w:p>
      <w:pPr>
        <w:spacing w:after="0" w:line="64" w:lineRule="exact"/>
        <w:rPr>
          <w:rFonts w:ascii="Times New Roman" w:cs="Times New Roman" w:eastAsia="Times New Roman" w:hAnsi="Times New Roman"/>
          <w:sz w:val="21"/>
          <w:szCs w:val="21"/>
          <w:color w:val="auto"/>
        </w:rPr>
      </w:pPr>
    </w:p>
    <w:p>
      <w:pPr>
        <w:ind w:left="760" w:hanging="378"/>
        <w:spacing w:after="0" w:line="270" w:lineRule="auto"/>
        <w:tabs>
          <w:tab w:leader="none" w:pos="76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 Tier 1 capital to average consolidated assets as reported on consolidated financial statements (known as the “leverage ratio”), as defined in the capital regulations.</w:t>
      </w:r>
    </w:p>
    <w:p>
      <w:pPr>
        <w:spacing w:after="0" w:line="6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capital conservation buffer requirement. The buffer requirement must be composed entirely of CET1 and for each entity was 2.5% of risk-weighted assets at September 30, 2022. In June 2022, the Federal Reserve released the results of its most recent supervisory stress tests. Based on those results, on October 1, 2022, M&amp;T's stress capital buffer of 4.7% became effective.</w:t>
      </w:r>
    </w:p>
    <w:p>
      <w:pPr>
        <w:spacing w:after="0" w:line="8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The federal bank regulatory agencies have issued rules that allow banks and bank holding companies to phase-in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through the end of 2021, followed by a three-year transition period. M&amp;T and its subsidiary banks adopted these rules and the impact is reflected in the regulatory capital ratios presented herein.</w:t>
      </w:r>
    </w:p>
    <w:p>
      <w:pPr>
        <w:spacing w:after="0" w:line="84" w:lineRule="exact"/>
        <w:rPr>
          <w:sz w:val="20"/>
          <w:szCs w:val="20"/>
          <w:color w:val="auto"/>
        </w:rPr>
      </w:pPr>
    </w:p>
    <w:p>
      <w:pPr>
        <w:jc w:val="both"/>
        <w:ind w:right="20" w:firstLine="509"/>
        <w:spacing w:after="0" w:line="256" w:lineRule="auto"/>
        <w:rPr>
          <w:sz w:val="20"/>
          <w:szCs w:val="20"/>
          <w:color w:val="auto"/>
        </w:rPr>
      </w:pPr>
      <w:r>
        <w:rPr>
          <w:rFonts w:ascii="Times New Roman" w:cs="Times New Roman" w:eastAsia="Times New Roman" w:hAnsi="Times New Roman"/>
          <w:sz w:val="21"/>
          <w:szCs w:val="21"/>
          <w:color w:val="auto"/>
        </w:rPr>
        <w:t>The regulatory capital ratios of the Company and its bank subsidiaries, M&amp;T Bank and Wilmington Trust, N.A., as of September 30, 2022 are presented in the accompanying table.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REGULATORY CAPITAL RATIOS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September 30, 2022</w:t>
      </w: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840" w:type="dxa"/>
            <w:vAlign w:val="bottom"/>
            <w:gridSpan w:val="2"/>
          </w:tcPr>
          <w:p>
            <w:pPr>
              <w:jc w:val="center"/>
              <w:ind w:right="240"/>
              <w:spacing w:after="0" w:line="192" w:lineRule="exact"/>
              <w:rPr>
                <w:sz w:val="20"/>
                <w:szCs w:val="20"/>
                <w:color w:val="auto"/>
              </w:rPr>
            </w:pPr>
            <w:r>
              <w:rPr>
                <w:rFonts w:ascii="Times New Roman" w:cs="Times New Roman" w:eastAsia="Times New Roman" w:hAnsi="Times New Roman"/>
                <w:sz w:val="18"/>
                <w:szCs w:val="18"/>
                <w:b w:val="1"/>
                <w:bCs w:val="1"/>
                <w:color w:val="auto"/>
                <w:w w:val="99"/>
              </w:rPr>
              <w:t>M&amp;T</w:t>
            </w:r>
          </w:p>
        </w:tc>
        <w:tc>
          <w:tcPr>
            <w:tcW w:w="1700" w:type="dxa"/>
            <w:vAlign w:val="bottom"/>
            <w:gridSpan w:val="2"/>
          </w:tcPr>
          <w:p>
            <w:pPr>
              <w:ind w:left="520"/>
              <w:spacing w:after="0" w:line="192" w:lineRule="exact"/>
              <w:rPr>
                <w:sz w:val="20"/>
                <w:szCs w:val="20"/>
                <w:color w:val="auto"/>
              </w:rPr>
            </w:pPr>
            <w:r>
              <w:rPr>
                <w:rFonts w:ascii="Times New Roman" w:cs="Times New Roman" w:eastAsia="Times New Roman" w:hAnsi="Times New Roman"/>
                <w:sz w:val="18"/>
                <w:szCs w:val="18"/>
                <w:b w:val="1"/>
                <w:bCs w:val="1"/>
                <w:color w:val="auto"/>
              </w:rPr>
              <w:t>M&amp;T</w:t>
            </w:r>
          </w:p>
        </w:tc>
        <w:tc>
          <w:tcPr>
            <w:tcW w:w="1780" w:type="dxa"/>
            <w:vAlign w:val="bottom"/>
            <w:gridSpan w:val="2"/>
          </w:tcPr>
          <w:p>
            <w:pPr>
              <w:ind w:left="300"/>
              <w:spacing w:after="0" w:line="192" w:lineRule="exact"/>
              <w:rPr>
                <w:sz w:val="20"/>
                <w:szCs w:val="20"/>
                <w:color w:val="auto"/>
              </w:rPr>
            </w:pPr>
            <w:r>
              <w:rPr>
                <w:rFonts w:ascii="Times New Roman" w:cs="Times New Roman" w:eastAsia="Times New Roman" w:hAnsi="Times New Roman"/>
                <w:sz w:val="18"/>
                <w:szCs w:val="18"/>
                <w:b w:val="1"/>
                <w:bCs w:val="1"/>
                <w:color w:val="auto"/>
              </w:rPr>
              <w:t>Wilmington</w:t>
            </w:r>
          </w:p>
        </w:tc>
      </w:tr>
      <w:tr>
        <w:trPr>
          <w:trHeight w:val="238"/>
        </w:trPr>
        <w:tc>
          <w:tcPr>
            <w:tcW w:w="59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240" w:type="dxa"/>
            <w:vAlign w:val="bottom"/>
          </w:tcPr>
          <w:p>
            <w:pPr>
              <w:spacing w:after="0"/>
              <w:rPr>
                <w:sz w:val="20"/>
                <w:szCs w:val="20"/>
                <w:color w:val="auto"/>
              </w:rPr>
            </w:pPr>
          </w:p>
        </w:tc>
        <w:tc>
          <w:tcPr>
            <w:tcW w:w="14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Bank</w:t>
            </w:r>
          </w:p>
        </w:tc>
        <w:tc>
          <w:tcPr>
            <w:tcW w:w="220" w:type="dxa"/>
            <w:vAlign w:val="bottom"/>
          </w:tcPr>
          <w:p>
            <w:pPr>
              <w:spacing w:after="0"/>
              <w:rPr>
                <w:sz w:val="20"/>
                <w:szCs w:val="20"/>
                <w:color w:val="auto"/>
              </w:rPr>
            </w:pPr>
          </w:p>
        </w:tc>
        <w:tc>
          <w:tcPr>
            <w:tcW w:w="1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Trust, N.A.</w:t>
            </w:r>
          </w:p>
        </w:tc>
        <w:tc>
          <w:tcPr>
            <w:tcW w:w="240" w:type="dxa"/>
            <w:vAlign w:val="bottom"/>
          </w:tcPr>
          <w:p>
            <w:pPr>
              <w:spacing w:after="0"/>
              <w:rPr>
                <w:sz w:val="20"/>
                <w:szCs w:val="20"/>
                <w:color w:val="auto"/>
              </w:rPr>
            </w:pPr>
          </w:p>
        </w:tc>
      </w:tr>
      <w:tr>
        <w:trPr>
          <w:trHeight w:val="210"/>
        </w:trPr>
        <w:tc>
          <w:tcPr>
            <w:tcW w:w="59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1780" w:type="dxa"/>
            <w:vAlign w:val="bottom"/>
            <w:gridSpan w:val="2"/>
          </w:tcPr>
          <w:p>
            <w:pPr>
              <w:spacing w:after="0"/>
              <w:rPr>
                <w:sz w:val="18"/>
                <w:szCs w:val="18"/>
                <w:color w:val="auto"/>
              </w:rPr>
            </w:pPr>
          </w:p>
        </w:tc>
      </w:tr>
      <w:tr>
        <w:trPr>
          <w:trHeight w:val="21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10.75 %</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11.37 %</w:t>
            </w:r>
          </w:p>
        </w:tc>
        <w:tc>
          <w:tcPr>
            <w:tcW w:w="1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257.25 %</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12.13 %</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11.37 %</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257.25 %</w:t>
            </w:r>
          </w:p>
        </w:tc>
      </w:tr>
      <w:tr>
        <w:trPr>
          <w:trHeight w:val="21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13.96 %</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12.87 %</w:t>
            </w:r>
          </w:p>
        </w:tc>
        <w:tc>
          <w:tcPr>
            <w:tcW w:w="1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257.76 %</w:t>
            </w:r>
          </w:p>
        </w:tc>
      </w:tr>
      <w:tr>
        <w:trPr>
          <w:trHeight w:val="234"/>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9.13 %</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8.56 %</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83.96 %</w:t>
            </w:r>
          </w:p>
        </w:tc>
      </w:tr>
    </w:tbl>
    <w:p>
      <w:pPr>
        <w:spacing w:after="0" w:line="165" w:lineRule="exact"/>
        <w:rPr>
          <w:sz w:val="20"/>
          <w:szCs w:val="20"/>
          <w:color w:val="auto"/>
        </w:rPr>
      </w:pPr>
    </w:p>
    <w:p>
      <w:pPr>
        <w:jc w:val="both"/>
        <w:ind w:firstLine="464"/>
        <w:spacing w:after="0"/>
        <w:rPr>
          <w:sz w:val="20"/>
          <w:szCs w:val="20"/>
          <w:color w:val="auto"/>
        </w:rPr>
      </w:pPr>
      <w:r>
        <w:rPr>
          <w:rFonts w:ascii="Times New Roman" w:cs="Times New Roman" w:eastAsia="Times New Roman" w:hAnsi="Times New Roman"/>
          <w:sz w:val="21"/>
          <w:szCs w:val="21"/>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Segment Information</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Company's reportable segments have been determined based upon its internal profitability reporting system, which is organized by strategic business unit. Financial information about the Company's segments is presented in note 15 of Notes to Financial Statements. The reportable segments are Business Banking, Commercial Banking, Commercial Real Estate, Discretionary Portfolio, Residential Mortgage Banking and Retail Banking.</w:t>
      </w:r>
    </w:p>
    <w:p>
      <w:pPr>
        <w:spacing w:after="0" w:line="7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21"/>
          <w:szCs w:val="21"/>
          <w:color w:val="auto"/>
        </w:rPr>
        <w:t>The Business Banking segment contributed net income of $94 million in the third quarter of 2022, up from $72 million in the third quarter of 2021 and $71 million in the second quarter of 2022. As compared with 2021’s third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9" w:name="page80"/>
    <w:bookmarkEnd w:id="79"/>
    <w:p>
      <w:pPr>
        <w:jc w:val="both"/>
        <w:spacing w:after="0" w:line="238" w:lineRule="auto"/>
        <w:rPr>
          <w:sz w:val="20"/>
          <w:szCs w:val="20"/>
          <w:color w:val="auto"/>
        </w:rPr>
      </w:pPr>
      <w:r>
        <w:rPr>
          <w:rFonts w:ascii="Times New Roman" w:cs="Times New Roman" w:eastAsia="Times New Roman" w:hAnsi="Times New Roman"/>
          <w:sz w:val="21"/>
          <w:szCs w:val="21"/>
          <w:color w:val="auto"/>
        </w:rPr>
        <w:t>quarter, the recent quarter’s higher net income primarily reflected a rise in net interest income of $54 million and higher service charges on deposit accounts of $5 million partially offset by a $20 million increase in centrally-allocated costs associated with data processing, risk management and other support services provided to the Business Banking segment and higher personnel-related costs of $6 million (each reflecting the impact of the People’s United acquisition). The increase in net interest income resulted largely from a widening of the net interest margin on deposits of 126 basis points and higher average deposit balances of $7.1 billion, which was offset, in part, by a narrowing of the net interest margin on loans. The growth in net income in the recent quarter as compared with the second quarter of 2022 reflected a $40 million increase in net interest income, resulting largely from an 80 basis point widening of the net interest margin on deposits. Partially offsetting that increase in net interest income was a $7 million rise in centrally-allocated costs associated with data processing, risk management and other support services provided to the Business Banking segment. Net income for the Business Banking segment totaled $206 million during the first nine months of 2022, compared with $160 million in the corresponding 2021 period. The 29% year-over-year increase reflected a six-month impact of the People’s United acquisition and was predominantly attributable to higher net interest income of $82 million, an increase in service charges on deposit accounts of $14 million and higher merchant discount and credit card fees of $8 million, partially offset by a rise in centrally-allocated costs associated with data processing, risk management and other support services provided to the Business Banking segment of $32 million and higher personnel-related costs of $6 million. The higher net interest income reflected a widening of the net interest margin on deposits of 59 basis points and higher average balances of deposits of $5.5 billion, partially offset by a narrowing of the net interest margin on loans of 67 basis points.</w:t>
      </w:r>
    </w:p>
    <w:p>
      <w:pPr>
        <w:spacing w:after="0" w:line="8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Net income earned by the Commercial Banking segment totaled $214 million during the recent quarter, up from $144 million in the year-earlier quarter and $163 million in the second quarter of 2022. As compared with the third quarter of 2021, the recent quarter included a $178 million increase in net interest income reflecting a 140 basis point widening of the net interest margin on deposits and an increase in average outstanding loan and deposit balances of $18.8 billion and $3.2 billion, respectively, and higher credit-related fees each reflecting the impact of the People’s United acquisition. Partially offsetting that higher net interest income was a $58 million increase in centrally-allocated costs associated with data processing, risk management and other support services provided to the Commercial Banking segment, higher personnel-related costs of $28 million and a $27 million increase in the provision for credit losses. The 31% rise in net income in the recent quarter as compared with the second quarter of 2022 was primarily due to a $57 million increase in net interest income, driven by a 94 basis point widening of the net interest margin on deposits and higher credit-related fees of $13 million. Through the first nine months of the year, net income for the Commercial Banking segment totaled $522 million in 2022, compared with $378 million in the corresponding 2021 period. That rise in net income was predominantly due to an increase in net interest income of $305 million, reflecting a widening of the net interest margin on deposits of 98 basis points and higher average outstanding balances in loans of $11.1 billion (including the six-month impact of the People’s United acquisition), an increase of $35 million in letter of credit and other credit-related fees, and higher deposit service charges. Those favorable factors were offset, in part, by increases in centrally-allocated costs associated with data processing, risk management and other support services provided to the Commercial Banking segment, personnel-related expenses and other costs of operations (all largely reflecting the six-month impact of the People’s United acquisition).</w:t>
      </w:r>
    </w:p>
    <w:p>
      <w:pPr>
        <w:spacing w:after="0" w:line="87"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1"/>
          <w:szCs w:val="21"/>
          <w:color w:val="auto"/>
        </w:rPr>
        <w:t>The Commercial Real Estate segment recorded net income of $95 million in the third quarter of 2022, compared with $85 million in the similar 2021 period and $122 million in the second quarter of 2022. The higher net income as compared with the year-earlier quarter reflected an $18 million increase in net interest income, a $19 million decrease in the provision for credit losses and a $6 million decline in other costs of operations. The higher net interest income predominantly resulted from a 129 basis point widening of the net interest margin on deposits and higher loan balances of $5.1 billion, partially offset by a reduction in the net interest margin on loans of 56 basis points. A decrease in commercial mortgage banking revenues and a rise in centrally-allocated costs associated with data processing, risk management and other support services provided to the Commercial Real Estate segment largely offset those favorable factors. The decline in commercial mortgage banking revenues reflects reduced origination volume and lower servicing revenues. The $27 million decrease in the recent quarter’s net income as compared with the immediately preceding quarter was largely the result of a $9 million increase in each of centrally-allocated costs associated with data processing, risk management and other support services provided to the Commercial Real Estate segment and the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0" w:name="page81"/>
    <w:bookmarkEnd w:id="80"/>
    <w:p>
      <w:pPr>
        <w:jc w:val="both"/>
        <w:spacing w:after="0"/>
        <w:rPr>
          <w:sz w:val="20"/>
          <w:szCs w:val="20"/>
          <w:color w:val="auto"/>
        </w:rPr>
      </w:pPr>
      <w:r>
        <w:rPr>
          <w:rFonts w:ascii="Times New Roman" w:cs="Times New Roman" w:eastAsia="Times New Roman" w:hAnsi="Times New Roman"/>
          <w:sz w:val="21"/>
          <w:szCs w:val="21"/>
          <w:color w:val="auto"/>
        </w:rPr>
        <w:t>provision for credit losses, and a decline in commercial mortgage banking revenues mainly resulting from lower servicing revenues. Net income for the Commercial Real Estate segment was $314 million during the nine-month period ended September 30, 2022, up 30% from $243 million in the corresponding 2021 period. That rise reflects a $72 million decrease in the provision for credit losses and higher revenues of $46 million that includes an increase in net interest income of $45 million. Higher credit-related and other fees were offset by a decline in commercial mortgage banking revenues. The impact of those overall improvements was reduced by higher centrally-allocated costs associated with data processing, risk management and other support services provided to the Commercial Real Estate segment. The increase in net interest income reflected a widening of the net interest margin on deposits of 56 basis points and higher average outstanding balances of loans and deposits of $2.7 billion and $2.0 billion, respectively, partially offset by a narrowing of the net interest margin on loans of 24 basis points.</w:t>
      </w:r>
    </w:p>
    <w:p>
      <w:pPr>
        <w:spacing w:after="0" w:line="8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Net income recorded by the Discretionary Portfolio segment aggregated $12 million during the three-month period ended September 30, 2022, compared with $75 million in the year-earlier period and $56 million earned in the second quarter of 2022. The decline in the recent quarter’s net income as compared with the third quarter of 2021 was due primarily to a $63 million decrease in net interest income. The lower net interest income was mainly driven by a decline in average outstanding deposit balances of $4.0 billion and reduced income from interest rate swap agreements entered into for interest rate risk management purposes, partially offset by an increase in average balances of investment securities and loans of $17.8 billion and $7.9 billion, respectively, reflecting balances obtained in the acquisition of People’s United and the purchase of investment securities during 2022. The lower net income in the recent quarter as compared with the 2022’s second quarter reflected decreases in net interest income of $57 million. The decline in net interest income was primarily due to reduced income from interest rate swap agreements entered into for interest rate risk management purposes. Net income for this segment for the first nine months totaled $103 million in 2022 and $244 million in 2021. The decline in net income can be attributed to lower net interest income due to reduced income from interest rate swap agreements entered into for interest rate risk management purposes. Intersegment fees paid to the Residential Mortgage Banking segment during the first nine months of 2022 increased $40 million. Partially offsetting those unfavorable factors was a $22 million reduction of valuation losses on investment securities as compared with the corresponding 2021 period.</w:t>
      </w:r>
    </w:p>
    <w:p>
      <w:pPr>
        <w:spacing w:after="0" w:line="9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Residential Mortgage Banking segment recorded a net loss of $3 million in the recent quarter, compared with net income of $46 million in the third quarter of 2021 and $9 million in the second quarter of 2022. The decline in the recent quarter from the third quarter of 2021 predominantly resulted from a $38 million decrease in revenues (including intersegment revenues) associated with lower mortgage origination and sales activities, lower net interest income and a rise in centrally-allocated costs associated with data processing, risk management and other support services provided to the Residential Mortgage Banking segment. As compared with the net income in the second quarter of 2022, the net loss in the recent quarter reflected lower mortgage banking revenues of $13 million, predominantly associated with servicing residential real estate loans (including intersegment revenues) and a decline in net interest income of $11 million, partially offset by higher revenues of $7 million (including intersegment revenues) associated with mortgage origination and sales activities. The Residential Mortgage Banking segment earned $35 million in the first nine months of 2022, compared with $126 million in the similar period of 2021. The decline compared with the corresponding 2021 period was largely due to a decrease in revenues of $95 million (including intersegment revenues) resulting from lower mortgage origination and sales activities, lower net interest income of $31 million and a $19 million rise in centrally-allocated costs associated with data processing, risk management and other support services provided to the Residential Mortgage Banking segment, partially offset by an increase of $20 million in revenues associated with servicing residential real estate loans (including intersegment revenues). The decline in net interest income was driven by a decline in average outstanding balances in loans and deposits of $1.7 billion and $1.4 billion, respectively.</w:t>
      </w:r>
    </w:p>
    <w:p>
      <w:pPr>
        <w:spacing w:after="0" w:line="8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21"/>
          <w:szCs w:val="21"/>
          <w:color w:val="auto"/>
        </w:rPr>
        <w:t>Net income for the Retail Banking segment totaled $182 million in the third quarter of 2022, compared with $88 million in the corresponding quarter of 2021 and $114 million in the second quarter of 2022. The rise in net income in the recent quarter as compared with the year-earlier quarter reflected a $291 million increase in net interest income, largely driven by a widening of the net interest margin earned on deposits of 119 basis points and higher average outstanding deposit and loan balances of $24.4 billion and $2.2 billion, respectively (reflecting the impact of the People’s United acquisition). Those favorable factors were partially offset by higher expenses, also reflecting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1" w:name="page82"/>
    <w:bookmarkEnd w:id="81"/>
    <w:p>
      <w:pPr>
        <w:jc w:val="both"/>
        <w:spacing w:after="0" w:line="239" w:lineRule="auto"/>
        <w:rPr>
          <w:sz w:val="20"/>
          <w:szCs w:val="20"/>
          <w:color w:val="auto"/>
        </w:rPr>
      </w:pPr>
      <w:r>
        <w:rPr>
          <w:rFonts w:ascii="Times New Roman" w:cs="Times New Roman" w:eastAsia="Times New Roman" w:hAnsi="Times New Roman"/>
          <w:sz w:val="21"/>
          <w:szCs w:val="21"/>
          <w:color w:val="auto"/>
        </w:rPr>
        <w:t>impact of the People's United acquisition, including higher personnel-related costs of $73 million, a rise in centrally-allocated expenses associated with support services provided to the Retail Banking segment of $32 million, an increase in equipment and net occupancy costs of $28 million, higher other costs of operations of $21 million and an increase in the provision for credit losses of $7 million. The 59% improvement in net income in the current quarter as compared with the second quarter of 2022 reflected an increase in net interest income of $137 million, which was offset, in part, by lower service charges on deposit accounts of $5 million, higher personnel-related costs of $20 million and increases in other operating expenses of $26 million. The increase in net interest income reflected a widening of the net interest margin on deposits of 81 basis points, partially offset by lower average deposit balances of $2.0 billion. The Retail Banking segment recorded net income of $380 million and $263 million in the first nine months of 2022 and 2021, respectively. The improvement from the 2021 period reflected higher net interest income of $449 million and higher consumer service charges on deposit accounts of $16 million. Those favorable factors were partially offset by higher personnel-related costs of $122 million, a rise in centrally-allocated expenses associated with support services provided to the Retail Banking segment of $104 million, an increase in equipment and net occupancy costs of $49 million, higher professional services expense of $20 million, and an increase in the provision for credit losses of $6 million (all reflecting a six-month impact of the People’s United acquisition). The increase in net interest income reflected a 54 basis point widening of the net interest margin on deposits and higher average outstanding deposit and loan balances of $18.2 billion and $2.1 billion, respectively, partially offset by a 25 basis point narrowing of the net interest margin on loans.</w:t>
      </w:r>
    </w:p>
    <w:p>
      <w:pPr>
        <w:spacing w:after="0" w:line="67"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21"/>
          <w:szCs w:val="21"/>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distributed income from BLG, merger-related expenses resulting from acquisitions (when incurred)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reported net income totaling $53 million for the quarter ended September 30, 2022 as compared with net losses of $14 million and $317 million in the year-earlier quarter and second quarter of 2022, respectively. The “All Other” category had net losses of $333 million and $12 million for the nine-month periods ended September 30, 2022 and 2021, respectively. As compared with the respective 2021 periods the recent quarter and first nine months of 2022 each reflected higher net interest income and trust income, as well as the favorable impact from the Company’s allocation methodologies for internal transfers for funding charges and credits associated with earning assets and interest-bearing liabilities of the Company’s reportable segments. Those favorable factors were offset by increases in the provision for credit losses and expenses resulting from the acquisition of People’s United (inclusive of merger-related expenses). The net loss recorded in the second quarter of 2022 reflected an increased provision for credit losses and merger-related expenses associated with the acquisition of People's United.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Developments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discussion of recent accounting developments is included in note 17 of Notes to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and management's beliefs and assumptions.</w:t>
      </w:r>
    </w:p>
    <w:p>
      <w:pPr>
        <w:spacing w:after="0" w:line="84" w:lineRule="exact"/>
        <w:rPr>
          <w:sz w:val="20"/>
          <w:szCs w:val="20"/>
          <w:color w:val="auto"/>
        </w:rPr>
      </w:pPr>
    </w:p>
    <w:p>
      <w:pPr>
        <w:jc w:val="both"/>
        <w:ind w:firstLine="469"/>
        <w:spacing w:after="0" w:line="241" w:lineRule="auto"/>
        <w:rPr>
          <w:sz w:val="20"/>
          <w:szCs w:val="20"/>
          <w:color w:val="auto"/>
        </w:rPr>
      </w:pPr>
      <w:r>
        <w:rPr>
          <w:rFonts w:ascii="Times New Roman" w:cs="Times New Roman" w:eastAsia="Times New Roman" w:hAnsi="Times New Roman"/>
          <w:sz w:val="21"/>
          <w:szCs w:val="21"/>
          <w:color w:val="auto"/>
        </w:rPr>
        <w:t>Statements regarding the potential effects of events or factors specific to the Company and/or the financial industry as a whole, as well as national and global events generally,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As described further below, statements regarding M&amp;T's expectations or predictions regarding the acquisition of People's United are also forward-looking statements, including statements regarding the expected financial results, prospects, targets, goals and outlook.</w:t>
      </w:r>
    </w:p>
    <w:p>
      <w:pPr>
        <w:spacing w:after="0" w:line="71" w:lineRule="exact"/>
        <w:rPr>
          <w:sz w:val="20"/>
          <w:szCs w:val="20"/>
          <w:color w:val="auto"/>
        </w:rPr>
      </w:pPr>
    </w:p>
    <w:p>
      <w:pPr>
        <w:jc w:val="both"/>
        <w:ind w:firstLine="469"/>
        <w:spacing w:after="0" w:line="245" w:lineRule="auto"/>
        <w:rPr>
          <w:sz w:val="20"/>
          <w:szCs w:val="20"/>
          <w:color w:val="auto"/>
        </w:rPr>
      </w:pPr>
      <w:r>
        <w:rPr>
          <w:rFonts w:ascii="Times New Roman" w:cs="Times New Roman" w:eastAsia="Times New Roman" w:hAnsi="Times New Roman"/>
          <w:sz w:val="21"/>
          <w:szCs w:val="21"/>
          <w:color w:val="auto"/>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77" w:lineRule="exact"/>
        <w:rPr>
          <w:sz w:val="20"/>
          <w:szCs w:val="20"/>
          <w:color w:val="auto"/>
        </w:rPr>
      </w:pPr>
    </w:p>
    <w:p>
      <w:pPr>
        <w:jc w:val="both"/>
        <w:ind w:firstLine="469"/>
        <w:spacing w:after="0" w:line="238" w:lineRule="auto"/>
        <w:rPr>
          <w:sz w:val="20"/>
          <w:szCs w:val="20"/>
          <w:color w:val="auto"/>
        </w:rPr>
      </w:pPr>
      <w:r>
        <w:rPr>
          <w:rFonts w:ascii="Times New Roman" w:cs="Times New Roman" w:eastAsia="Times New Roman" w:hAnsi="Times New Roman"/>
          <w:sz w:val="21"/>
          <w:szCs w:val="21"/>
          <w:color w:val="auto"/>
        </w:rPr>
        <w:t>Examples of future factors include: the impact of the People's United transaction (as described in the next paragraph); economic conditions including inflation and supply chain issues; the impact of international conflicts and other events; the impact of the COVID-19 pandemic;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regulations affecting the financial services industry and/or M&amp;T and its subsidiaries individually or collectively, including tax policy; regulatory supervision and oversight, including monetary policy and capital requirements; governmental and public policy changes;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74" w:lineRule="exact"/>
        <w:rPr>
          <w:sz w:val="20"/>
          <w:szCs w:val="20"/>
          <w:color w:val="auto"/>
        </w:rPr>
      </w:pPr>
    </w:p>
    <w:p>
      <w:pPr>
        <w:jc w:val="both"/>
        <w:ind w:firstLine="469"/>
        <w:spacing w:after="0" w:line="241" w:lineRule="auto"/>
        <w:rPr>
          <w:sz w:val="20"/>
          <w:szCs w:val="20"/>
          <w:color w:val="auto"/>
        </w:rPr>
      </w:pPr>
      <w:r>
        <w:rPr>
          <w:rFonts w:ascii="Times New Roman" w:cs="Times New Roman" w:eastAsia="Times New Roman" w:hAnsi="Times New Roman"/>
          <w:sz w:val="21"/>
          <w:szCs w:val="21"/>
          <w:color w:val="auto"/>
        </w:rPr>
        <w:t>In addition, future factors related to the acquisition of People's United include, among others: the outcome of any legal proceedings that may be instituted against M&amp;T or its subsidiaries; the possibility that the anticipated benefits of the transaction will not be realized when expected or at all, including as a result of the impact of, or problems arising from, the integration of the two companies or as a result of the strength of the economy and competitive factors in the areas where the Company does business; diversion of management's attention from ongoing business operations and opportunities; potential adverse reactions or changes to business or employee relationships; the Company's success in executing its business plans and strategies and managing the risks involved in the foregoing; the business, economic and political conditions in the markets in which the Company operates; and other factors that may affect future results of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3" w:name="page84"/>
    <w:bookmarkEnd w:id="83"/>
    <w:p>
      <w:pPr>
        <w:jc w:val="both"/>
        <w:ind w:firstLine="469"/>
        <w:spacing w:after="0" w:line="241" w:lineRule="auto"/>
        <w:rPr>
          <w:sz w:val="20"/>
          <w:szCs w:val="20"/>
          <w:color w:val="auto"/>
        </w:rPr>
      </w:pPr>
      <w:r>
        <w:rPr>
          <w:rFonts w:ascii="Times New Roman" w:cs="Times New Roman" w:eastAsia="Times New Roman" w:hAnsi="Times New Roman"/>
          <w:sz w:val="21"/>
          <w:szCs w:val="21"/>
          <w:color w:val="auto"/>
        </w:rPr>
        <w:t>Future factors related to the acquisition also include risks, such as, among others: that there could be an adverse effect on the Company's ability to retain customers and retain or hire key personnel and maintain relationships with customers; that integration efforts may be more difficult or time-consuming than anticipated, including in areas such as sales force, cost containment, asset realization, systems integration and other key strategies; that profitability following the combination may be lower than expected including for possible reasons such as lower than expected revenues or higher or unexpected costs, charges or expenses resulting from the transaction; unforeseen risks that may exist; and other factors that may affect future results of the Company.</w:t>
      </w:r>
    </w:p>
    <w:p>
      <w:pPr>
        <w:spacing w:after="0" w:line="84" w:lineRule="exact"/>
        <w:rPr>
          <w:sz w:val="20"/>
          <w:szCs w:val="20"/>
          <w:color w:val="auto"/>
        </w:rPr>
      </w:pPr>
    </w:p>
    <w:p>
      <w:pPr>
        <w:jc w:val="both"/>
        <w:ind w:firstLine="469"/>
        <w:spacing w:after="0" w:line="246" w:lineRule="auto"/>
        <w:rPr>
          <w:sz w:val="20"/>
          <w:szCs w:val="20"/>
          <w:color w:val="auto"/>
        </w:rPr>
      </w:pPr>
      <w:r>
        <w:rPr>
          <w:rFonts w:ascii="Times New Roman" w:cs="Times New Roman" w:eastAsia="Times New Roman" w:hAnsi="Times New Roman"/>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76" w:lineRule="exact"/>
        <w:rPr>
          <w:sz w:val="20"/>
          <w:szCs w:val="20"/>
          <w:color w:val="auto"/>
        </w:rPr>
      </w:pPr>
    </w:p>
    <w:p>
      <w:pPr>
        <w:jc w:val="both"/>
        <w:ind w:firstLine="469"/>
        <w:spacing w:after="0" w:line="249" w:lineRule="auto"/>
        <w:rPr>
          <w:sz w:val="20"/>
          <w:szCs w:val="20"/>
          <w:color w:val="auto"/>
        </w:rPr>
      </w:pPr>
      <w:r>
        <w:rPr>
          <w:rFonts w:ascii="Times New Roman" w:cs="Times New Roman" w:eastAsia="Times New Roman" w:hAnsi="Times New Roman"/>
          <w:sz w:val="21"/>
          <w:szCs w:val="21"/>
          <w:color w:val="auto"/>
        </w:rPr>
        <w:t>M&amp;T provides further detail regarding these risks and uncertainties in its Form 10-K for the year ended December 31, 2021, including in the Risk Factors section of such report, as well as in other SEC filings. Forward-looking statements speak only as of the date made, and M&amp;T does not assume any duty and does not undertake to update forward-looking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color w:val="auto"/>
        </w:rPr>
        <w:t>M&amp;T BANK CORPORATION AND SUBSIDIARIES</w:t>
      </w:r>
    </w:p>
    <w:tbl>
      <w:tblPr>
        <w:tblLayout w:type="fixed"/>
        <w:tblInd w:w="0" w:type="dxa"/>
        <w:tblCellMar>
          <w:top w:w="0" w:type="dxa"/>
          <w:left w:w="0" w:type="dxa"/>
          <w:bottom w:w="0" w:type="dxa"/>
          <w:right w:w="0" w:type="dxa"/>
        </w:tblCellMar>
      </w:tblPr>
      <w:tr>
        <w:trPr>
          <w:trHeight w:val="258"/>
        </w:trPr>
        <w:tc>
          <w:tcPr>
            <w:tcW w:w="4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QUARTERLY TRENDS</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Table 1</w:t>
            </w:r>
          </w:p>
        </w:tc>
        <w:tc>
          <w:tcPr>
            <w:tcW w:w="0" w:type="dxa"/>
            <w:vAlign w:val="bottom"/>
          </w:tcPr>
          <w:p>
            <w:pPr>
              <w:spacing w:after="0"/>
              <w:rPr>
                <w:sz w:val="1"/>
                <w:szCs w:val="1"/>
                <w:color w:val="auto"/>
              </w:rPr>
            </w:pPr>
          </w:p>
        </w:tc>
      </w:tr>
      <w:tr>
        <w:trPr>
          <w:trHeight w:val="194"/>
        </w:trPr>
        <w:tc>
          <w:tcPr>
            <w:tcW w:w="4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4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2022 Quarters</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2021 Quarters</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Second</w:t>
            </w:r>
          </w:p>
        </w:tc>
        <w:tc>
          <w:tcPr>
            <w:tcW w:w="160" w:type="dxa"/>
            <w:vAlign w:val="bottom"/>
          </w:tcPr>
          <w:p>
            <w:pPr>
              <w:spacing w:after="0"/>
              <w:rPr>
                <w:sz w:val="14"/>
                <w:szCs w:val="14"/>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1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140" w:type="dxa"/>
            <w:vAlign w:val="bottom"/>
          </w:tcPr>
          <w:p>
            <w:pPr>
              <w:spacing w:after="0"/>
              <w:rPr>
                <w:sz w:val="14"/>
                <w:szCs w:val="14"/>
                <w:color w:val="auto"/>
              </w:rPr>
            </w:pP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First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and dividends</w:t>
            </w: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Amounts in thousands, except per share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income (taxable-equivalent basis)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1,793,340</w:t>
            </w:r>
          </w:p>
        </w:tc>
        <w:tc>
          <w:tcPr>
            <w:tcW w:w="2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1,475,868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931,490</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962,081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996,649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974,090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1,020,695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102,822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24,082</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25,696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1,690,518</w:t>
            </w: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9"/>
              </w:rPr>
              <w:t>1,422,443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907,408</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937,356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970,953</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946,072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985,128</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provision for credit losses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(15,000 )</w:t>
            </w: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(20,000 )</w:t>
            </w: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(15,000 )</w:t>
            </w:r>
          </w:p>
        </w:tc>
        <w:tc>
          <w:tcPr>
            <w:tcW w:w="14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(25,000 )</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563,079</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571,100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540,887</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578,637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569,126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513,633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505,598</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other expense</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1,279,253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1,403,154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959,741</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899,334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865,345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919,444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859,344</w:t>
            </w:r>
          </w:p>
        </w:tc>
        <w:tc>
          <w:tcPr>
            <w:tcW w:w="2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288,389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478,554</w:t>
            </w:r>
          </w:p>
        </w:tc>
        <w:tc>
          <w:tcPr>
            <w:tcW w:w="2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603,493</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660,745</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609,360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596,282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Applicable income taxes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200,921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113,146</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161,582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Taxable-equivalent adjustment</w:t>
            </w: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11,827</w:t>
            </w:r>
          </w:p>
        </w:tc>
        <w:tc>
          <w:tcPr>
            <w:tcW w:w="2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2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3,563</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3,703</w:t>
            </w: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3,733</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646,596</w:t>
            </w:r>
          </w:p>
        </w:tc>
        <w:tc>
          <w:tcPr>
            <w:tcW w:w="2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362,174</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457,968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495,460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458,069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447,249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Net income available to common shareholders-diluted</w:t>
            </w:r>
          </w:p>
        </w:tc>
        <w:tc>
          <w:tcPr>
            <w:tcW w:w="1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620,554</w:t>
            </w: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192,236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339,590</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434,171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475,961</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438,759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428,093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common share data</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Basic earnings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2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Diluted earnings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 dividends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common shares outstanding</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174,609</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177,367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128,945</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128,698</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128,689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128,671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175,682</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178,277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129,416</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Performance ratios, annualized</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Return 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assets</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Average common shareholders’ equity</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w:t>
            </w:r>
          </w:p>
        </w:tc>
        <w:tc>
          <w:tcPr>
            <w:tcW w:w="10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8"/>
        </w:trPr>
        <w:tc>
          <w:tcPr>
            <w:tcW w:w="48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Net interest margin on average earning assets</w:t>
            </w: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4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(taxable-equivalent basis)</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8"/>
        </w:trPr>
        <w:tc>
          <w:tcPr>
            <w:tcW w:w="48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Nonaccrual loans to total loans and leases, net of</w:t>
            </w: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2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unearned discount</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Net operating (tangible) results (a)</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operating income (in thousands)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700,030</w:t>
            </w: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577,622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375,999</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475,477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504,030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462,959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457,372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Diluted net operating income per common share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2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Annualized return on</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Average tangible assets</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Average tangible common shareholders’ equity</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100" w:type="dxa"/>
            <w:vAlign w:val="bottom"/>
          </w:tcPr>
          <w:p>
            <w:pPr>
              <w:spacing w:after="0"/>
              <w:rPr>
                <w:sz w:val="14"/>
                <w:szCs w:val="14"/>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2"/>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Efficiency ratio (b)</w:t>
            </w: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43"/>
        </w:trPr>
        <w:tc>
          <w:tcPr>
            <w:tcW w:w="48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sheet data</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i w:val="1"/>
                <w:iCs w:val="1"/>
                <w:color w:val="auto"/>
              </w:rPr>
              <w:t>In millions, except per share</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Average balances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assets (c)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201,131</w:t>
            </w:r>
          </w:p>
        </w:tc>
        <w:tc>
          <w:tcPr>
            <w:tcW w:w="26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208,865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151,648</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157,722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154,037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150,641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148,157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tangible assets (c)</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192,450</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147,053</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182,382</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189,755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138,624</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144,420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140,420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136,951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134,355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23,945</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127,525</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92,159</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93,250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95,314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98,610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99,356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Deposits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167,271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128,055</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23,654</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24,079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16,144</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15,863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15,614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15,321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15,077</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 end of quarter</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assets (c)</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197,955</w:t>
            </w: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149,864</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151,901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tangible assets (c)</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189,281</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195,344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145,269</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150,511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147,304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146,023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145,879</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178,351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137,237</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141,990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24,604</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22,802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9,357</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7,156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6,611</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Loans and leases, net of unearned discount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128,226</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91,808</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Deposits</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163,845</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170,358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126,319</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131,543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128,701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128,269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128,476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shareholders’ equity (c)</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23,245</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16,126</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Tangible common shareholders’ equity (c)</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14,571</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11,182</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10,595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Equity per common share</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134.45</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124.93</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125.51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Tangible equity per common share</w:t>
            </w: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84.28</w:t>
            </w:r>
          </w:p>
        </w:tc>
        <w:tc>
          <w:tcPr>
            <w:tcW w:w="2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89.33</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89.80</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84.47</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82.35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-4782820</wp:posOffset>
            </wp:positionV>
            <wp:extent cx="76835" cy="1371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-4782820</wp:posOffset>
            </wp:positionV>
            <wp:extent cx="76835" cy="1371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-4782820</wp:posOffset>
            </wp:positionV>
            <wp:extent cx="77470" cy="137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-4782820</wp:posOffset>
            </wp:positionV>
            <wp:extent cx="68580" cy="137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-4782820</wp:posOffset>
            </wp:positionV>
            <wp:extent cx="68580" cy="13716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-4782820</wp:posOffset>
            </wp:positionV>
            <wp:extent cx="68580" cy="13716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-4782820</wp:posOffset>
            </wp:positionV>
            <wp:extent cx="68580" cy="13716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-2288540</wp:posOffset>
            </wp:positionV>
            <wp:extent cx="3531870" cy="12890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5318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5" w:lineRule="exact"/>
        <w:rPr>
          <w:sz w:val="20"/>
          <w:szCs w:val="20"/>
          <w:color w:val="auto"/>
        </w:rPr>
      </w:pPr>
    </w:p>
    <w:p>
      <w:pPr>
        <w:ind w:left="520" w:hanging="512"/>
        <w:spacing w:after="0" w:line="254" w:lineRule="auto"/>
        <w:tabs>
          <w:tab w:leader="none" w:pos="52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impact of merger-related expenses and net securities transactions.</w:t>
      </w:r>
    </w:p>
    <w:p>
      <w:pPr>
        <w:spacing w:after="0" w:line="11" w:lineRule="exact"/>
        <w:rPr>
          <w:rFonts w:ascii="Times New Roman" w:cs="Times New Roman" w:eastAsia="Times New Roman" w:hAnsi="Times New Roman"/>
          <w:sz w:val="14"/>
          <w:szCs w:val="14"/>
          <w:i w:val="1"/>
          <w:iCs w:val="1"/>
          <w:color w:val="auto"/>
        </w:rPr>
      </w:pPr>
    </w:p>
    <w:p>
      <w:pPr>
        <w:ind w:left="520" w:hanging="512"/>
        <w:spacing w:after="0" w:line="263" w:lineRule="auto"/>
        <w:tabs>
          <w:tab w:leader="none" w:pos="52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78" w:lineRule="exact"/>
        <w:rPr>
          <w:rFonts w:ascii="Times New Roman" w:cs="Times New Roman" w:eastAsia="Times New Roman" w:hAnsi="Times New Roman"/>
          <w:sz w:val="14"/>
          <w:szCs w:val="14"/>
          <w:i w:val="1"/>
          <w:iCs w:val="1"/>
          <w:color w:val="auto"/>
        </w:rPr>
      </w:pPr>
    </w:p>
    <w:p>
      <w:pPr>
        <w:ind w:left="5540" w:hanging="111"/>
        <w:spacing w:after="0"/>
        <w:tabs>
          <w:tab w:leader="none" w:pos="5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color w:val="auto"/>
        </w:rPr>
        <w:t>M&amp;T BANK CORPORATION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w w:val="92"/>
              </w:rPr>
              <w:t>Table 2</w:t>
            </w:r>
          </w:p>
        </w:tc>
      </w:tr>
      <w:tr>
        <w:trPr>
          <w:trHeight w:val="249"/>
        </w:trPr>
        <w:tc>
          <w:tcPr>
            <w:tcW w:w="65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RECONCILIATION OF QUARTERLY GAAP TO NON-GAAP MEASURES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76"/>
        </w:trPr>
        <w:tc>
          <w:tcPr>
            <w:tcW w:w="32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 Quarters</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2021 Quarters</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280" w:type="dxa"/>
            <w:vAlign w:val="bottom"/>
          </w:tcPr>
          <w:p>
            <w:pPr>
              <w:spacing w:after="0"/>
              <w:rPr>
                <w:sz w:val="14"/>
                <w:szCs w:val="14"/>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First</w:t>
            </w:r>
          </w:p>
        </w:tc>
        <w:tc>
          <w:tcPr>
            <w:tcW w:w="300" w:type="dxa"/>
            <w:vAlign w:val="bottom"/>
          </w:tcPr>
          <w:p>
            <w:pPr>
              <w:spacing w:after="0"/>
              <w:rPr>
                <w:sz w:val="14"/>
                <w:szCs w:val="14"/>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Fourth</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Third</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Second</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auto"/>
              </w:rPr>
              <w:t>First</w:t>
            </w:r>
          </w:p>
        </w:tc>
        <w:tc>
          <w:tcPr>
            <w:tcW w:w="100" w:type="dxa"/>
            <w:vAlign w:val="bottom"/>
          </w:tcPr>
          <w:p>
            <w:pPr>
              <w:spacing w:after="0"/>
              <w:rPr>
                <w:sz w:val="14"/>
                <w:szCs w:val="14"/>
                <w:color w:val="auto"/>
              </w:rPr>
            </w:pPr>
          </w:p>
        </w:tc>
      </w:tr>
      <w:tr>
        <w:trPr>
          <w:trHeight w:val="108"/>
        </w:trPr>
        <w:tc>
          <w:tcPr>
            <w:tcW w:w="328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Income statement data (in thousands,</w:t>
            </w:r>
          </w:p>
        </w:tc>
        <w:tc>
          <w:tcPr>
            <w:tcW w:w="8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82"/>
        </w:trPr>
        <w:tc>
          <w:tcPr>
            <w:tcW w:w="3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except per share)</w:t>
            </w:r>
          </w:p>
        </w:tc>
        <w:tc>
          <w:tcPr>
            <w:tcW w:w="8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646,596</w:t>
            </w:r>
          </w:p>
        </w:tc>
        <w:tc>
          <w:tcPr>
            <w:tcW w:w="4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217,522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362,174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457,968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495,460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458,069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447,249</w:t>
            </w:r>
          </w:p>
        </w:tc>
        <w:tc>
          <w:tcPr>
            <w:tcW w:w="100" w:type="dxa"/>
            <w:vAlign w:val="bottom"/>
            <w:shd w:val="clear" w:color="auto" w:fill="CFF0FC"/>
          </w:tcPr>
          <w:p>
            <w:pPr>
              <w:spacing w:after="0"/>
              <w:rPr>
                <w:sz w:val="14"/>
                <w:szCs w:val="14"/>
                <w:color w:val="auto"/>
              </w:rPr>
            </w:pPr>
          </w:p>
        </w:tc>
      </w:tr>
      <w:tr>
        <w:trPr>
          <w:trHeight w:val="117"/>
        </w:trPr>
        <w:tc>
          <w:tcPr>
            <w:tcW w:w="32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2"/>
        </w:trPr>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 (a)</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r>
      <w:tr>
        <w:trPr>
          <w:trHeight w:val="170"/>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Merger-related expenses (a)</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39,293</w:t>
            </w:r>
          </w:p>
        </w:tc>
        <w:tc>
          <w:tcPr>
            <w:tcW w:w="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345,962</w:t>
            </w:r>
          </w:p>
        </w:tc>
        <w:tc>
          <w:tcPr>
            <w:tcW w:w="3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12,892</w:t>
            </w:r>
          </w:p>
        </w:tc>
        <w:tc>
          <w:tcPr>
            <w:tcW w:w="30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16,062</w:t>
            </w:r>
          </w:p>
        </w:tc>
        <w:tc>
          <w:tcPr>
            <w:tcW w:w="3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6,542</w:t>
            </w:r>
          </w:p>
        </w:tc>
        <w:tc>
          <w:tcPr>
            <w:tcW w:w="3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2,867</w:t>
            </w:r>
          </w:p>
        </w:tc>
        <w:tc>
          <w:tcPr>
            <w:tcW w:w="2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8"/>
        </w:trPr>
        <w:tc>
          <w:tcPr>
            <w:tcW w:w="32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operating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700,030</w:t>
            </w:r>
          </w:p>
        </w:tc>
        <w:tc>
          <w:tcPr>
            <w:tcW w:w="48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577,622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375,999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475,477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504,030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462,959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457,372</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-112395</wp:posOffset>
            </wp:positionV>
            <wp:extent cx="5048885" cy="137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048885"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117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Diluted earnings per common share</w:t>
      </w:r>
    </w:p>
    <w:p>
      <w:pPr>
        <w:spacing w:after="0" w:line="13" w:lineRule="exact"/>
        <w:rPr>
          <w:sz w:val="20"/>
          <w:szCs w:val="20"/>
          <w:color w:val="auto"/>
        </w:rPr>
      </w:pPr>
    </w:p>
    <w:p>
      <w:pPr>
        <w:ind w:left="120" w:right="580" w:hanging="94"/>
        <w:spacing w:after="0" w:line="238" w:lineRule="auto"/>
        <w:rPr>
          <w:sz w:val="20"/>
          <w:szCs w:val="20"/>
          <w:color w:val="auto"/>
        </w:rPr>
      </w:pPr>
      <w:r>
        <w:rPr>
          <w:rFonts w:ascii="Times New Roman" w:cs="Times New Roman" w:eastAsia="Times New Roman" w:hAnsi="Times New Roman"/>
          <w:sz w:val="13"/>
          <w:szCs w:val="13"/>
          <w:color w:val="auto"/>
        </w:rPr>
        <w:t>Amortization of core deposit and other intangible assets (a)</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Merger-related expenses (a)</w:t>
      </w:r>
    </w:p>
    <w:p>
      <w:pPr>
        <w:spacing w:after="0" w:line="24" w:lineRule="exact"/>
        <w:rPr>
          <w:sz w:val="20"/>
          <w:szCs w:val="20"/>
          <w:color w:val="auto"/>
        </w:rPr>
      </w:pPr>
    </w:p>
    <w:p>
      <w:pPr>
        <w:ind w:left="220" w:right="680" w:hanging="62"/>
        <w:spacing w:after="0" w:line="220" w:lineRule="auto"/>
        <w:rPr>
          <w:sz w:val="20"/>
          <w:szCs w:val="20"/>
          <w:color w:val="auto"/>
        </w:rPr>
      </w:pPr>
      <w:r>
        <w:rPr>
          <w:rFonts w:ascii="Times New Roman" w:cs="Times New Roman" w:eastAsia="Times New Roman" w:hAnsi="Times New Roman"/>
          <w:sz w:val="13"/>
          <w:szCs w:val="13"/>
          <w:color w:val="auto"/>
        </w:rPr>
        <w:t>Diluted net operating earnings per common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293"/>
        </w:trPr>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4"/>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3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3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241"/>
        </w:trPr>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-452120</wp:posOffset>
            </wp:positionV>
            <wp:extent cx="7132320" cy="18859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-152400</wp:posOffset>
            </wp:positionV>
            <wp:extent cx="7132320" cy="291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2560" w:space="720"/>
            <w:col w:w="7980"/>
          </w:cols>
          <w:pgMar w:left="320" w:top="306"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Other expense</w:t>
            </w: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expense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1,279,253</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1,403,154</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959,741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927,500</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899,334</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865,345</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919,444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8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color w:val="auto"/>
              </w:rPr>
              <w:t>Amortization of core deposit and other</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2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intangible assets</w:t>
            </w: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(18,384 )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(18,384 )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(1,256 )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(1,954 )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(2,738 )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(2,737 )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Merger-related expenses</w:t>
            </w: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(53,027 )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(222,809 )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(17,372 )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(21,190 )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(8,826 )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(3,893 )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Borders>
              <w:top w:val="single" w:sz="8" w:color="CFF0FC"/>
            </w:tcBorders>
            <w:gridSpan w:val="3"/>
          </w:tcPr>
          <w:p>
            <w:pPr>
              <w:ind w:left="160"/>
              <w:spacing w:after="0"/>
              <w:rPr>
                <w:sz w:val="20"/>
                <w:szCs w:val="20"/>
                <w:color w:val="auto"/>
              </w:rPr>
            </w:pPr>
            <w:r>
              <w:rPr>
                <w:rFonts w:ascii="Times New Roman" w:cs="Times New Roman" w:eastAsia="Times New Roman" w:hAnsi="Times New Roman"/>
                <w:sz w:val="13"/>
                <w:szCs w:val="13"/>
                <w:color w:val="auto"/>
              </w:rPr>
              <w:t>Noninterest operating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1,207,842</w:t>
            </w:r>
          </w:p>
        </w:tc>
        <w:tc>
          <w:tcPr>
            <w:tcW w:w="32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1,161,961</w:t>
            </w:r>
          </w:p>
        </w:tc>
        <w:tc>
          <w:tcPr>
            <w:tcW w:w="6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941,113</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904,356</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887,770</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858,715</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906,755</w:t>
            </w: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Merger-related expenses</w:t>
            </w: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13,094</w:t>
            </w:r>
          </w:p>
        </w:tc>
        <w:tc>
          <w:tcPr>
            <w:tcW w:w="3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85,299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Equipment and net occupancy</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Outside data processing and software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Advertising and marketing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Printing, postage and supplies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32,722</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132,633</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13,876</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19,965</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6,905</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9,951</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Other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53,027</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222,809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17,372</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21,190</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242,000</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w:t>
            </w:r>
          </w:p>
        </w:tc>
        <w:tc>
          <w:tcPr>
            <w:tcW w:w="2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53,027</w:t>
            </w:r>
          </w:p>
        </w:tc>
        <w:tc>
          <w:tcPr>
            <w:tcW w:w="3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464,809</w:t>
            </w:r>
          </w:p>
        </w:tc>
        <w:tc>
          <w:tcPr>
            <w:tcW w:w="60" w:type="dxa"/>
            <w:vAlign w:val="bottom"/>
          </w:tcPr>
          <w:p>
            <w:pPr>
              <w:spacing w:after="0"/>
              <w:rPr>
                <w:sz w:val="13"/>
                <w:szCs w:val="13"/>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17,372</w:t>
            </w:r>
          </w:p>
        </w:tc>
        <w:tc>
          <w:tcPr>
            <w:tcW w:w="3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21,190</w:t>
            </w:r>
          </w:p>
        </w:tc>
        <w:tc>
          <w:tcPr>
            <w:tcW w:w="3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8,826</w:t>
            </w:r>
          </w:p>
        </w:tc>
        <w:tc>
          <w:tcPr>
            <w:tcW w:w="3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28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Efficiency ratio</w:t>
            </w: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Noninterest operating expense (numerator)</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1,207,842</w:t>
            </w:r>
          </w:p>
        </w:tc>
        <w:tc>
          <w:tcPr>
            <w:tcW w:w="320" w:type="dxa"/>
            <w:vAlign w:val="bottom"/>
          </w:tcPr>
          <w:p>
            <w:pPr>
              <w:spacing w:after="0"/>
              <w:rPr>
                <w:sz w:val="14"/>
                <w:szCs w:val="14"/>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1,161,961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941,113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904,356</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887,770</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858,715</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906,755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Taxable-equivalent net interest income</w:t>
            </w:r>
          </w:p>
        </w:tc>
        <w:tc>
          <w:tcPr>
            <w:tcW w:w="88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1,690,518</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1,422,443</w:t>
            </w: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907,408</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937,356</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970,953</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946,072</w:t>
            </w: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985,128</w:t>
            </w: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563,079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571,100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540,887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578,637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569,126</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513,633</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505,598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280" w:type="dxa"/>
            <w:vAlign w:val="bottom"/>
            <w:gridSpan w:val="3"/>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Less: Gain (loss) on bank investment</w:t>
            </w:r>
          </w:p>
        </w:tc>
        <w:tc>
          <w:tcPr>
            <w:tcW w:w="1200" w:type="dxa"/>
            <w:vAlign w:val="bottom"/>
            <w:gridSpan w:val="2"/>
            <w:vMerge w:val="restart"/>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(1,108 )</w:t>
            </w:r>
          </w:p>
        </w:tc>
        <w:tc>
          <w:tcPr>
            <w:tcW w:w="22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(62 )</w:t>
            </w: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(743 )</w:t>
            </w:r>
          </w:p>
        </w:tc>
        <w:tc>
          <w:tcPr>
            <w:tcW w:w="2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(10,655 )</w:t>
            </w:r>
          </w:p>
        </w:tc>
        <w:tc>
          <w:tcPr>
            <w:tcW w:w="2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(12,282 )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securities</w:t>
            </w:r>
          </w:p>
        </w:tc>
        <w:tc>
          <w:tcPr>
            <w:tcW w:w="12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80" w:type="dxa"/>
            <w:vAlign w:val="bottom"/>
            <w:tcBorders>
              <w:top w:val="single" w:sz="8" w:color="CFF0FC"/>
            </w:tcBorders>
            <w:gridSpan w:val="3"/>
          </w:tcPr>
          <w:p>
            <w:pPr>
              <w:ind w:left="160"/>
              <w:spacing w:after="0"/>
              <w:rPr>
                <w:sz w:val="20"/>
                <w:szCs w:val="20"/>
                <w:color w:val="auto"/>
              </w:rPr>
            </w:pPr>
            <w:r>
              <w:rPr>
                <w:rFonts w:ascii="Times New Roman" w:cs="Times New Roman" w:eastAsia="Times New Roman" w:hAnsi="Times New Roman"/>
                <w:sz w:val="13"/>
                <w:szCs w:val="13"/>
                <w:color w:val="auto"/>
              </w:rPr>
              <w:t>Denominator</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2,254,705</w:t>
            </w:r>
          </w:p>
        </w:tc>
        <w:tc>
          <w:tcPr>
            <w:tcW w:w="32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1,993,605</w:t>
            </w:r>
          </w:p>
        </w:tc>
        <w:tc>
          <w:tcPr>
            <w:tcW w:w="6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1,449,038</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1,514,567</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1,539,788</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1,470,360</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1,503,008</w:t>
            </w: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CFF0FC"/>
            </w:tcBorders>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Efficiency ratio</w:t>
            </w:r>
          </w:p>
        </w:tc>
        <w:tc>
          <w:tcPr>
            <w:tcW w:w="88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53.6</w:t>
            </w:r>
          </w:p>
        </w:tc>
        <w:tc>
          <w:tcPr>
            <w:tcW w:w="320" w:type="dxa"/>
            <w:vAlign w:val="bottom"/>
            <w:tcBorders>
              <w:bottom w:val="single" w:sz="8" w:color="CFF0FC"/>
            </w:tcBorders>
            <w:shd w:val="clear" w:color="auto" w:fill="CFF0FC"/>
          </w:tcPr>
          <w:p>
            <w:pPr>
              <w:jc w:val="right"/>
              <w:ind w:right="13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58.3</w:t>
            </w:r>
          </w:p>
        </w:tc>
        <w:tc>
          <w:tcPr>
            <w:tcW w:w="320" w:type="dxa"/>
            <w:vAlign w:val="bottom"/>
            <w:tcBorders>
              <w:bottom w:val="single" w:sz="8" w:color="CFF0FC"/>
            </w:tcBorders>
            <w:gridSpan w:val="2"/>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64.9</w:t>
            </w:r>
          </w:p>
        </w:tc>
        <w:tc>
          <w:tcPr>
            <w:tcW w:w="300" w:type="dxa"/>
            <w:vAlign w:val="bottom"/>
            <w:tcBorders>
              <w:bottom w:val="single" w:sz="8" w:color="CFF0FC"/>
            </w:tcBorders>
            <w:shd w:val="clear" w:color="auto" w:fill="CFF0FC"/>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59.7</w:t>
            </w:r>
          </w:p>
        </w:tc>
        <w:tc>
          <w:tcPr>
            <w:tcW w:w="300" w:type="dxa"/>
            <w:vAlign w:val="bottom"/>
            <w:tcBorders>
              <w:bottom w:val="single" w:sz="8" w:color="CFF0FC"/>
            </w:tcBorders>
            <w:shd w:val="clear" w:color="auto" w:fill="CFF0FC"/>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57.7</w:t>
            </w:r>
          </w:p>
        </w:tc>
        <w:tc>
          <w:tcPr>
            <w:tcW w:w="300" w:type="dxa"/>
            <w:vAlign w:val="bottom"/>
            <w:tcBorders>
              <w:bottom w:val="single" w:sz="8" w:color="CFF0FC"/>
            </w:tcBorders>
            <w:shd w:val="clear" w:color="auto" w:fill="CFF0FC"/>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58.4</w:t>
            </w:r>
          </w:p>
        </w:tc>
        <w:tc>
          <w:tcPr>
            <w:tcW w:w="280" w:type="dxa"/>
            <w:vAlign w:val="bottom"/>
            <w:tcBorders>
              <w:bottom w:val="single" w:sz="8" w:color="CFF0FC"/>
            </w:tcBorders>
            <w:shd w:val="clear" w:color="auto" w:fill="CFF0FC"/>
          </w:tcPr>
          <w:p>
            <w:pPr>
              <w:jc w:val="right"/>
              <w:ind w:right="117"/>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2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bottom w:val="single" w:sz="8" w:color="CFF0FC"/>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28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sheet data (in millions)</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Average assets</w:t>
            </w:r>
          </w:p>
        </w:tc>
        <w:tc>
          <w:tcPr>
            <w:tcW w:w="8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Average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201,131</w:t>
            </w:r>
          </w:p>
        </w:tc>
        <w:tc>
          <w:tcPr>
            <w:tcW w:w="3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208,865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151,648</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157,722</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154,037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150,641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3"/>
              </w:rPr>
              <w:t>Goodwill</w:t>
            </w:r>
          </w:p>
        </w:tc>
        <w:tc>
          <w:tcPr>
            <w:tcW w:w="2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(8,501 )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(236 )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(5 )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(7 )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Average tangible assets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192,450</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200,170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147,053</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153,125</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149,439</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146,041</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143,554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8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Average common equity</w:t>
            </w: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Average total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25,665</w:t>
            </w:r>
          </w:p>
        </w:tc>
        <w:tc>
          <w:tcPr>
            <w:tcW w:w="32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26,090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17,894</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17,613</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17,109</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(2,011 )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(1,750 )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(1,750 )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(1,495 )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(1,250 )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Borders>
              <w:top w:val="single" w:sz="8" w:color="CFF0FC"/>
            </w:tcBorders>
            <w:gridSpan w:val="3"/>
          </w:tcPr>
          <w:p>
            <w:pPr>
              <w:ind w:left="160"/>
              <w:spacing w:after="0"/>
              <w:rPr>
                <w:sz w:val="20"/>
                <w:szCs w:val="20"/>
                <w:color w:val="auto"/>
              </w:rPr>
            </w:pPr>
            <w:r>
              <w:rPr>
                <w:rFonts w:ascii="Times New Roman" w:cs="Times New Roman" w:eastAsia="Times New Roman" w:hAnsi="Times New Roman"/>
                <w:sz w:val="13"/>
                <w:szCs w:val="13"/>
                <w:color w:val="auto"/>
              </w:rPr>
              <w:t>Average common equity</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23,654</w:t>
            </w:r>
          </w:p>
        </w:tc>
        <w:tc>
          <w:tcPr>
            <w:tcW w:w="3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24,079</w:t>
            </w:r>
          </w:p>
        </w:tc>
        <w:tc>
          <w:tcPr>
            <w:tcW w:w="6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16,144</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15,863</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15,614</w:t>
            </w:r>
          </w:p>
        </w:tc>
        <w:tc>
          <w:tcPr>
            <w:tcW w:w="3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15,321</w:t>
            </w:r>
          </w:p>
        </w:tc>
        <w:tc>
          <w:tcPr>
            <w:tcW w:w="28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15,077</w:t>
            </w:r>
          </w:p>
        </w:tc>
        <w:tc>
          <w:tcPr>
            <w:tcW w:w="100" w:type="dxa"/>
            <w:vAlign w:val="bottom"/>
            <w:tcBorders>
              <w:top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3"/>
              </w:rPr>
              <w:t>Goodwill</w:t>
            </w:r>
          </w:p>
        </w:tc>
        <w:tc>
          <w:tcPr>
            <w:tcW w:w="25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(8,501 )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(236 )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(5 )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(7 )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(10 )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3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Average tangible common equity</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14,973</w:t>
            </w:r>
          </w:p>
        </w:tc>
        <w:tc>
          <w:tcPr>
            <w:tcW w:w="320" w:type="dxa"/>
            <w:vAlign w:val="bottom"/>
          </w:tcPr>
          <w:p>
            <w:pPr>
              <w:spacing w:after="0"/>
              <w:rPr>
                <w:sz w:val="13"/>
                <w:szCs w:val="13"/>
                <w:color w:val="auto"/>
              </w:rPr>
            </w:pPr>
          </w:p>
        </w:tc>
        <w:tc>
          <w:tcPr>
            <w:tcW w:w="2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15,384</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11,549</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11,266</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11,016</w:t>
            </w: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10,721</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gridSpan w:val="3"/>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At end of quarter</w:t>
            </w:r>
          </w:p>
        </w:tc>
        <w:tc>
          <w:tcPr>
            <w:tcW w:w="8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197,955</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204,033</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149,864</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155,107</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151,901</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150,623</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150,481</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3"/>
              </w:rPr>
              <w:t>Goodwill</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(8,501 )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(8,501 )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(227 )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(6 )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(9 )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tangible assets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189,281</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195,344</w:t>
            </w: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145,269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150,511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147,304</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146,023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145,879</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8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Total common equity</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25,256</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25,795</w:t>
            </w: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17,876</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17,903</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17,529</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16,720</w:t>
            </w: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16,447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(2,011 )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(2,011 )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(1,750 )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(1,750 )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(1,750 )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(1,250 )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Common equity</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23,245</w:t>
            </w:r>
          </w:p>
        </w:tc>
        <w:tc>
          <w:tcPr>
            <w:tcW w:w="3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23,784</w:t>
            </w:r>
          </w:p>
        </w:tc>
        <w:tc>
          <w:tcPr>
            <w:tcW w:w="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16,126</w:t>
            </w: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16,153</w:t>
            </w: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30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15,470</w:t>
            </w:r>
          </w:p>
        </w:tc>
        <w:tc>
          <w:tcPr>
            <w:tcW w:w="2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15,197</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3"/>
              </w:rPr>
              <w:t>Goodwill</w:t>
            </w: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(8,501 )</w:t>
            </w: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(8,501 )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2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00" w:type="dxa"/>
            <w:vAlign w:val="bottom"/>
          </w:tcPr>
          <w:p>
            <w:pPr>
              <w:spacing w:after="0"/>
              <w:rPr>
                <w:sz w:val="14"/>
                <w:szCs w:val="14"/>
                <w:color w:val="auto"/>
              </w:rPr>
            </w:pPr>
          </w:p>
        </w:tc>
        <w:tc>
          <w:tcPr>
            <w:tcW w:w="9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(4,593 )</w:t>
            </w: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Core deposit and other intangible assets</w:t>
            </w:r>
          </w:p>
        </w:tc>
        <w:tc>
          <w:tcPr>
            <w:tcW w:w="1200" w:type="dxa"/>
            <w:vAlign w:val="bottom"/>
            <w:gridSpan w:val="2"/>
            <w:shd w:val="clear" w:color="auto" w:fill="CFF0FC"/>
          </w:tcPr>
          <w:p>
            <w:pPr>
              <w:jc w:val="right"/>
              <w:ind w:right="217"/>
              <w:spacing w:after="0"/>
              <w:rPr>
                <w:sz w:val="20"/>
                <w:szCs w:val="20"/>
                <w:color w:val="auto"/>
              </w:rPr>
            </w:pPr>
            <w:r>
              <w:rPr>
                <w:rFonts w:ascii="Times New Roman" w:cs="Times New Roman" w:eastAsia="Times New Roman" w:hAnsi="Times New Roman"/>
                <w:sz w:val="13"/>
                <w:szCs w:val="13"/>
                <w:color w:val="auto"/>
              </w:rPr>
              <w:t>(227 )</w:t>
            </w:r>
          </w:p>
        </w:tc>
        <w:tc>
          <w:tcPr>
            <w:tcW w:w="2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(245 )</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(4 )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(6 )</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(9 )</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Deferred taxes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80" w:type="dxa"/>
            <w:vAlign w:val="bottom"/>
            <w:tcBorders>
              <w:bottom w:val="single" w:sz="8" w:color="CFF0FC"/>
            </w:tcBorders>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Total tangible common equity</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14,571</w:t>
            </w: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15,095</w:t>
            </w:r>
          </w:p>
        </w:tc>
        <w:tc>
          <w:tcPr>
            <w:tcW w:w="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11,557</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11,182</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10,870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10,595</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After any related tax effect.</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- 86 -</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-5956935</wp:posOffset>
            </wp:positionV>
            <wp:extent cx="77470" cy="13716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-5956935</wp:posOffset>
            </wp:positionV>
            <wp:extent cx="76835" cy="13716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-5956935</wp:posOffset>
            </wp:positionV>
            <wp:extent cx="68580"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-5956935</wp:posOffset>
            </wp:positionV>
            <wp:extent cx="68580" cy="1371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-5956935</wp:posOffset>
            </wp:positionV>
            <wp:extent cx="68580" cy="1371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-5956935</wp:posOffset>
            </wp:positionV>
            <wp:extent cx="68580" cy="13716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-5956935</wp:posOffset>
            </wp:positionV>
            <wp:extent cx="68580" cy="13716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-5099685</wp:posOffset>
            </wp:positionV>
            <wp:extent cx="77470" cy="1117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-5099685</wp:posOffset>
            </wp:positionV>
            <wp:extent cx="76835" cy="11176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-5099685</wp:posOffset>
            </wp:positionV>
            <wp:extent cx="68580" cy="11176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-5099685</wp:posOffset>
            </wp:positionV>
            <wp:extent cx="68580" cy="11176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-5099685</wp:posOffset>
            </wp:positionV>
            <wp:extent cx="68580" cy="11176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-5099685</wp:posOffset>
            </wp:positionV>
            <wp:extent cx="68580" cy="11176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-5099685</wp:posOffset>
            </wp:positionV>
            <wp:extent cx="68580" cy="1117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-4885690</wp:posOffset>
            </wp:positionV>
            <wp:extent cx="77470" cy="13716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-4885690</wp:posOffset>
            </wp:positionV>
            <wp:extent cx="76835" cy="13716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-4885690</wp:posOffset>
            </wp:positionV>
            <wp:extent cx="68580" cy="13716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-4885690</wp:posOffset>
            </wp:positionV>
            <wp:extent cx="68580" cy="13716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-4885690</wp:posOffset>
            </wp:positionV>
            <wp:extent cx="68580" cy="13716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-4885690</wp:posOffset>
            </wp:positionV>
            <wp:extent cx="68580" cy="1371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13716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-4131310</wp:posOffset>
            </wp:positionV>
            <wp:extent cx="77470" cy="13716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-4131310</wp:posOffset>
            </wp:positionV>
            <wp:extent cx="76835" cy="13716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-4131310</wp:posOffset>
            </wp:positionV>
            <wp:extent cx="68580" cy="13716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-4131310</wp:posOffset>
            </wp:positionV>
            <wp:extent cx="6858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-4131310</wp:posOffset>
            </wp:positionV>
            <wp:extent cx="68580" cy="137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-4131310</wp:posOffset>
            </wp:positionV>
            <wp:extent cx="68580" cy="13716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1371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-3891280</wp:posOffset>
            </wp:positionV>
            <wp:extent cx="4500245" cy="1289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500245" cy="12890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-3248025</wp:posOffset>
            </wp:positionV>
            <wp:extent cx="77470" cy="13716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-3248025</wp:posOffset>
            </wp:positionV>
            <wp:extent cx="76835" cy="13716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-3248025</wp:posOffset>
            </wp:positionV>
            <wp:extent cx="68580" cy="13716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-3248025</wp:posOffset>
            </wp:positionV>
            <wp:extent cx="68580" cy="1371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-3248025</wp:posOffset>
            </wp:positionV>
            <wp:extent cx="68580" cy="13716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-3248025</wp:posOffset>
            </wp:positionV>
            <wp:extent cx="68580" cy="13716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13716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-2802255</wp:posOffset>
            </wp:positionV>
            <wp:extent cx="77470" cy="11112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-2802255</wp:posOffset>
            </wp:positionV>
            <wp:extent cx="76835" cy="11112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-2802255</wp:posOffset>
            </wp:positionV>
            <wp:extent cx="68580" cy="11112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-2802255</wp:posOffset>
            </wp:positionV>
            <wp:extent cx="68580" cy="11112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-2802255</wp:posOffset>
            </wp:positionV>
            <wp:extent cx="68580" cy="11112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-2802255</wp:posOffset>
            </wp:positionV>
            <wp:extent cx="68580" cy="11112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1112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-2382520</wp:posOffset>
            </wp:positionV>
            <wp:extent cx="77470" cy="13716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-2382520</wp:posOffset>
            </wp:positionV>
            <wp:extent cx="76835" cy="13716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-2382520</wp:posOffset>
            </wp:positionV>
            <wp:extent cx="68580" cy="13716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-2382520</wp:posOffset>
            </wp:positionV>
            <wp:extent cx="68580" cy="13716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-2382520</wp:posOffset>
            </wp:positionV>
            <wp:extent cx="68580" cy="13716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-2382520</wp:posOffset>
            </wp:positionV>
            <wp:extent cx="68580" cy="13716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3716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-1517015</wp:posOffset>
            </wp:positionV>
            <wp:extent cx="4500245" cy="1289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4500245" cy="12890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-650875</wp:posOffset>
            </wp:positionV>
            <wp:extent cx="7747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-633730</wp:posOffset>
            </wp:positionV>
            <wp:extent cx="7747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-650875</wp:posOffset>
            </wp:positionV>
            <wp:extent cx="7683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-633730</wp:posOffset>
            </wp:positionV>
            <wp:extent cx="76835"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-650875</wp:posOffset>
            </wp:positionV>
            <wp:extent cx="6858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-633730</wp:posOffset>
            </wp:positionV>
            <wp:extent cx="6858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-650875</wp:posOffset>
            </wp:positionV>
            <wp:extent cx="6858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-633730</wp:posOffset>
            </wp:positionV>
            <wp:extent cx="6858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-650875</wp:posOffset>
            </wp:positionV>
            <wp:extent cx="6858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-633730</wp:posOffset>
            </wp:positionV>
            <wp:extent cx="6858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-650875</wp:posOffset>
            </wp:positionV>
            <wp:extent cx="685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-633730</wp:posOffset>
            </wp:positionV>
            <wp:extent cx="6858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tbl>
      <w:tblPr>
        <w:tblLayout w:type="fixed"/>
        <w:tblInd w:w="0" w:type="dxa"/>
        <w:tblCellMar>
          <w:top w:w="0" w:type="dxa"/>
          <w:left w:w="0" w:type="dxa"/>
          <w:bottom w:w="0" w:type="dxa"/>
          <w:right w:w="0" w:type="dxa"/>
        </w:tblCellMar>
      </w:tblPr>
      <w:tr>
        <w:trPr>
          <w:trHeight w:val="270"/>
        </w:trPr>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Table 3</w:t>
            </w:r>
          </w:p>
        </w:tc>
      </w:tr>
      <w:tr>
        <w:trPr>
          <w:trHeight w:val="300"/>
        </w:trPr>
        <w:tc>
          <w:tcPr>
            <w:tcW w:w="8060" w:type="dxa"/>
            <w:vAlign w:val="bottom"/>
            <w:gridSpan w:val="16"/>
          </w:tcPr>
          <w:p>
            <w:pPr>
              <w:spacing w:after="0"/>
              <w:rPr>
                <w:sz w:val="20"/>
                <w:szCs w:val="20"/>
                <w:color w:val="auto"/>
              </w:rPr>
            </w:pPr>
            <w:r>
              <w:rPr>
                <w:rFonts w:ascii="Times New Roman" w:cs="Times New Roman" w:eastAsia="Times New Roman" w:hAnsi="Times New Roman"/>
                <w:sz w:val="21"/>
                <w:szCs w:val="21"/>
                <w:color w:val="auto"/>
              </w:rPr>
              <w:t>AVERAGE BALANCE SHEETS AND ANNUALIZED TAXABLE-EQUIVALENT RATES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9"/>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2022 Third Quarter</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2022 Second Quarter</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w w:val="99"/>
              </w:rPr>
              <w:t>2022 First Quarter</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28"/>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0"/>
              </w:rPr>
              <w:t>Average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right"/>
              <w:ind w:right="15"/>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40" w:type="dxa"/>
            <w:vAlign w:val="bottom"/>
          </w:tcPr>
          <w:p>
            <w:pPr>
              <w:spacing w:after="0"/>
              <w:rPr>
                <w:sz w:val="11"/>
                <w:szCs w:val="11"/>
                <w:color w:val="auto"/>
              </w:rPr>
            </w:pPr>
          </w:p>
        </w:tc>
      </w:tr>
      <w:tr>
        <w:trPr>
          <w:trHeight w:val="183"/>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Rate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Rate</w:t>
            </w:r>
          </w:p>
        </w:tc>
        <w:tc>
          <w:tcPr>
            <w:tcW w:w="240" w:type="dxa"/>
            <w:vAlign w:val="bottom"/>
          </w:tcPr>
          <w:p>
            <w:pPr>
              <w:spacing w:after="0"/>
              <w:rPr>
                <w:sz w:val="15"/>
                <w:szCs w:val="15"/>
                <w:color w:val="auto"/>
              </w:rPr>
            </w:pPr>
          </w:p>
        </w:tc>
      </w:tr>
      <w:tr>
        <w:trPr>
          <w:trHeight w:val="142"/>
        </w:trPr>
        <w:tc>
          <w:tcPr>
            <w:tcW w:w="34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Average balance in millions; interest in thousands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74"/>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Earning assets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08"/>
        </w:trPr>
        <w:tc>
          <w:tcPr>
            <w:tcW w:w="34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Loans and leases, net of unearned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64"/>
        </w:trPr>
        <w:tc>
          <w:tcPr>
            <w:tcW w:w="3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discount (a)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5"/>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08"/>
        </w:trPr>
        <w:tc>
          <w:tcPr>
            <w:tcW w:w="3420" w:type="dxa"/>
            <w:vAlign w:val="bottom"/>
            <w:shd w:val="clear" w:color="auto" w:fill="CFF0FC"/>
          </w:tcPr>
          <w:p>
            <w:pPr>
              <w:ind w:left="160"/>
              <w:spacing w:after="0" w:line="108" w:lineRule="exact"/>
              <w:rPr>
                <w:sz w:val="20"/>
                <w:szCs w:val="20"/>
                <w:color w:val="auto"/>
              </w:rPr>
            </w:pPr>
            <w:r>
              <w:rPr>
                <w:rFonts w:ascii="Times New Roman" w:cs="Times New Roman" w:eastAsia="Times New Roman" w:hAnsi="Times New Roman"/>
                <w:sz w:val="12"/>
                <w:szCs w:val="12"/>
                <w:color w:val="auto"/>
              </w:rPr>
              <w:t>Commercial, financial, etc.</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207,71</w:t>
            </w: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r>
      <w:tr>
        <w:trPr>
          <w:trHeight w:val="189"/>
        </w:trPr>
        <w:tc>
          <w:tcPr>
            <w:tcW w:w="34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470,738</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37,818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373,543</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23,305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08"/>
        </w:trPr>
        <w:tc>
          <w:tcPr>
            <w:tcW w:w="34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Real estate – commercial</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337,10</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81"/>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531,225</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461,594</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34,957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240" w:type="dxa"/>
            <w:vAlign w:val="bottom"/>
          </w:tcPr>
          <w:p>
            <w:pPr>
              <w:spacing w:after="0"/>
              <w:rPr>
                <w:sz w:val="15"/>
                <w:szCs w:val="15"/>
                <w:color w:val="auto"/>
              </w:rPr>
            </w:pPr>
          </w:p>
        </w:tc>
      </w:tr>
      <w:tr>
        <w:trPr>
          <w:trHeight w:val="116"/>
        </w:trPr>
        <w:tc>
          <w:tcPr>
            <w:tcW w:w="3420" w:type="dxa"/>
            <w:vAlign w:val="bottom"/>
            <w:shd w:val="clear" w:color="auto" w:fill="CFF0FC"/>
          </w:tcPr>
          <w:p>
            <w:pPr>
              <w:ind w:left="160"/>
              <w:spacing w:after="0" w:line="116" w:lineRule="exact"/>
              <w:rPr>
                <w:sz w:val="20"/>
                <w:szCs w:val="20"/>
                <w:color w:val="auto"/>
              </w:rPr>
            </w:pPr>
            <w:r>
              <w:rPr>
                <w:rFonts w:ascii="Times New Roman" w:cs="Times New Roman" w:eastAsia="Times New Roman" w:hAnsi="Times New Roman"/>
                <w:sz w:val="13"/>
                <w:szCs w:val="13"/>
                <w:color w:val="auto"/>
              </w:rPr>
              <w:t>Real estate – consumer</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141,00</w:t>
            </w: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r>
      <w:tr>
        <w:trPr>
          <w:trHeight w:val="189"/>
        </w:trPr>
        <w:tc>
          <w:tcPr>
            <w:tcW w:w="3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22,962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220,464</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22,761</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207,080</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15,870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240" w:type="dxa"/>
            <w:vAlign w:val="bottom"/>
            <w:shd w:val="clear" w:color="auto" w:fill="CFF0FC"/>
          </w:tcPr>
          <w:p>
            <w:pPr>
              <w:spacing w:after="0"/>
              <w:rPr>
                <w:sz w:val="16"/>
                <w:szCs w:val="16"/>
                <w:color w:val="auto"/>
              </w:rPr>
            </w:pPr>
          </w:p>
        </w:tc>
      </w:tr>
      <w:tr>
        <w:trPr>
          <w:trHeight w:val="108"/>
        </w:trPr>
        <w:tc>
          <w:tcPr>
            <w:tcW w:w="3420" w:type="dxa"/>
            <w:vAlign w:val="bottom"/>
          </w:tcPr>
          <w:p>
            <w:pPr>
              <w:ind w:left="160"/>
              <w:spacing w:after="0" w:line="108" w:lineRule="exact"/>
              <w:rPr>
                <w:sz w:val="20"/>
                <w:szCs w:val="20"/>
                <w:color w:val="auto"/>
              </w:rPr>
            </w:pPr>
            <w:r>
              <w:rPr>
                <w:rFonts w:ascii="Times New Roman" w:cs="Times New Roman" w:eastAsia="Times New Roman" w:hAnsi="Times New Roman"/>
                <w:sz w:val="12"/>
                <w:szCs w:val="12"/>
                <w:color w:val="auto"/>
              </w:rPr>
              <w:t>Consumer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188,01</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183"/>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19,960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239,471</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19,793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210,290</w:t>
            </w: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18,027</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240" w:type="dxa"/>
            <w:vAlign w:val="bottom"/>
          </w:tcPr>
          <w:p>
            <w:pPr>
              <w:spacing w:after="0"/>
              <w:rPr>
                <w:sz w:val="15"/>
                <w:szCs w:val="15"/>
                <w:color w:val="auto"/>
              </w:rPr>
            </w:pPr>
          </w:p>
        </w:tc>
      </w:tr>
      <w:tr>
        <w:trPr>
          <w:trHeight w:val="108"/>
        </w:trPr>
        <w:tc>
          <w:tcPr>
            <w:tcW w:w="3420" w:type="dxa"/>
            <w:vAlign w:val="bottom"/>
            <w:shd w:val="clear" w:color="auto" w:fill="CFF0FC"/>
          </w:tcPr>
          <w:p>
            <w:pPr>
              <w:ind w:left="300"/>
              <w:spacing w:after="0" w:line="108" w:lineRule="exact"/>
              <w:rPr>
                <w:sz w:val="20"/>
                <w:szCs w:val="20"/>
                <w:color w:val="auto"/>
              </w:rPr>
            </w:pPr>
            <w:r>
              <w:rPr>
                <w:rFonts w:ascii="Times New Roman" w:cs="Times New Roman" w:eastAsia="Times New Roman" w:hAnsi="Times New Roman"/>
                <w:sz w:val="12"/>
                <w:szCs w:val="12"/>
                <w:color w:val="auto"/>
              </w:rPr>
              <w:t>Total loans and leases, net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873,83</w:t>
            </w: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r>
      <w:tr>
        <w:trPr>
          <w:trHeight w:val="183"/>
        </w:trPr>
        <w:tc>
          <w:tcPr>
            <w:tcW w:w="3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127,525</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1,461,898</w:t>
            </w:r>
          </w:p>
        </w:tc>
        <w:tc>
          <w:tcPr>
            <w:tcW w:w="2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127,599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1,252,507</w:t>
            </w:r>
          </w:p>
        </w:tc>
        <w:tc>
          <w:tcPr>
            <w:tcW w:w="22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92,159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40" w:type="dxa"/>
            <w:vAlign w:val="bottom"/>
            <w:tcBorders>
              <w:bottom w:val="single" w:sz="8" w:color="CFF0FC"/>
            </w:tcBorders>
            <w:shd w:val="clear" w:color="auto" w:fill="CFF0FC"/>
          </w:tcPr>
          <w:p>
            <w:pPr>
              <w:spacing w:after="0"/>
              <w:rPr>
                <w:sz w:val="15"/>
                <w:szCs w:val="15"/>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deposits at banks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172,956</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39,386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80,773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38,693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40" w:type="dxa"/>
            <w:vAlign w:val="bottom"/>
          </w:tcPr>
          <w:p>
            <w:pPr>
              <w:spacing w:after="0"/>
              <w:rPr>
                <w:sz w:val="14"/>
                <w:szCs w:val="14"/>
                <w:color w:val="auto"/>
              </w:rPr>
            </w:pPr>
          </w:p>
        </w:tc>
      </w:tr>
      <w:tr>
        <w:trPr>
          <w:trHeight w:val="108"/>
        </w:trPr>
        <w:tc>
          <w:tcPr>
            <w:tcW w:w="34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Federal funds sold and agreements</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r>
      <w:tr>
        <w:trPr>
          <w:trHeight w:val="189"/>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to resell securities</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40" w:type="dxa"/>
            <w:vAlign w:val="bottom"/>
            <w:shd w:val="clear" w:color="auto" w:fill="CFF0FC"/>
          </w:tcPr>
          <w:p>
            <w:pPr>
              <w:spacing w:after="0"/>
              <w:rPr>
                <w:sz w:val="16"/>
                <w:szCs w:val="16"/>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Trading account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40" w:type="dxa"/>
            <w:vAlign w:val="bottom"/>
          </w:tcPr>
          <w:p>
            <w:pPr>
              <w:spacing w:after="0"/>
              <w:rPr>
                <w:sz w:val="14"/>
                <w:szCs w:val="14"/>
                <w:color w:val="auto"/>
              </w:rPr>
            </w:pPr>
          </w:p>
        </w:tc>
      </w:tr>
      <w:tr>
        <w:trPr>
          <w:trHeight w:val="16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 (b)</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U.S. Treasury and federal agencies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124,084</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109,755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35,911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40" w:type="dxa"/>
            <w:vAlign w:val="bottom"/>
          </w:tcPr>
          <w:p>
            <w:pPr>
              <w:spacing w:after="0"/>
              <w:rPr>
                <w:sz w:val="14"/>
                <w:szCs w:val="14"/>
                <w:color w:val="auto"/>
              </w:rPr>
            </w:pPr>
          </w:p>
        </w:tc>
      </w:tr>
      <w:tr>
        <w:trPr>
          <w:trHeight w:val="162"/>
        </w:trPr>
        <w:tc>
          <w:tcPr>
            <w:tcW w:w="3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Obligations of states and political subdivisions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23,626</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23,344</w:t>
            </w: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40" w:type="dxa"/>
            <w:vAlign w:val="bottom"/>
            <w:shd w:val="clear" w:color="auto" w:fill="CFF0FC"/>
          </w:tcPr>
          <w:p>
            <w:pPr>
              <w:spacing w:after="0"/>
              <w:rPr>
                <w:sz w:val="14"/>
                <w:szCs w:val="14"/>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10,152</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9,037</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40" w:type="dxa"/>
            <w:vAlign w:val="bottom"/>
          </w:tcPr>
          <w:p>
            <w:pPr>
              <w:spacing w:after="0"/>
              <w:rPr>
                <w:sz w:val="14"/>
                <w:szCs w:val="14"/>
                <w:color w:val="auto"/>
              </w:rPr>
            </w:pPr>
          </w:p>
        </w:tc>
      </w:tr>
      <w:tr>
        <w:trPr>
          <w:trHeight w:val="156"/>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23,945</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157,862</w:t>
            </w:r>
          </w:p>
        </w:tc>
        <w:tc>
          <w:tcPr>
            <w:tcW w:w="2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22,384</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142,136</w:t>
            </w: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7,724</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39,183</w:t>
            </w:r>
          </w:p>
        </w:tc>
        <w:tc>
          <w:tcPr>
            <w:tcW w:w="22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40" w:type="dxa"/>
            <w:vAlign w:val="bottom"/>
            <w:tcBorders>
              <w:bottom w:val="single" w:sz="8" w:color="CFF0FC"/>
            </w:tcBorders>
            <w:shd w:val="clear" w:color="auto" w:fill="CFF0FC"/>
          </w:tcPr>
          <w:p>
            <w:pPr>
              <w:spacing w:after="0"/>
              <w:rPr>
                <w:sz w:val="13"/>
                <w:szCs w:val="13"/>
                <w:color w:val="auto"/>
              </w:rPr>
            </w:pPr>
          </w:p>
        </w:tc>
      </w:tr>
      <w:tr>
        <w:trPr>
          <w:trHeight w:val="101"/>
        </w:trPr>
        <w:tc>
          <w:tcPr>
            <w:tcW w:w="3420" w:type="dxa"/>
            <w:vAlign w:val="bottom"/>
          </w:tcPr>
          <w:p>
            <w:pPr>
              <w:ind w:left="300"/>
              <w:spacing w:after="0" w:line="102" w:lineRule="exact"/>
              <w:rPr>
                <w:sz w:val="20"/>
                <w:szCs w:val="20"/>
                <w:color w:val="auto"/>
              </w:rPr>
            </w:pPr>
            <w:r>
              <w:rPr>
                <w:rFonts w:ascii="Times New Roman" w:cs="Times New Roman" w:eastAsia="Times New Roman" w:hAnsi="Times New Roman"/>
                <w:sz w:val="10"/>
                <w:szCs w:val="10"/>
                <w:b w:val="1"/>
                <w:bCs w:val="1"/>
                <w:color w:val="auto"/>
              </w:rPr>
              <w:t>Total earning assets</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931,49</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83"/>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182,382</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1,793,340</w:t>
            </w:r>
          </w:p>
        </w:tc>
        <w:tc>
          <w:tcPr>
            <w:tcW w:w="24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189,755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1,475,868</w:t>
            </w:r>
          </w:p>
        </w:tc>
        <w:tc>
          <w:tcPr>
            <w:tcW w:w="2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138,624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40" w:type="dxa"/>
            <w:vAlign w:val="bottom"/>
          </w:tcPr>
          <w:p>
            <w:pPr>
              <w:spacing w:after="0"/>
              <w:rPr>
                <w:sz w:val="15"/>
                <w:szCs w:val="15"/>
                <w:color w:val="auto"/>
              </w:rPr>
            </w:pPr>
          </w:p>
        </w:tc>
      </w:tr>
      <w:tr>
        <w:trPr>
          <w:trHeight w:val="16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24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22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22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due from banks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18,609</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19,234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13,051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55"/>
        </w:trPr>
        <w:tc>
          <w:tcPr>
            <w:tcW w:w="34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3"/>
        </w:trPr>
        <w:tc>
          <w:tcPr>
            <w:tcW w:w="34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Interest-bearing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62"/>
        </w:trPr>
        <w:tc>
          <w:tcPr>
            <w:tcW w:w="3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Savings and interest-checking deposits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68,690</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27,907</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67,267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240" w:type="dxa"/>
            <w:vAlign w:val="bottom"/>
          </w:tcPr>
          <w:p>
            <w:pPr>
              <w:spacing w:after="0"/>
              <w:rPr>
                <w:sz w:val="14"/>
                <w:szCs w:val="14"/>
                <w:color w:val="auto"/>
              </w:rPr>
            </w:pPr>
          </w:p>
        </w:tc>
      </w:tr>
      <w:tr>
        <w:trPr>
          <w:trHeight w:val="162"/>
        </w:trPr>
        <w:tc>
          <w:tcPr>
            <w:tcW w:w="3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5,050</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1,124</w:t>
            </w:r>
          </w:p>
        </w:tc>
        <w:tc>
          <w:tcPr>
            <w:tcW w:w="2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1,227</w:t>
            </w: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2,647</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40" w:type="dxa"/>
            <w:vAlign w:val="bottom"/>
            <w:tcBorders>
              <w:bottom w:val="single" w:sz="8" w:color="CFF0FC"/>
            </w:tcBorders>
            <w:shd w:val="clear" w:color="auto" w:fill="CFF0FC"/>
          </w:tcPr>
          <w:p>
            <w:pPr>
              <w:spacing w:after="0"/>
              <w:rPr>
                <w:sz w:val="14"/>
                <w:szCs w:val="14"/>
                <w:color w:val="auto"/>
              </w:rPr>
            </w:pPr>
          </w:p>
        </w:tc>
      </w:tr>
      <w:tr>
        <w:trPr>
          <w:trHeight w:val="156"/>
        </w:trPr>
        <w:tc>
          <w:tcPr>
            <w:tcW w:w="34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94,410</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69,814</w:t>
            </w:r>
          </w:p>
        </w:tc>
        <w:tc>
          <w:tcPr>
            <w:tcW w:w="2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100,629</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29,134</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69,914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8,144</w:t>
            </w:r>
          </w:p>
        </w:tc>
        <w:tc>
          <w:tcPr>
            <w:tcW w:w="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240" w:type="dxa"/>
            <w:vAlign w:val="bottom"/>
          </w:tcPr>
          <w:p>
            <w:pPr>
              <w:spacing w:after="0"/>
              <w:rPr>
                <w:sz w:val="13"/>
                <w:szCs w:val="13"/>
                <w:color w:val="auto"/>
              </w:rPr>
            </w:pPr>
          </w:p>
        </w:tc>
      </w:tr>
      <w:tr>
        <w:trPr>
          <w:trHeight w:val="155"/>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2,670</w:t>
            </w:r>
          </w:p>
        </w:tc>
        <w:tc>
          <w:tcPr>
            <w:tcW w:w="2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2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240" w:type="dxa"/>
            <w:vAlign w:val="bottom"/>
            <w:shd w:val="clear" w:color="auto" w:fill="CFF0FC"/>
          </w:tcPr>
          <w:p>
            <w:pPr>
              <w:spacing w:after="0"/>
              <w:rPr>
                <w:sz w:val="13"/>
                <w:szCs w:val="13"/>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borrowings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30,338</w:t>
            </w: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20,872</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15,937</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40" w:type="dxa"/>
            <w:vAlign w:val="bottom"/>
          </w:tcPr>
          <w:p>
            <w:pPr>
              <w:spacing w:after="0"/>
              <w:rPr>
                <w:sz w:val="14"/>
                <w:szCs w:val="14"/>
                <w:color w:val="auto"/>
              </w:rPr>
            </w:pPr>
          </w:p>
        </w:tc>
      </w:tr>
      <w:tr>
        <w:trPr>
          <w:trHeight w:val="156"/>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98,604</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102,822</w:t>
            </w:r>
          </w:p>
        </w:tc>
        <w:tc>
          <w:tcPr>
            <w:tcW w:w="2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105,037</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53,425</w:t>
            </w: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73,412</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24,082</w:t>
            </w:r>
          </w:p>
        </w:tc>
        <w:tc>
          <w:tcPr>
            <w:tcW w:w="22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Borders>
              <w:bottom w:val="single" w:sz="8" w:color="CFF0FC"/>
            </w:tcBorders>
            <w:shd w:val="clear" w:color="auto" w:fill="CFF0FC"/>
          </w:tcPr>
          <w:p>
            <w:pPr>
              <w:spacing w:after="0"/>
              <w:rPr>
                <w:sz w:val="13"/>
                <w:szCs w:val="13"/>
                <w:color w:val="auto"/>
              </w:rPr>
            </w:pPr>
          </w:p>
        </w:tc>
      </w:tr>
      <w:tr>
        <w:trPr>
          <w:trHeight w:val="155"/>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 deposits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58,141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62"/>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w:t>
            </w: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55"/>
        </w:trPr>
        <w:tc>
          <w:tcPr>
            <w:tcW w:w="34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175,466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182,775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133,754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5"/>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25,665</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26,090</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17,894</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r>
      <w:tr>
        <w:trPr>
          <w:trHeight w:val="155"/>
        </w:trPr>
        <w:tc>
          <w:tcPr>
            <w:tcW w:w="34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208,865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151,648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43"/>
        </w:trPr>
        <w:tc>
          <w:tcPr>
            <w:tcW w:w="342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color w:val="auto"/>
              </w:rPr>
              <w:t>Net interest spread</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3.49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2.92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3"/>
                <w:szCs w:val="13"/>
                <w:color w:val="auto"/>
              </w:rPr>
              <w:t>2.59</w:t>
            </w:r>
          </w:p>
        </w:tc>
        <w:tc>
          <w:tcPr>
            <w:tcW w:w="240" w:type="dxa"/>
            <w:vAlign w:val="bottom"/>
            <w:shd w:val="clear" w:color="auto" w:fill="CFF0FC"/>
          </w:tcPr>
          <w:p>
            <w:pPr>
              <w:spacing w:after="0"/>
              <w:rPr>
                <w:sz w:val="12"/>
                <w:szCs w:val="12"/>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Contribution of interest-free funds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40" w:type="dxa"/>
            <w:vAlign w:val="bottom"/>
          </w:tcPr>
          <w:p>
            <w:pPr>
              <w:spacing w:after="0"/>
              <w:rPr>
                <w:sz w:val="14"/>
                <w:szCs w:val="14"/>
                <w:color w:val="auto"/>
              </w:rPr>
            </w:pPr>
          </w:p>
        </w:tc>
      </w:tr>
      <w:tr>
        <w:trPr>
          <w:trHeight w:val="101"/>
        </w:trPr>
        <w:tc>
          <w:tcPr>
            <w:tcW w:w="3420" w:type="dxa"/>
            <w:vAlign w:val="bottom"/>
            <w:shd w:val="clear" w:color="auto" w:fill="CFF0FC"/>
          </w:tcPr>
          <w:p>
            <w:pPr>
              <w:ind w:left="20"/>
              <w:spacing w:after="0" w:line="102" w:lineRule="exact"/>
              <w:rPr>
                <w:sz w:val="20"/>
                <w:szCs w:val="20"/>
                <w:color w:val="auto"/>
              </w:rPr>
            </w:pPr>
            <w:r>
              <w:rPr>
                <w:rFonts w:ascii="Times New Roman" w:cs="Times New Roman" w:eastAsia="Times New Roman" w:hAnsi="Times New Roman"/>
                <w:sz w:val="10"/>
                <w:szCs w:val="10"/>
                <w:color w:val="auto"/>
              </w:rPr>
              <w:t>Net interest income/margin on earning assets</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4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0"/>
                <w:szCs w:val="10"/>
                <w:color w:val="auto"/>
              </w:rPr>
              <w:t>907,40</w:t>
            </w:r>
          </w:p>
        </w:tc>
        <w:tc>
          <w:tcPr>
            <w:tcW w:w="2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r>
      <w:tr>
        <w:trPr>
          <w:trHeight w:val="229"/>
        </w:trPr>
        <w:tc>
          <w:tcPr>
            <w:tcW w:w="3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1,690,518</w:t>
            </w:r>
          </w:p>
        </w:tc>
        <w:tc>
          <w:tcPr>
            <w:tcW w:w="2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1,422,443</w:t>
            </w:r>
          </w:p>
        </w:tc>
        <w:tc>
          <w:tcPr>
            <w:tcW w:w="2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-3531235</wp:posOffset>
            </wp:positionV>
            <wp:extent cx="76835" cy="11176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-3531235</wp:posOffset>
            </wp:positionV>
            <wp:extent cx="77470" cy="11176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-3531235</wp:posOffset>
            </wp:positionV>
            <wp:extent cx="77470" cy="11176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-3531235</wp:posOffset>
            </wp:positionV>
            <wp:extent cx="76835" cy="11176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-3531235</wp:posOffset>
            </wp:positionV>
            <wp:extent cx="68580" cy="11176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-3531235</wp:posOffset>
            </wp:positionV>
            <wp:extent cx="68580" cy="11176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-3531235</wp:posOffset>
            </wp:positionV>
            <wp:extent cx="68580" cy="11176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-3531235</wp:posOffset>
            </wp:positionV>
            <wp:extent cx="68580" cy="11176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-3531235</wp:posOffset>
            </wp:positionV>
            <wp:extent cx="68580" cy="11176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-2605405</wp:posOffset>
            </wp:positionV>
            <wp:extent cx="76835" cy="2057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-2605405</wp:posOffset>
            </wp:positionV>
            <wp:extent cx="77470" cy="2057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-2605405</wp:posOffset>
            </wp:positionV>
            <wp:extent cx="77470" cy="2057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7470" cy="20574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-2605405</wp:posOffset>
            </wp:positionV>
            <wp:extent cx="76835" cy="2057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-2605405</wp:posOffset>
            </wp:positionV>
            <wp:extent cx="68580" cy="2057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-2605405</wp:posOffset>
            </wp:positionV>
            <wp:extent cx="68580" cy="2057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-2605405</wp:posOffset>
            </wp:positionV>
            <wp:extent cx="68580" cy="2057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-2605405</wp:posOffset>
            </wp:positionV>
            <wp:extent cx="68580" cy="2057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-2605405</wp:posOffset>
            </wp:positionV>
            <wp:extent cx="68580" cy="2057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-2091055</wp:posOffset>
            </wp:positionV>
            <wp:extent cx="76835" cy="13716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-2091055</wp:posOffset>
            </wp:positionV>
            <wp:extent cx="76835" cy="13716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-2091055</wp:posOffset>
            </wp:positionV>
            <wp:extent cx="68580" cy="13716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-1439545</wp:posOffset>
            </wp:positionV>
            <wp:extent cx="76835" cy="12001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-1439545</wp:posOffset>
            </wp:positionV>
            <wp:extent cx="77470" cy="12001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-1439545</wp:posOffset>
            </wp:positionV>
            <wp:extent cx="77470" cy="12001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-1439545</wp:posOffset>
            </wp:positionV>
            <wp:extent cx="76835" cy="12001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-1439545</wp:posOffset>
            </wp:positionV>
            <wp:extent cx="68580" cy="1200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-1439545</wp:posOffset>
            </wp:positionV>
            <wp:extent cx="68580" cy="1200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-1439545</wp:posOffset>
            </wp:positionV>
            <wp:extent cx="68580" cy="1200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-1439545</wp:posOffset>
            </wp:positionV>
            <wp:extent cx="68580" cy="1200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-1439545</wp:posOffset>
            </wp:positionV>
            <wp:extent cx="68580" cy="1200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-1002030</wp:posOffset>
            </wp:positionV>
            <wp:extent cx="76835" cy="11112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-1002030</wp:posOffset>
            </wp:positionV>
            <wp:extent cx="77470" cy="11112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-1002030</wp:posOffset>
            </wp:positionV>
            <wp:extent cx="77470" cy="11112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-1002030</wp:posOffset>
            </wp:positionV>
            <wp:extent cx="76835" cy="11112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-1002030</wp:posOffset>
            </wp:positionV>
            <wp:extent cx="68580" cy="11112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-1002030</wp:posOffset>
            </wp:positionV>
            <wp:extent cx="68580" cy="11112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-1002030</wp:posOffset>
            </wp:positionV>
            <wp:extent cx="68580" cy="11112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-1002030</wp:posOffset>
            </wp:positionV>
            <wp:extent cx="68580" cy="11112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-1002030</wp:posOffset>
            </wp:positionV>
            <wp:extent cx="68580" cy="11112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-788035</wp:posOffset>
            </wp:positionV>
            <wp:extent cx="76835" cy="1200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-788035</wp:posOffset>
            </wp:positionV>
            <wp:extent cx="76835" cy="1200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-788035</wp:posOffset>
            </wp:positionV>
            <wp:extent cx="68580" cy="1200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-565150</wp:posOffset>
            </wp:positionV>
            <wp:extent cx="76835" cy="13716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-565150</wp:posOffset>
            </wp:positionV>
            <wp:extent cx="76835" cy="13716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-565150</wp:posOffset>
            </wp:positionV>
            <wp:extent cx="68580" cy="13716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-24765</wp:posOffset>
            </wp:positionV>
            <wp:extent cx="7747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7747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685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6858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6858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1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(continued)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color w:val="auto"/>
        </w:rPr>
        <w:t>M&amp;T BANK CORPORATION AND SUBSIDIARIES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w w:val="97"/>
              </w:rPr>
              <w:t>Table 3 (continued)</w:t>
            </w:r>
          </w:p>
        </w:tc>
        <w:tc>
          <w:tcPr>
            <w:tcW w:w="0" w:type="dxa"/>
            <w:vAlign w:val="bottom"/>
          </w:tcPr>
          <w:p>
            <w:pPr>
              <w:spacing w:after="0"/>
              <w:rPr>
                <w:sz w:val="1"/>
                <w:szCs w:val="1"/>
                <w:color w:val="auto"/>
              </w:rPr>
            </w:pPr>
          </w:p>
        </w:tc>
      </w:tr>
      <w:tr>
        <w:trPr>
          <w:trHeight w:val="324"/>
        </w:trPr>
        <w:tc>
          <w:tcPr>
            <w:tcW w:w="8820" w:type="dxa"/>
            <w:vAlign w:val="bottom"/>
            <w:gridSpan w:val="16"/>
          </w:tcPr>
          <w:p>
            <w:pPr>
              <w:spacing w:after="0"/>
              <w:rPr>
                <w:sz w:val="20"/>
                <w:szCs w:val="20"/>
                <w:color w:val="auto"/>
              </w:rPr>
            </w:pPr>
            <w:r>
              <w:rPr>
                <w:rFonts w:ascii="Times New Roman" w:cs="Times New Roman" w:eastAsia="Times New Roman" w:hAnsi="Times New Roman"/>
                <w:sz w:val="21"/>
                <w:szCs w:val="21"/>
                <w:color w:val="auto"/>
                <w:w w:val="98"/>
              </w:rPr>
              <w:t>AVERAGE BALANCE SHEETS AND ANNUALIZED TAXABLE-EQUIVALENT RATES (continued)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2021 Fourth Quarter</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1021"/>
              <w:spacing w:after="0"/>
              <w:rPr>
                <w:sz w:val="20"/>
                <w:szCs w:val="20"/>
                <w:color w:val="auto"/>
              </w:rPr>
            </w:pPr>
            <w:r>
              <w:rPr>
                <w:rFonts w:ascii="Times New Roman" w:cs="Times New Roman" w:eastAsia="Times New Roman" w:hAnsi="Times New Roman"/>
                <w:sz w:val="14"/>
                <w:szCs w:val="14"/>
                <w:b w:val="1"/>
                <w:bCs w:val="1"/>
                <w:color w:val="auto"/>
              </w:rPr>
              <w:t>2021 Third Quarter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1060" w:type="dxa"/>
            <w:vAlign w:val="bottom"/>
          </w:tcPr>
          <w:p>
            <w:pPr>
              <w:jc w:val="right"/>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Rate</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340" w:type="dxa"/>
            <w:vAlign w:val="bottom"/>
            <w:tcBorders>
              <w:top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Average balance in millions; interest in thousands</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 assets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Loans and leases, net of unearned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discount (a)</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Commercial, financial, etc.</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22,330</w:t>
            </w: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205,491</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23,730</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236,820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Real estate – commercial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364,795</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371,150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 consumer</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143,675</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16,379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146,898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Consumer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194,619</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loans and leases, net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93,250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908,580</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95,314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948,124</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 at banks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Federal funds sold and agreements</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 resell securities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account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(b)</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U.S. Treasury and federal agencies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Obligations of states and political</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subdivisions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36,315</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33,258</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 earning assets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962,081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996,649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banks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13,340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13,714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Savings and interest-checking deposits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70,518</w:t>
            </w:r>
          </w:p>
        </w:tc>
        <w:tc>
          <w:tcPr>
            <w:tcW w:w="10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70,976</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9,411</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76,931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24,725</w:t>
            </w: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77,559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25,696</w:t>
            </w: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spread</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of interest-free funds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interest income/margin on earning assets</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937,356</w:t>
            </w:r>
          </w:p>
        </w:tc>
        <w:tc>
          <w:tcPr>
            <w:tcW w:w="2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970,953</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-4251325</wp:posOffset>
            </wp:positionV>
            <wp:extent cx="76835" cy="13716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-4251325</wp:posOffset>
            </wp:positionV>
            <wp:extent cx="77470" cy="13716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-4251325</wp:posOffset>
            </wp:positionV>
            <wp:extent cx="68580" cy="13716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-4251325</wp:posOffset>
            </wp:positionV>
            <wp:extent cx="68580" cy="13716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-4251325</wp:posOffset>
            </wp:positionV>
            <wp:extent cx="68580" cy="13716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-4251325</wp:posOffset>
            </wp:positionV>
            <wp:extent cx="68580" cy="13716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-2999740</wp:posOffset>
            </wp:positionV>
            <wp:extent cx="76835" cy="1460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-2999740</wp:posOffset>
            </wp:positionV>
            <wp:extent cx="77470" cy="1460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-2999740</wp:posOffset>
            </wp:positionV>
            <wp:extent cx="68580" cy="1460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-2999740</wp:posOffset>
            </wp:positionV>
            <wp:extent cx="68580" cy="1460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-2999740</wp:posOffset>
            </wp:positionV>
            <wp:extent cx="68580" cy="1460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-2999740</wp:posOffset>
            </wp:positionV>
            <wp:extent cx="68580" cy="1460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-2468245</wp:posOffset>
            </wp:positionV>
            <wp:extent cx="76835" cy="16256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-2468245</wp:posOffset>
            </wp:positionV>
            <wp:extent cx="68580" cy="16256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-1662430</wp:posOffset>
            </wp:positionV>
            <wp:extent cx="76835" cy="1460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-1662430</wp:posOffset>
            </wp:positionV>
            <wp:extent cx="77470" cy="1460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-1662430</wp:posOffset>
            </wp:positionV>
            <wp:extent cx="68580" cy="1460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-1662430</wp:posOffset>
            </wp:positionV>
            <wp:extent cx="68580" cy="14605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-1662430</wp:posOffset>
            </wp:positionV>
            <wp:extent cx="68580" cy="14605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-1662430</wp:posOffset>
            </wp:positionV>
            <wp:extent cx="68580" cy="14605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-1122045</wp:posOffset>
            </wp:positionV>
            <wp:extent cx="76835" cy="13716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-1122045</wp:posOffset>
            </wp:positionV>
            <wp:extent cx="77470" cy="13716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-1122045</wp:posOffset>
            </wp:positionV>
            <wp:extent cx="68580" cy="13716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-1122045</wp:posOffset>
            </wp:positionV>
            <wp:extent cx="68580" cy="13716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-1122045</wp:posOffset>
            </wp:positionV>
            <wp:extent cx="68580" cy="13716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-1122045</wp:posOffset>
            </wp:positionV>
            <wp:extent cx="68580" cy="13716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-856615</wp:posOffset>
            </wp:positionV>
            <wp:extent cx="76835" cy="1460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-856615</wp:posOffset>
            </wp:positionV>
            <wp:extent cx="68580" cy="1460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-582295</wp:posOffset>
            </wp:positionV>
            <wp:extent cx="76835" cy="16319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-582295</wp:posOffset>
            </wp:positionV>
            <wp:extent cx="68580" cy="16319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6858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6858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6858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nonaccrual loans.</w:t>
      </w:r>
    </w:p>
    <w:p>
      <w:pPr>
        <w:spacing w:after="0" w:line="29" w:lineRule="exact"/>
        <w:rPr>
          <w:rFonts w:ascii="Times New Roman" w:cs="Times New Roman" w:eastAsia="Times New Roman" w:hAnsi="Times New Roman"/>
          <w:sz w:val="14"/>
          <w:szCs w:val="14"/>
          <w:i w:val="1"/>
          <w:iCs w:val="1"/>
          <w:color w:val="auto"/>
        </w:rPr>
      </w:pPr>
    </w:p>
    <w:p>
      <w:pPr>
        <w:ind w:left="520" w:hanging="512"/>
        <w:spacing w:after="0"/>
        <w:tabs>
          <w:tab w:leader="none" w:pos="52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available-for-sale securities at amortized cost.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8" w:name="page89"/>
    <w:bookmarkEnd w:id="88"/>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p>
    <w:p>
      <w:pPr>
        <w:spacing w:after="0" w:line="110" w:lineRule="exact"/>
        <w:rPr>
          <w:sz w:val="20"/>
          <w:szCs w:val="20"/>
          <w:color w:val="auto"/>
        </w:rPr>
      </w:pPr>
    </w:p>
    <w:p>
      <w:pPr>
        <w:ind w:firstLine="469"/>
        <w:spacing w:after="0" w:line="270" w:lineRule="auto"/>
        <w:rPr>
          <w:sz w:val="20"/>
          <w:szCs w:val="20"/>
          <w:color w:val="auto"/>
        </w:rPr>
      </w:pPr>
      <w:r>
        <w:rPr>
          <w:rFonts w:ascii="Times New Roman" w:cs="Times New Roman" w:eastAsia="Times New Roman" w:hAnsi="Times New Roman"/>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Controls and Procedures.</w:t>
      </w:r>
    </w:p>
    <w:p>
      <w:pPr>
        <w:spacing w:after="0" w:line="96" w:lineRule="exact"/>
        <w:rPr>
          <w:sz w:val="20"/>
          <w:szCs w:val="20"/>
          <w:color w:val="auto"/>
        </w:rPr>
      </w:pPr>
    </w:p>
    <w:p>
      <w:pPr>
        <w:jc w:val="both"/>
        <w:ind w:firstLine="477"/>
        <w:spacing w:after="0" w:line="246" w:lineRule="auto"/>
        <w:tabs>
          <w:tab w:leader="none" w:pos="78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Senior Executive Vice President and Chief Financial Officer, concluded that M&amp;T’s disclosure controls and procedures were effective as of September 30, 2022.</w:t>
      </w:r>
    </w:p>
    <w:p>
      <w:pPr>
        <w:spacing w:after="0" w:line="170" w:lineRule="exact"/>
        <w:rPr>
          <w:rFonts w:ascii="Times New Roman" w:cs="Times New Roman" w:eastAsia="Times New Roman" w:hAnsi="Times New Roman"/>
          <w:sz w:val="21"/>
          <w:szCs w:val="21"/>
          <w:color w:val="auto"/>
        </w:rPr>
      </w:pPr>
    </w:p>
    <w:p>
      <w:pPr>
        <w:jc w:val="both"/>
        <w:ind w:firstLine="477"/>
        <w:spacing w:after="0"/>
        <w:tabs>
          <w:tab w:leader="none" w:pos="80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2022 that have materially affected, or are reasonably likely to materially affect, M&amp;T’s internal control over financial reporting. Management has excluded processes and controls of People’s United from its assessment of internal control over financial reporting for the quarter ended September 30, 2022. Assets and liabilities associated with the People's United transaction that have not yet been converted to M&amp;T's systems or processes as of September 30, 2022 include loans and leases of $5.5 billion, other assets of $106 million and other liabilities of $170 million. Approximately $94 million and $182 million of total revenues for the three and six months ended September 30, 2022, respectively, was contributed from business activities of People's United that have not yet been converted to M&amp;T's systems or processes.</w:t>
      </w:r>
    </w:p>
    <w:p>
      <w:pPr>
        <w:spacing w:after="0" w:line="178"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1"/>
          <w:szCs w:val="21"/>
          <w:color w:val="auto"/>
        </w:rPr>
        <w:t>PART II. OTHER INFORMATION</w:t>
      </w: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1.</w:t>
      </w:r>
      <w:r>
        <w:rPr>
          <w:sz w:val="20"/>
          <w:szCs w:val="20"/>
          <w:color w:val="auto"/>
        </w:rPr>
        <w:tab/>
      </w:r>
      <w:r>
        <w:rPr>
          <w:rFonts w:ascii="Times New Roman" w:cs="Times New Roman" w:eastAsia="Times New Roman" w:hAnsi="Times New Roman"/>
          <w:sz w:val="20"/>
          <w:szCs w:val="20"/>
          <w:color w:val="auto"/>
        </w:rPr>
        <w:t>Legal Proceedings.</w:t>
      </w:r>
    </w:p>
    <w:p>
      <w:pPr>
        <w:spacing w:after="0" w:line="110" w:lineRule="exact"/>
        <w:rPr>
          <w:sz w:val="20"/>
          <w:szCs w:val="20"/>
          <w:color w:val="auto"/>
        </w:rPr>
      </w:pPr>
    </w:p>
    <w:p>
      <w:pPr>
        <w:jc w:val="both"/>
        <w:ind w:firstLine="569"/>
        <w:spacing w:after="0"/>
        <w:rPr>
          <w:sz w:val="20"/>
          <w:szCs w:val="20"/>
          <w:color w:val="auto"/>
        </w:rPr>
      </w:pPr>
      <w:r>
        <w:rPr>
          <w:rFonts w:ascii="Times New Roman" w:cs="Times New Roman" w:eastAsia="Times New Roman" w:hAnsi="Times New Roman"/>
          <w:sz w:val="21"/>
          <w:szCs w:val="21"/>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as of September 30, 2022.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1A. Risk Factors.</w:t>
      </w:r>
    </w:p>
    <w:p>
      <w:pPr>
        <w:spacing w:after="0" w:line="110" w:lineRule="exact"/>
        <w:rPr>
          <w:sz w:val="20"/>
          <w:szCs w:val="20"/>
          <w:color w:val="auto"/>
        </w:rPr>
      </w:pPr>
    </w:p>
    <w:p>
      <w:pPr>
        <w:jc w:val="both"/>
        <w:ind w:firstLine="562"/>
        <w:spacing w:after="0" w:line="270" w:lineRule="auto"/>
        <w:rPr>
          <w:sz w:val="20"/>
          <w:szCs w:val="20"/>
          <w:color w:val="auto"/>
        </w:rPr>
      </w:pPr>
      <w:r>
        <w:rPr>
          <w:rFonts w:ascii="Times New Roman" w:cs="Times New Roman" w:eastAsia="Times New Roman" w:hAnsi="Times New Roman"/>
          <w:sz w:val="21"/>
          <w:szCs w:val="21"/>
          <w:color w:val="auto"/>
        </w:rPr>
        <w:t>There have been no material changes in risk factors relating to M&amp;T to those disclosed in response to Item 1A. to Part I of Form 10-K for the year ended December 31, 2021.</w:t>
      </w:r>
    </w:p>
    <w:p>
      <w:pPr>
        <w:spacing w:after="0" w:line="1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2.</w:t>
      </w:r>
      <w:r>
        <w:rPr>
          <w:sz w:val="20"/>
          <w:szCs w:val="20"/>
          <w:color w:val="auto"/>
        </w:rPr>
        <w:tab/>
      </w:r>
      <w:r>
        <w:rPr>
          <w:rFonts w:ascii="Times New Roman" w:cs="Times New Roman" w:eastAsia="Times New Roman" w:hAnsi="Times New Roman"/>
          <w:sz w:val="20"/>
          <w:szCs w:val="20"/>
          <w:color w:val="auto"/>
        </w:rPr>
        <w:t>Unregistered Sales of Equity Securities and Use of Proceeds.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 – (b) Not applicable.</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(c)</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(c)Total</w:t>
            </w:r>
          </w:p>
        </w:tc>
        <w:tc>
          <w:tcPr>
            <w:tcW w:w="220" w:type="dxa"/>
            <w:vAlign w:val="bottom"/>
          </w:tcPr>
          <w:p>
            <w:pPr>
              <w:spacing w:after="0"/>
              <w:rPr>
                <w:sz w:val="11"/>
                <w:szCs w:val="11"/>
                <w:color w:val="auto"/>
              </w:rPr>
            </w:pPr>
          </w:p>
        </w:tc>
        <w:tc>
          <w:tcPr>
            <w:tcW w:w="1360" w:type="dxa"/>
            <w:vAlign w:val="bottom"/>
          </w:tcPr>
          <w:p>
            <w:pPr>
              <w:jc w:val="center"/>
              <w:ind w:right="164"/>
              <w:spacing w:after="0" w:line="131" w:lineRule="exact"/>
              <w:rPr>
                <w:sz w:val="20"/>
                <w:szCs w:val="20"/>
                <w:color w:val="auto"/>
              </w:rPr>
            </w:pPr>
            <w:r>
              <w:rPr>
                <w:rFonts w:ascii="Times New Roman" w:cs="Times New Roman" w:eastAsia="Times New Roman" w:hAnsi="Times New Roman"/>
                <w:sz w:val="14"/>
                <w:szCs w:val="14"/>
                <w:b w:val="1"/>
                <w:bCs w:val="1"/>
                <w:color w:val="auto"/>
              </w:rPr>
              <w:t>(d)Maximum</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4"/>
                <w:szCs w:val="14"/>
                <w:color w:val="auto"/>
              </w:rPr>
            </w:pPr>
          </w:p>
        </w:tc>
        <w:tc>
          <w:tcPr>
            <w:tcW w:w="13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36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2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220" w:type="dxa"/>
            <w:vAlign w:val="bottom"/>
          </w:tcPr>
          <w:p>
            <w:pPr>
              <w:spacing w:after="0"/>
              <w:rPr>
                <w:sz w:val="12"/>
                <w:szCs w:val="12"/>
                <w:color w:val="auto"/>
              </w:rPr>
            </w:pPr>
          </w:p>
        </w:tc>
        <w:tc>
          <w:tcPr>
            <w:tcW w:w="1360" w:type="dxa"/>
            <w:vAlign w:val="bottom"/>
          </w:tcPr>
          <w:p>
            <w:pPr>
              <w:jc w:val="center"/>
              <w:ind w:right="164"/>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(b)Average</w:t>
            </w:r>
          </w:p>
        </w:tc>
        <w:tc>
          <w:tcPr>
            <w:tcW w:w="2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220" w:type="dxa"/>
            <w:vAlign w:val="bottom"/>
          </w:tcPr>
          <w:p>
            <w:pPr>
              <w:spacing w:after="0"/>
              <w:rPr>
                <w:sz w:val="14"/>
                <w:szCs w:val="14"/>
                <w:color w:val="auto"/>
              </w:rPr>
            </w:pPr>
          </w:p>
        </w:tc>
        <w:tc>
          <w:tcPr>
            <w:tcW w:w="136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be Purchased</w:t>
            </w: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20" w:type="dxa"/>
            <w:vAlign w:val="bottom"/>
          </w:tcPr>
          <w:p>
            <w:pPr>
              <w:spacing w:after="0"/>
              <w:rPr>
                <w:sz w:val="12"/>
                <w:szCs w:val="12"/>
                <w:color w:val="auto"/>
              </w:rPr>
            </w:pPr>
          </w:p>
        </w:tc>
        <w:tc>
          <w:tcPr>
            <w:tcW w:w="136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220" w:type="dxa"/>
            <w:vAlign w:val="bottom"/>
          </w:tcPr>
          <w:p>
            <w:pPr>
              <w:spacing w:after="0"/>
              <w:rPr>
                <w:sz w:val="12"/>
                <w:szCs w:val="12"/>
                <w:color w:val="auto"/>
              </w:rPr>
            </w:pPr>
          </w:p>
        </w:tc>
        <w:tc>
          <w:tcPr>
            <w:tcW w:w="13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20" w:type="dxa"/>
            <w:vAlign w:val="bottom"/>
          </w:tcPr>
          <w:p>
            <w:pPr>
              <w:spacing w:after="0"/>
              <w:rPr>
                <w:sz w:val="15"/>
                <w:szCs w:val="15"/>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5"/>
                <w:szCs w:val="15"/>
                <w:color w:val="auto"/>
              </w:rPr>
            </w:pPr>
          </w:p>
        </w:tc>
        <w:tc>
          <w:tcPr>
            <w:tcW w:w="136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 July 31, 2022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275,689</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2,952,688,995</w:t>
            </w:r>
          </w:p>
        </w:tc>
        <w:tc>
          <w:tcPr>
            <w:tcW w:w="80" w:type="dxa"/>
            <w:vAlign w:val="bottom"/>
            <w:shd w:val="clear" w:color="auto" w:fill="CFF0FC"/>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1 - August 31,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1,754,105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2,631,148,585</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2022</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1,265,647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1,257,449</w:t>
            </w: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2,400,000,142</w:t>
            </w:r>
          </w:p>
        </w:tc>
        <w:tc>
          <w:tcPr>
            <w:tcW w:w="80" w:type="dxa"/>
            <w:vAlign w:val="bottom"/>
            <w:tcBorders>
              <w:bottom w:val="single" w:sz="8" w:color="CFF0FC"/>
            </w:tcBorders>
            <w:shd w:val="clear" w:color="auto" w:fill="CFF0FC"/>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3,295,441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3,282,449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-316865</wp:posOffset>
            </wp:positionV>
            <wp:extent cx="60325" cy="17145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-316865</wp:posOffset>
            </wp:positionV>
            <wp:extent cx="60325" cy="17145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-316865</wp:posOffset>
            </wp:positionV>
            <wp:extent cx="51435" cy="17145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03" w:lineRule="exact"/>
        <w:rPr>
          <w:sz w:val="20"/>
          <w:szCs w:val="20"/>
          <w:color w:val="auto"/>
        </w:rPr>
      </w:pPr>
    </w:p>
    <w:p>
      <w:pPr>
        <w:jc w:val="both"/>
        <w:ind w:left="520" w:hanging="512"/>
        <w:spacing w:after="0" w:line="245" w:lineRule="auto"/>
        <w:tabs>
          <w:tab w:leader="none" w:pos="5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jc w:val="both"/>
        <w:ind w:left="520" w:hanging="512"/>
        <w:spacing w:after="0" w:line="239" w:lineRule="auto"/>
        <w:tabs>
          <w:tab w:leader="none" w:pos="5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July 2022, M&amp;T's Board of Directors authorized a program under which $3.0 billion of common shares may be repurchased with the exact number, timing, price and terms of such repurchases to be determined at the discretion of management and subject to all regulatory limitations. That authorization replaces the previous program.</w:t>
      </w:r>
    </w:p>
    <w:p>
      <w:pPr>
        <w:spacing w:after="0" w:line="200" w:lineRule="exact"/>
        <w:rPr>
          <w:rFonts w:ascii="Times New Roman" w:cs="Times New Roman" w:eastAsia="Times New Roman" w:hAnsi="Times New Roman"/>
          <w:sz w:val="18"/>
          <w:szCs w:val="18"/>
          <w:i w:val="1"/>
          <w:iCs w:val="1"/>
          <w:color w:val="auto"/>
        </w:rPr>
      </w:pPr>
    </w:p>
    <w:p>
      <w:pPr>
        <w:spacing w:after="0" w:line="201"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0" w:name="page91"/>
    <w:bookmarkEnd w:id="90"/>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3.</w:t>
      </w:r>
      <w:r>
        <w:rPr>
          <w:sz w:val="20"/>
          <w:szCs w:val="20"/>
          <w:color w:val="auto"/>
        </w:rPr>
        <w:tab/>
      </w:r>
      <w:r>
        <w:rPr>
          <w:rFonts w:ascii="Times New Roman" w:cs="Times New Roman" w:eastAsia="Times New Roman" w:hAnsi="Times New Roman"/>
          <w:sz w:val="20"/>
          <w:szCs w:val="20"/>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(Not applicable.)</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5.</w:t>
      </w:r>
      <w:r>
        <w:rPr>
          <w:sz w:val="20"/>
          <w:szCs w:val="20"/>
          <w:color w:val="auto"/>
        </w:rPr>
        <w:tab/>
      </w:r>
      <w:r>
        <w:rPr>
          <w:rFonts w:ascii="Times New Roman" w:cs="Times New Roman" w:eastAsia="Times New Roman" w:hAnsi="Times New Roman"/>
          <w:sz w:val="20"/>
          <w:szCs w:val="20"/>
          <w:color w:val="auto"/>
        </w:rPr>
        <w:t>Other Information.</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(None.)</w:t>
      </w:r>
    </w:p>
    <w:p>
      <w:pPr>
        <w:spacing w:after="0" w:line="1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1"/>
          <w:szCs w:val="21"/>
          <w:color w:val="auto"/>
        </w:rPr>
        <w:t>Item 6.</w:t>
      </w:r>
      <w:r>
        <w:rPr>
          <w:sz w:val="20"/>
          <w:szCs w:val="20"/>
          <w:color w:val="auto"/>
        </w:rPr>
        <w:tab/>
      </w:r>
      <w:r>
        <w:rPr>
          <w:rFonts w:ascii="Times New Roman" w:cs="Times New Roman" w:eastAsia="Times New Roman" w:hAnsi="Times New Roman"/>
          <w:sz w:val="20"/>
          <w:szCs w:val="20"/>
          <w:color w:val="auto"/>
        </w:rPr>
        <w:t>Exhibits.</w:t>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The following exhibits are filed as a part of this report.</w:t>
      </w:r>
    </w:p>
    <w:p>
      <w:pPr>
        <w:spacing w:after="0" w:line="203" w:lineRule="exact"/>
        <w:rPr>
          <w:sz w:val="20"/>
          <w:szCs w:val="20"/>
          <w:color w:val="auto"/>
        </w:rPr>
      </w:pPr>
    </w:p>
    <w:p>
      <w:pPr>
        <w:jc w:val="center"/>
        <w:ind w:right="10260"/>
        <w:spacing w:after="0"/>
        <w:rPr>
          <w:sz w:val="20"/>
          <w:szCs w:val="20"/>
          <w:color w:val="auto"/>
        </w:rPr>
      </w:pPr>
      <w:r>
        <w:rPr>
          <w:rFonts w:ascii="Times New Roman" w:cs="Times New Roman" w:eastAsia="Times New Roman" w:hAnsi="Times New Roman"/>
          <w:sz w:val="21"/>
          <w:szCs w:val="21"/>
          <w:color w:val="auto"/>
        </w:rPr>
        <w:t>Exhibit</w:t>
      </w:r>
    </w:p>
    <w:p>
      <w:pPr>
        <w:jc w:val="center"/>
        <w:ind w:right="1026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0007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1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31.1</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Executive Officer under Section 302 of the Sarbanes-Oxley Act of 2002. Filed herewith.</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31.2</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Section 302 of the Sarbanes-Oxley Act of 2002. Filed herewith.</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73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32.1</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Executive Officer under 18 U.S.C. §1350 pursuant to Section 906 of the Sarbanes-Oxley Act of</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4"/>
          </w:tcPr>
          <w:p>
            <w:pPr>
              <w:spacing w:after="0" w:line="196" w:lineRule="exact"/>
              <w:rPr>
                <w:sz w:val="20"/>
                <w:szCs w:val="20"/>
                <w:color w:val="auto"/>
              </w:rPr>
            </w:pPr>
            <w:r>
              <w:rPr>
                <w:rFonts w:ascii="Times New Roman" w:cs="Times New Roman" w:eastAsia="Times New Roman" w:hAnsi="Times New Roman"/>
                <w:sz w:val="21"/>
                <w:szCs w:val="21"/>
                <w:color w:val="0000FF"/>
              </w:rPr>
              <w:t>2002. Filed herewith.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32.2</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0000FF"/>
              </w:rPr>
              <w:t>Certification of Chief Financial Officer under 18 U.S.C. §1350 pursuant to Section 906 of the Sarbanes-Oxley Act of</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04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Times New Roman" w:cs="Times New Roman" w:eastAsia="Times New Roman" w:hAnsi="Times New Roman"/>
                <w:sz w:val="21"/>
                <w:szCs w:val="21"/>
                <w:color w:val="0000FF"/>
              </w:rPr>
              <w:t>2002. Filed herewith.</w:t>
            </w: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Instance Document.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101.SCH</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Schema.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101.CAL</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Calculation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101.DEF</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Definition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101.LAB</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Label Linkbase. Filed herewith.</w:t>
            </w:r>
          </w:p>
        </w:tc>
        <w:tc>
          <w:tcPr>
            <w:tcW w:w="0" w:type="dxa"/>
            <w:vAlign w:val="bottom"/>
          </w:tcPr>
          <w:p>
            <w:pPr>
              <w:spacing w:after="0"/>
              <w:rPr>
                <w:sz w:val="1"/>
                <w:szCs w:val="1"/>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101.PRE</w:t>
            </w:r>
          </w:p>
        </w:tc>
        <w:tc>
          <w:tcPr>
            <w:tcW w:w="1008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Inline XBRL Taxonomy Extension Presentation Linkbase. Filed herewith.</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1160" w:right="1660" w:hanging="1139"/>
        <w:spacing w:after="0" w:line="243" w:lineRule="auto"/>
        <w:tabs>
          <w:tab w:leader="none" w:pos="11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 page from M&amp;T Bank Corporation’s Quarterly Report on Form 10-Q for the quarter ended September 30, 2022 has been formatted in Inline XBRL.</w:t>
      </w:r>
    </w:p>
    <w:p>
      <w:pPr>
        <w:spacing w:after="0" w:line="389" w:lineRule="exact"/>
        <w:rPr>
          <w:rFonts w:ascii="Times New Roman" w:cs="Times New Roman" w:eastAsia="Times New Roman" w:hAnsi="Times New Roman"/>
          <w:sz w:val="21"/>
          <w:szCs w:val="21"/>
          <w:color w:val="auto"/>
        </w:rPr>
      </w:pPr>
    </w:p>
    <w:p>
      <w:pPr>
        <w:ind w:left="5540" w:hanging="111"/>
        <w:spacing w:after="0"/>
        <w:tabs>
          <w:tab w:leader="none" w:pos="5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21"/>
          <w:szCs w:val="21"/>
          <w:color w:val="auto"/>
        </w:rPr>
        <w:t>SIGNATURES</w:t>
      </w:r>
    </w:p>
    <w:p>
      <w:pPr>
        <w:spacing w:after="0" w:line="218"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1"/>
          <w:szCs w:val="21"/>
          <w:color w:val="auto"/>
        </w:rPr>
        <w:t>M&amp;T BANK CORPORATION</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6600" w:val="left"/>
          <w:tab w:leader="none" w:pos="7160" w:val="left"/>
        </w:tabs>
        <w:rPr>
          <w:sz w:val="20"/>
          <w:szCs w:val="20"/>
          <w:color w:val="auto"/>
        </w:rPr>
      </w:pPr>
      <w:r>
        <w:rPr>
          <w:rFonts w:ascii="Times New Roman" w:cs="Times New Roman" w:eastAsia="Times New Roman" w:hAnsi="Times New Roman"/>
          <w:sz w:val="20"/>
          <w:szCs w:val="20"/>
          <w:color w:val="auto"/>
        </w:rPr>
        <w:t>Date: November 7,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J. King</w:t>
      </w:r>
    </w:p>
    <w:p>
      <w:pPr>
        <w:spacing w:after="0" w:line="216"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-139700</wp:posOffset>
            </wp:positionV>
            <wp:extent cx="258889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9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20"/>
          <w:szCs w:val="20"/>
          <w:color w:val="auto"/>
        </w:rPr>
        <w:t>Senior Executive Vice President</w:t>
      </w:r>
    </w:p>
    <w:p>
      <w:pPr>
        <w:ind w:left="7180"/>
        <w:spacing w:after="0"/>
        <w:rPr>
          <w:sz w:val="20"/>
          <w:szCs w:val="20"/>
          <w:color w:val="auto"/>
        </w:rPr>
      </w:pPr>
      <w:r>
        <w:rPr>
          <w:rFonts w:ascii="Times New Roman" w:cs="Times New Roman" w:eastAsia="Times New Roman" w:hAnsi="Times New Roman"/>
          <w:sz w:val="20"/>
          <w:szCs w:val="20"/>
          <w:color w:val="auto"/>
        </w:rPr>
        <w:t>and 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René F. Jones, certify that:</w:t>
      </w:r>
    </w:p>
    <w:p>
      <w:pPr>
        <w:spacing w:after="0" w:line="123" w:lineRule="exact"/>
        <w:rPr>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09" w:lineRule="exact"/>
        <w:rPr>
          <w:rFonts w:ascii="Times New Roman" w:cs="Times New Roman" w:eastAsia="Times New Roman" w:hAnsi="Times New Roman"/>
          <w:sz w:val="21"/>
          <w:szCs w:val="21"/>
          <w:color w:val="auto"/>
        </w:rPr>
      </w:pPr>
    </w:p>
    <w:p>
      <w:pPr>
        <w:jc w:val="both"/>
        <w:ind w:left="380" w:right="20" w:hanging="372"/>
        <w:spacing w:after="0" w:line="205" w:lineRule="auto"/>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sz w:val="20"/>
          <w:szCs w:val="20"/>
          <w:color w:val="auto"/>
        </w:rPr>
      </w:pPr>
    </w:p>
    <w:p>
      <w:pPr>
        <w:jc w:val="both"/>
        <w:ind w:left="380" w:right="20" w:hanging="372"/>
        <w:spacing w:after="0" w:line="205" w:lineRule="auto"/>
        <w:tabs>
          <w:tab w:leader="none" w:pos="4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21"/>
          <w:szCs w:val="21"/>
          <w:color w:val="auto"/>
        </w:rPr>
      </w:pPr>
    </w:p>
    <w:p>
      <w:pPr>
        <w:jc w:val="both"/>
        <w:ind w:left="380" w:hanging="372"/>
        <w:spacing w:after="0" w:line="210" w:lineRule="auto"/>
        <w:tabs>
          <w:tab w:leader="none" w:pos="4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7" w:lineRule="exact"/>
        <w:rPr>
          <w:sz w:val="20"/>
          <w:szCs w:val="20"/>
          <w:color w:val="auto"/>
        </w:rPr>
      </w:pPr>
    </w:p>
    <w:p>
      <w:pPr>
        <w:jc w:val="both"/>
        <w:ind w:left="380" w:right="20" w:hanging="372"/>
        <w:spacing w:after="0" w:line="205" w:lineRule="auto"/>
        <w:tabs>
          <w:tab w:leader="none" w:pos="42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jc w:val="both"/>
        <w:ind w:left="380" w:right="20" w:hanging="372"/>
        <w:spacing w:after="0" w:line="232" w:lineRule="auto"/>
        <w:tabs>
          <w:tab w:leader="none" w:pos="4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Times New Roman" w:cs="Times New Roman" w:eastAsia="Times New Roman" w:hAnsi="Times New Roman"/>
          <w:sz w:val="20"/>
          <w:szCs w:val="20"/>
          <w:color w:val="auto"/>
        </w:rPr>
      </w:pPr>
    </w:p>
    <w:p>
      <w:pPr>
        <w:ind w:left="380" w:right="20" w:hanging="372"/>
        <w:spacing w:after="0" w:line="228" w:lineRule="auto"/>
        <w:tabs>
          <w:tab w:leader="none" w:pos="4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7, 2022</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René F. Jones</w:t>
            </w:r>
          </w:p>
        </w:tc>
        <w:tc>
          <w:tcPr>
            <w:tcW w:w="6860" w:type="dxa"/>
            <w:vAlign w:val="bottom"/>
          </w:tcPr>
          <w:p>
            <w:pPr>
              <w:spacing w:after="0"/>
              <w:rPr>
                <w:sz w:val="22"/>
                <w:szCs w:val="22"/>
                <w:color w:val="auto"/>
              </w:rPr>
            </w:pPr>
          </w:p>
        </w:tc>
      </w:tr>
      <w:tr>
        <w:trPr>
          <w:trHeight w:val="190"/>
        </w:trPr>
        <w:tc>
          <w:tcPr>
            <w:tcW w:w="680" w:type="dxa"/>
            <w:vAlign w:val="bottom"/>
          </w:tcPr>
          <w:p>
            <w:pPr>
              <w:spacing w:after="0"/>
              <w:rPr>
                <w:sz w:val="16"/>
                <w:szCs w:val="16"/>
                <w:color w:val="auto"/>
              </w:rPr>
            </w:pPr>
          </w:p>
        </w:tc>
        <w:tc>
          <w:tcPr>
            <w:tcW w:w="3700" w:type="dxa"/>
            <w:vAlign w:val="bottom"/>
          </w:tcPr>
          <w:p>
            <w:pPr>
              <w:ind w:left="20"/>
              <w:spacing w:after="0" w:line="190" w:lineRule="exact"/>
              <w:rPr>
                <w:sz w:val="20"/>
                <w:szCs w:val="20"/>
                <w:color w:val="auto"/>
              </w:rPr>
            </w:pPr>
            <w:r>
              <w:rPr>
                <w:rFonts w:ascii="Times New Roman" w:cs="Times New Roman" w:eastAsia="Times New Roman" w:hAnsi="Times New Roman"/>
                <w:sz w:val="21"/>
                <w:szCs w:val="21"/>
                <w:color w:val="auto"/>
              </w:rPr>
              <w:t>René F. Jones</w:t>
            </w:r>
          </w:p>
        </w:tc>
        <w:tc>
          <w:tcPr>
            <w:tcW w:w="6860" w:type="dxa"/>
            <w:vAlign w:val="bottom"/>
          </w:tcPr>
          <w:p>
            <w:pPr>
              <w:spacing w:after="0"/>
              <w:rPr>
                <w:sz w:val="16"/>
                <w:szCs w:val="16"/>
                <w:color w:val="auto"/>
              </w:rPr>
            </w:pPr>
          </w:p>
        </w:tc>
      </w:tr>
      <w:tr>
        <w:trPr>
          <w:trHeight w:val="230"/>
        </w:trPr>
        <w:tc>
          <w:tcPr>
            <w:tcW w:w="680" w:type="dxa"/>
            <w:vAlign w:val="bottom"/>
          </w:tcPr>
          <w:p>
            <w:pPr>
              <w:spacing w:after="0"/>
              <w:rPr>
                <w:sz w:val="19"/>
                <w:szCs w:val="19"/>
                <w:color w:val="auto"/>
              </w:rPr>
            </w:pPr>
          </w:p>
        </w:tc>
        <w:tc>
          <w:tcPr>
            <w:tcW w:w="3700" w:type="dxa"/>
            <w:vAlign w:val="bottom"/>
          </w:tcPr>
          <w:p>
            <w:pPr>
              <w:ind w:left="20"/>
              <w:spacing w:after="0" w:line="230" w:lineRule="exact"/>
              <w:rPr>
                <w:sz w:val="20"/>
                <w:szCs w:val="20"/>
                <w:color w:val="auto"/>
              </w:rPr>
            </w:pPr>
            <w:r>
              <w:rPr>
                <w:rFonts w:ascii="Times New Roman" w:cs="Times New Roman" w:eastAsia="Times New Roman" w:hAnsi="Times New Roman"/>
                <w:sz w:val="21"/>
                <w:szCs w:val="21"/>
                <w:color w:val="auto"/>
              </w:rPr>
              <w:t>Chairman of the Board and</w:t>
            </w:r>
          </w:p>
        </w:tc>
        <w:tc>
          <w:tcPr>
            <w:tcW w:w="6860" w:type="dxa"/>
            <w:vAlign w:val="bottom"/>
          </w:tcPr>
          <w:p>
            <w:pPr>
              <w:spacing w:after="0"/>
              <w:rPr>
                <w:sz w:val="19"/>
                <w:szCs w:val="19"/>
                <w:color w:val="auto"/>
              </w:rPr>
            </w:pPr>
          </w:p>
        </w:tc>
      </w:tr>
      <w:tr>
        <w:trPr>
          <w:trHeight w:val="270"/>
        </w:trPr>
        <w:tc>
          <w:tcPr>
            <w:tcW w:w="680" w:type="dxa"/>
            <w:vAlign w:val="bottom"/>
          </w:tcPr>
          <w:p>
            <w:pPr>
              <w:spacing w:after="0"/>
              <w:rPr>
                <w:sz w:val="23"/>
                <w:szCs w:val="23"/>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Chief Executive Officer</w:t>
            </w:r>
          </w:p>
        </w:tc>
        <w:tc>
          <w:tcPr>
            <w:tcW w:w="6860" w:type="dxa"/>
            <w:vAlign w:val="bottom"/>
          </w:tcPr>
          <w:p>
            <w:pPr>
              <w:spacing w:after="0"/>
              <w:rPr>
                <w:sz w:val="23"/>
                <w:szCs w:val="23"/>
                <w:color w:val="auto"/>
              </w:rPr>
            </w:pPr>
          </w:p>
        </w:tc>
      </w:tr>
      <w:tr>
        <w:trPr>
          <w:trHeight w:val="283"/>
        </w:trPr>
        <w:tc>
          <w:tcPr>
            <w:tcW w:w="6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Darren J. King, certify that:</w:t>
      </w:r>
    </w:p>
    <w:p>
      <w:pPr>
        <w:spacing w:after="0" w:line="123"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have reviewed this quarterly report on Form 10-Q of M&amp;T Bank Corporation;</w:t>
      </w:r>
    </w:p>
    <w:p>
      <w:pPr>
        <w:spacing w:after="0" w:line="109" w:lineRule="exact"/>
        <w:rPr>
          <w:rFonts w:ascii="Times New Roman" w:cs="Times New Roman" w:eastAsia="Times New Roman" w:hAnsi="Times New Roman"/>
          <w:sz w:val="21"/>
          <w:szCs w:val="21"/>
          <w:color w:val="auto"/>
        </w:rPr>
      </w:pPr>
    </w:p>
    <w:p>
      <w:pPr>
        <w:jc w:val="both"/>
        <w:ind w:left="380" w:right="20" w:hanging="372"/>
        <w:spacing w:after="0" w:line="205" w:lineRule="auto"/>
        <w:tabs>
          <w:tab w:leader="none" w:pos="4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 w:lineRule="exact"/>
        <w:rPr>
          <w:sz w:val="20"/>
          <w:szCs w:val="20"/>
          <w:color w:val="auto"/>
        </w:rPr>
      </w:pPr>
    </w:p>
    <w:p>
      <w:pPr>
        <w:jc w:val="both"/>
        <w:ind w:left="380" w:right="20" w:hanging="372"/>
        <w:spacing w:after="0" w:line="210" w:lineRule="auto"/>
        <w:tabs>
          <w:tab w:leader="none" w:pos="4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21"/>
          <w:szCs w:val="21"/>
          <w:color w:val="auto"/>
        </w:rPr>
      </w:pPr>
    </w:p>
    <w:p>
      <w:pPr>
        <w:jc w:val="both"/>
        <w:ind w:left="380" w:hanging="372"/>
        <w:spacing w:after="0" w:line="210" w:lineRule="auto"/>
        <w:tabs>
          <w:tab w:leader="none" w:pos="4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Times New Roman" w:cs="Times New Roman" w:eastAsia="Times New Roman" w:hAnsi="Times New Roman"/>
          <w:sz w:val="21"/>
          <w:szCs w:val="21"/>
          <w:color w:val="auto"/>
        </w:rPr>
      </w:pPr>
    </w:p>
    <w:p>
      <w:pPr>
        <w:jc w:val="both"/>
        <w:ind w:left="380" w:hanging="372"/>
        <w:spacing w:after="0" w:line="205" w:lineRule="auto"/>
        <w:tabs>
          <w:tab w:leader="none" w:pos="4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7" w:lineRule="exact"/>
        <w:rPr>
          <w:sz w:val="20"/>
          <w:szCs w:val="20"/>
          <w:color w:val="auto"/>
        </w:rPr>
      </w:pPr>
    </w:p>
    <w:p>
      <w:pPr>
        <w:jc w:val="both"/>
        <w:ind w:left="380" w:right="20" w:hanging="372"/>
        <w:spacing w:after="0" w:line="205" w:lineRule="auto"/>
        <w:tabs>
          <w:tab w:leader="none" w:pos="42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sz w:val="20"/>
          <w:szCs w:val="20"/>
          <w:color w:val="auto"/>
        </w:rPr>
      </w:pPr>
    </w:p>
    <w:p>
      <w:pPr>
        <w:jc w:val="both"/>
        <w:ind w:left="380" w:right="20" w:hanging="372"/>
        <w:spacing w:after="0" w:line="232" w:lineRule="auto"/>
        <w:tabs>
          <w:tab w:leader="none" w:pos="4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Times New Roman" w:cs="Times New Roman" w:eastAsia="Times New Roman" w:hAnsi="Times New Roman"/>
          <w:sz w:val="20"/>
          <w:szCs w:val="20"/>
          <w:color w:val="auto"/>
        </w:rPr>
      </w:pPr>
    </w:p>
    <w:p>
      <w:pPr>
        <w:ind w:left="380" w:right="20" w:hanging="372"/>
        <w:spacing w:after="0" w:line="221" w:lineRule="auto"/>
        <w:tabs>
          <w:tab w:leader="none" w:pos="42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November 7, 2022</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13335</wp:posOffset>
            </wp:positionV>
            <wp:extent cx="254571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1"/>
          <w:szCs w:val="21"/>
          <w:color w:val="auto"/>
        </w:rPr>
        <w:t>Darren J. King</w:t>
      </w:r>
    </w:p>
    <w:p>
      <w:pPr>
        <w:ind w:left="500"/>
        <w:spacing w:after="0" w:line="228" w:lineRule="auto"/>
        <w:rPr>
          <w:sz w:val="20"/>
          <w:szCs w:val="20"/>
          <w:color w:val="auto"/>
        </w:rPr>
      </w:pPr>
      <w:r>
        <w:rPr>
          <w:rFonts w:ascii="Times New Roman" w:cs="Times New Roman" w:eastAsia="Times New Roman" w:hAnsi="Times New Roman"/>
          <w:sz w:val="21"/>
          <w:szCs w:val="21"/>
          <w:color w:val="auto"/>
        </w:rPr>
        <w:t>Senior Executive Vice President</w:t>
      </w:r>
    </w:p>
    <w:p>
      <w:pPr>
        <w:ind w:left="500"/>
        <w:spacing w:after="0"/>
        <w:rPr>
          <w:sz w:val="20"/>
          <w:szCs w:val="20"/>
          <w:color w:val="auto"/>
        </w:rPr>
      </w:pPr>
      <w:r>
        <w:rPr>
          <w:rFonts w:ascii="Times New Roman" w:cs="Times New Roman" w:eastAsia="Times New Roman" w:hAnsi="Times New Roman"/>
          <w:sz w:val="21"/>
          <w:szCs w:val="21"/>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René F. Jones, Chairman of the Board and Chief Executive Officer of M&amp;T Bank Corporation, certify, pursuant to Section 906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Sarbanes-Oxley Act of 2002, 18 U.S.C. Section 1350, that:</w:t>
      </w:r>
    </w:p>
    <w:p>
      <w:pPr>
        <w:spacing w:after="0" w:line="167" w:lineRule="exact"/>
        <w:rPr>
          <w:sz w:val="20"/>
          <w:szCs w:val="20"/>
          <w:color w:val="auto"/>
        </w:rPr>
      </w:pPr>
    </w:p>
    <w:p>
      <w:pPr>
        <w:ind w:left="1500" w:right="1500" w:hanging="681"/>
        <w:spacing w:after="0" w:line="232" w:lineRule="auto"/>
        <w:tabs>
          <w:tab w:leader="none" w:pos="12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September 30, 2022 (the "Report") fully complies with the requirements of Section 13(a) or 15(d) of the Securities Exchange Act of 1934 (15 U.S.C. 78m or 78o(d)); and</w:t>
      </w:r>
    </w:p>
    <w:p>
      <w:pPr>
        <w:spacing w:after="0" w:line="163" w:lineRule="exact"/>
        <w:rPr>
          <w:rFonts w:ascii="Times New Roman" w:cs="Times New Roman" w:eastAsia="Times New Roman" w:hAnsi="Times New Roman"/>
          <w:sz w:val="21"/>
          <w:szCs w:val="21"/>
          <w:color w:val="auto"/>
        </w:rPr>
      </w:pPr>
    </w:p>
    <w:p>
      <w:pPr>
        <w:ind w:left="1500" w:right="1500" w:hanging="681"/>
        <w:spacing w:after="0" w:line="243" w:lineRule="auto"/>
        <w:tabs>
          <w:tab w:leader="none" w:pos="12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8308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René F. Jones</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November 7, 2022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19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CERTIFICATION OF CHIEF FINANCIAL OFFICER UNDER 18 U.S.C. §1350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Darren J. King, Senior Executive Vice President and Chief Financial Officer of M&amp;T Bank Corporation, certify, pursuant to Section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906 of the Sarbanes-Oxley Act of 2002, 18 U.S.C. Section 1350, that:</w:t>
      </w:r>
    </w:p>
    <w:p>
      <w:pPr>
        <w:spacing w:after="0" w:line="167" w:lineRule="exact"/>
        <w:rPr>
          <w:sz w:val="20"/>
          <w:szCs w:val="20"/>
          <w:color w:val="auto"/>
        </w:rPr>
      </w:pPr>
    </w:p>
    <w:p>
      <w:pPr>
        <w:ind w:left="1500" w:right="1500" w:hanging="681"/>
        <w:spacing w:after="0" w:line="232" w:lineRule="auto"/>
        <w:tabs>
          <w:tab w:leader="none" w:pos="122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Quarterly Report on Form 10-Q of M&amp;T Bank Corporation for the quarterly period ended September 30, 2022 (the "Report") fully complies with the requirements of Section 13(a) or 15(d) of the Securities Exchange Act of 1934 (15 U.S.C. 78m or 78o(d)); and</w:t>
      </w:r>
    </w:p>
    <w:p>
      <w:pPr>
        <w:spacing w:after="0" w:line="163" w:lineRule="exact"/>
        <w:rPr>
          <w:rFonts w:ascii="Times New Roman" w:cs="Times New Roman" w:eastAsia="Times New Roman" w:hAnsi="Times New Roman"/>
          <w:sz w:val="21"/>
          <w:szCs w:val="21"/>
          <w:color w:val="auto"/>
        </w:rPr>
      </w:pPr>
    </w:p>
    <w:p>
      <w:pPr>
        <w:ind w:left="1500" w:right="1500" w:hanging="681"/>
        <w:spacing w:after="0" w:line="243" w:lineRule="auto"/>
        <w:tabs>
          <w:tab w:leader="none" w:pos="122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in the Report fairly presents, in all material respects, the financial condition and results of operations of M&amp;T Bank Corporation.</w:t>
      </w:r>
    </w:p>
    <w:p>
      <w:pPr>
        <w:spacing w:after="0" w:line="3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8308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Darren J. King</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November 7, 2022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lowerLetter"/>
      <w:start w:val="1"/>
    </w:lvl>
    <w:lvl w:ilvl="1">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1"/>
    </w:lvl>
    <w:lvl w:ilvl="1">
      <w:lvlJc w:val="left"/>
      <w:lvlText w:val="-"/>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lvl w:ilvl="1">
      <w:lvlJc w:val="left"/>
      <w:lvlText w:val="-"/>
      <w:numFmt w:val="bullet"/>
      <w:start w:val="1"/>
    </w:lvl>
  </w:abstractNum>
  <w:abstractNum w:abstractNumId="17">
    <w:nsid w:val="737B8DDC"/>
    <w:multiLevelType w:val="hybridMultilevel"/>
    <w:lvl w:ilvl="0">
      <w:lvlJc w:val="left"/>
      <w:lvlText w:val="(%1)"/>
      <w:numFmt w:val="lowerLetter"/>
      <w:start w:val="1"/>
    </w:lvl>
    <w:lvl w:ilvl="1">
      <w:lvlJc w:val="left"/>
      <w:lvlText w:val="-"/>
      <w:numFmt w:val="bullet"/>
      <w:start w:val="1"/>
    </w:lvl>
  </w:abstractNum>
  <w:abstractNum w:abstractNumId="18">
    <w:nsid w:val="6CEAF087"/>
    <w:multiLevelType w:val="hybridMultilevel"/>
    <w:lvl w:ilvl="0">
      <w:lvlJc w:val="left"/>
      <w:lvlText w:val="(%1)"/>
      <w:numFmt w:val="lowerLetter"/>
      <w:start w:val="1"/>
    </w:lvl>
    <w:lvl w:ilvl="1">
      <w:lvlJc w:val="left"/>
      <w:lvlText w:val="-"/>
      <w:numFmt w:val="bullet"/>
      <w:start w:val="1"/>
    </w:lvl>
  </w:abstractNum>
  <w:abstractNum w:abstractNumId="19">
    <w:nsid w:val="22221A70"/>
    <w:multiLevelType w:val="hybridMultilevel"/>
    <w:lvl w:ilvl="0">
      <w:lvlJc w:val="left"/>
      <w:lvlText w:val="%1."/>
      <w:numFmt w:val="decimal"/>
      <w:start w:val="13"/>
    </w:lvl>
  </w:abstractNum>
  <w:abstractNum w:abstractNumId="20">
    <w:nsid w:val="4516DDE9"/>
    <w:multiLevelType w:val="hybridMultilevel"/>
    <w:lvl w:ilvl="0">
      <w:lvlJc w:val="left"/>
      <w:lvlText w:val="(%1)"/>
      <w:numFmt w:val="lowerLetter"/>
      <w:start w:val="1"/>
    </w:lvl>
    <w:lvl w:ilvl="1">
      <w:lvlJc w:val="left"/>
      <w:lvlText w:val="-"/>
      <w:numFmt w:val="bullet"/>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
      <w:numFmt w:val="bullet"/>
      <w:start w:val="1"/>
    </w:lvl>
    <w:lvl w:ilvl="1">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Letter"/>
      <w:start w:val="1"/>
    </w:lvl>
    <w:lvl w:ilvl="1">
      <w:lvlJc w:val="left"/>
      <w:lvlText w:val="-"/>
      <w:numFmt w:val="bullet"/>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1"/>
    </w:lvl>
    <w:lvl w:ilvl="1">
      <w:lvlJc w:val="left"/>
      <w:lvlText w:val="-"/>
      <w:numFmt w:val="bullet"/>
      <w:start w:val="1"/>
    </w:lvl>
  </w:abstractNum>
  <w:abstractNum w:abstractNumId="33">
    <w:nsid w:val="51EAD36B"/>
    <w:multiLevelType w:val="hybridMultilevel"/>
    <w:lvl w:ilvl="0">
      <w:lvlJc w:val="left"/>
      <w:lvlText w:val="(%1)"/>
      <w:numFmt w:val="decimal"/>
      <w:start w:val="1"/>
    </w:lvl>
    <w:lvl w:ilvl="1">
      <w:lvlJc w:val="left"/>
      <w:lvlText w:val="-"/>
      <w:numFmt w:val="bullet"/>
      <w:start w:val="1"/>
    </w:lvl>
  </w:abstractNum>
  <w:abstractNum w:abstractNumId="34">
    <w:nsid w:val="2D517796"/>
    <w:multiLevelType w:val="hybridMultilevel"/>
    <w:lvl w:ilvl="0">
      <w:lvlJc w:val="left"/>
      <w:lvlText w:val="%1"/>
      <w:numFmt w:val="decimal"/>
      <w:start w:val="104"/>
    </w:lvl>
    <w:lvl w:ilvl="1">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2022-11-10T00:07:37Z</dcterms:created>
  <dcterms:modified xsi:type="dcterms:W3CDTF">2022-11-10T00:07:37Z</dcterms:modified>
</cp:coreProperties>
</file>