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1404" w:type="dxa"/>
        <w:tblCellMar>
          <w:top w:w="0" w:type="dxa"/>
          <w:left w:w="0" w:type="dxa"/>
          <w:bottom w:w="0" w:type="dxa"/>
          <w:right w:w="0" w:type="dxa"/>
        </w:tblCellMar>
      </w:tblPr>
      <w:tr>
        <w:trPr>
          <w:trHeight w:val="212"/>
        </w:trPr>
        <w:tc>
          <w:tcPr>
            <w:tcW w:w="4580" w:type="dxa"/>
            <w:vAlign w:val="bottom"/>
          </w:tcPr>
          <w:p>
            <w:pPr>
              <w:jc w:val="center"/>
              <w:ind w:right="1741"/>
              <w:spacing w:after="0"/>
              <w:rPr>
                <w:sz w:val="20"/>
                <w:szCs w:val="20"/>
                <w:color w:val="auto"/>
              </w:rPr>
            </w:pPr>
            <w:r>
              <w:rPr>
                <w:rFonts w:ascii="Arial" w:cs="Arial" w:eastAsia="Arial" w:hAnsi="Arial"/>
                <w:sz w:val="18"/>
                <w:szCs w:val="18"/>
                <w:b w:val="1"/>
                <w:bCs w:val="1"/>
                <w:color w:val="auto"/>
                <w:w w:val="92"/>
              </w:rPr>
              <w:t>1-9861</w:t>
            </w:r>
          </w:p>
        </w:tc>
        <w:tc>
          <w:tcPr>
            <w:tcW w:w="2920" w:type="dxa"/>
            <w:vAlign w:val="bottom"/>
          </w:tcPr>
          <w:p>
            <w:pPr>
              <w:jc w:val="right"/>
              <w:ind w:right="41"/>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4580" w:type="dxa"/>
            <w:vAlign w:val="bottom"/>
          </w:tcPr>
          <w:p>
            <w:pPr>
              <w:jc w:val="center"/>
              <w:ind w:right="1741"/>
              <w:spacing w:after="0" w:line="149" w:lineRule="exact"/>
              <w:rPr>
                <w:sz w:val="20"/>
                <w:szCs w:val="20"/>
                <w:color w:val="auto"/>
              </w:rPr>
            </w:pPr>
            <w:r>
              <w:rPr>
                <w:rFonts w:ascii="Arial" w:cs="Arial" w:eastAsia="Arial" w:hAnsi="Arial"/>
                <w:sz w:val="14"/>
                <w:szCs w:val="14"/>
                <w:b w:val="1"/>
                <w:bCs w:val="1"/>
                <w:color w:val="auto"/>
                <w:w w:val="90"/>
              </w:rPr>
              <w:t>(Commission</w:t>
            </w:r>
          </w:p>
        </w:tc>
        <w:tc>
          <w:tcPr>
            <w:tcW w:w="292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80" w:type="dxa"/>
            <w:vAlign w:val="bottom"/>
          </w:tcPr>
          <w:p>
            <w:pPr>
              <w:jc w:val="center"/>
              <w:ind w:right="1741"/>
              <w:spacing w:after="0"/>
              <w:rPr>
                <w:sz w:val="20"/>
                <w:szCs w:val="20"/>
                <w:color w:val="auto"/>
              </w:rPr>
            </w:pPr>
            <w:r>
              <w:rPr>
                <w:rFonts w:ascii="Arial" w:cs="Arial" w:eastAsia="Arial" w:hAnsi="Arial"/>
                <w:sz w:val="14"/>
                <w:szCs w:val="14"/>
                <w:b w:val="1"/>
                <w:bCs w:val="1"/>
                <w:color w:val="auto"/>
                <w:w w:val="98"/>
              </w:rPr>
              <w:t>File Number)</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4580" w:type="dxa"/>
            <w:vAlign w:val="bottom"/>
          </w:tcPr>
          <w:p>
            <w:pPr>
              <w:jc w:val="center"/>
              <w:ind w:right="1741"/>
              <w:spacing w:after="0"/>
              <w:rPr>
                <w:sz w:val="20"/>
                <w:szCs w:val="20"/>
                <w:color w:val="auto"/>
              </w:rPr>
            </w:pPr>
            <w:r>
              <w:rPr>
                <w:rFonts w:ascii="Arial" w:cs="Arial" w:eastAsia="Arial" w:hAnsi="Arial"/>
                <w:sz w:val="18"/>
                <w:szCs w:val="18"/>
                <w:b w:val="1"/>
                <w:bCs w:val="1"/>
                <w:color w:val="auto"/>
                <w:w w:val="93"/>
              </w:rPr>
              <w:t>One M&amp;T Plaza, Buffalo, New York</w:t>
            </w:r>
          </w:p>
        </w:tc>
        <w:tc>
          <w:tcPr>
            <w:tcW w:w="2920" w:type="dxa"/>
            <w:vAlign w:val="bottom"/>
          </w:tcPr>
          <w:p>
            <w:pPr>
              <w:jc w:val="right"/>
              <w:ind w:right="261"/>
              <w:spacing w:after="0"/>
              <w:rPr>
                <w:sz w:val="20"/>
                <w:szCs w:val="20"/>
                <w:color w:val="auto"/>
              </w:rPr>
            </w:pPr>
            <w:r>
              <w:rPr>
                <w:rFonts w:ascii="Arial" w:cs="Arial" w:eastAsia="Arial" w:hAnsi="Arial"/>
                <w:sz w:val="18"/>
                <w:szCs w:val="18"/>
                <w:b w:val="1"/>
                <w:bCs w:val="1"/>
                <w:color w:val="auto"/>
              </w:rPr>
              <w:t>14203</w:t>
            </w:r>
          </w:p>
        </w:tc>
      </w:tr>
      <w:tr>
        <w:trPr>
          <w:trHeight w:val="186"/>
        </w:trPr>
        <w:tc>
          <w:tcPr>
            <w:tcW w:w="4580" w:type="dxa"/>
            <w:vAlign w:val="bottom"/>
          </w:tcPr>
          <w:p>
            <w:pPr>
              <w:jc w:val="center"/>
              <w:ind w:right="17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20" w:type="dxa"/>
            <w:vAlign w:val="bottom"/>
          </w:tcPr>
          <w:p>
            <w:pPr>
              <w:jc w:val="center"/>
              <w:ind w:left="17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(716) 635-4000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5"/>
        </w:trPr>
        <w:tc>
          <w:tcPr>
            <w:tcW w:w="3740" w:type="dxa"/>
            <w:vAlign w:val="bottom"/>
          </w:tcPr>
          <w:p>
            <w:pPr>
              <w:jc w:val="center"/>
              <w:spacing w:after="0" w:line="195" w:lineRule="exact"/>
              <w:rPr>
                <w:sz w:val="20"/>
                <w:szCs w:val="20"/>
                <w:color w:val="auto"/>
              </w:rPr>
            </w:pPr>
            <w:r>
              <w:rPr>
                <w:rFonts w:ascii="Arial" w:cs="Arial" w:eastAsia="Arial" w:hAnsi="Arial"/>
                <w:sz w:val="18"/>
                <w:szCs w:val="18"/>
                <w:color w:val="auto"/>
                <w:w w:val="90"/>
              </w:rPr>
              <w:t>Common Stock, $.50 par value</w:t>
            </w:r>
          </w:p>
        </w:tc>
        <w:tc>
          <w:tcPr>
            <w:tcW w:w="120" w:type="dxa"/>
            <w:vAlign w:val="bottom"/>
          </w:tcPr>
          <w:p>
            <w:pPr>
              <w:spacing w:after="0"/>
              <w:rPr>
                <w:sz w:val="16"/>
                <w:szCs w:val="16"/>
                <w:color w:val="auto"/>
              </w:rPr>
            </w:pPr>
          </w:p>
        </w:tc>
        <w:tc>
          <w:tcPr>
            <w:tcW w:w="3520" w:type="dxa"/>
            <w:vAlign w:val="bottom"/>
          </w:tcPr>
          <w:p>
            <w:pPr>
              <w:jc w:val="center"/>
              <w:spacing w:after="0" w:line="195" w:lineRule="exact"/>
              <w:rPr>
                <w:sz w:val="20"/>
                <w:szCs w:val="20"/>
                <w:color w:val="auto"/>
              </w:rPr>
            </w:pPr>
            <w:r>
              <w:rPr>
                <w:rFonts w:ascii="Arial" w:cs="Arial" w:eastAsia="Arial" w:hAnsi="Arial"/>
                <w:sz w:val="18"/>
                <w:szCs w:val="18"/>
                <w:color w:val="auto"/>
                <w:w w:val="99"/>
              </w:rPr>
              <w:t>MTB</w:t>
            </w:r>
          </w:p>
        </w:tc>
        <w:tc>
          <w:tcPr>
            <w:tcW w:w="10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16"/>
        </w:trPr>
        <w:tc>
          <w:tcPr>
            <w:tcW w:w="3740" w:type="dxa"/>
            <w:vAlign w:val="bottom"/>
          </w:tcPr>
          <w:p>
            <w:pPr>
              <w:jc w:val="center"/>
              <w:spacing w:after="0"/>
              <w:rPr>
                <w:sz w:val="20"/>
                <w:szCs w:val="20"/>
                <w:color w:val="auto"/>
              </w:rPr>
            </w:pPr>
            <w:r>
              <w:rPr>
                <w:rFonts w:ascii="Arial" w:cs="Arial" w:eastAsia="Arial" w:hAnsi="Arial"/>
                <w:sz w:val="18"/>
                <w:szCs w:val="18"/>
                <w:color w:val="auto"/>
                <w:w w:val="91"/>
              </w:rPr>
              <w:t>Perpetual Fixed-to-Floating Rate Non-Cumulative</w:t>
            </w:r>
          </w:p>
        </w:tc>
        <w:tc>
          <w:tcPr>
            <w:tcW w:w="12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8"/>
              </w:rPr>
              <w:t>MTBPrH</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Preferred Stock, Series H</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Explanatory Note</w:t>
      </w:r>
    </w:p>
    <w:p>
      <w:pPr>
        <w:spacing w:after="0" w:line="121" w:lineRule="exact"/>
        <w:rPr>
          <w:sz w:val="20"/>
          <w:szCs w:val="20"/>
          <w:color w:val="auto"/>
        </w:rPr>
      </w:pPr>
    </w:p>
    <w:p>
      <w:pPr>
        <w:jc w:val="both"/>
        <w:ind w:right="80" w:firstLine="440"/>
        <w:spacing w:after="0" w:line="311" w:lineRule="auto"/>
        <w:rPr>
          <w:sz w:val="20"/>
          <w:szCs w:val="20"/>
          <w:color w:val="auto"/>
        </w:rPr>
      </w:pPr>
      <w:r>
        <w:rPr>
          <w:rFonts w:ascii="Arial" w:cs="Arial" w:eastAsia="Arial" w:hAnsi="Arial"/>
          <w:sz w:val="16"/>
          <w:szCs w:val="16"/>
          <w:color w:val="auto"/>
        </w:rPr>
        <w:t>This Amendment No. 1 to M&amp;T Bank Corporation’s Current Report on Form 8-K filed on May 17, 2023 (the “Original Form 8-K”) supplements the Original Form 8-K to provide information required to be disclosed pursuant to Item 5.02(c)(3) that had not been determined at the time of the filing of the Original Form 8-K, as provided by Instruction 2 to Item 5.02. No other changes have been made to the Original Form 8-K.</w:t>
      </w:r>
    </w:p>
    <w:p>
      <w:pPr>
        <w:spacing w:after="0" w:line="293" w:lineRule="exact"/>
        <w:rPr>
          <w:sz w:val="20"/>
          <w:szCs w:val="20"/>
          <w:color w:val="auto"/>
        </w:rPr>
      </w:pPr>
    </w:p>
    <w:p>
      <w:pPr>
        <w:ind w:left="1200" w:right="960" w:hanging="1211"/>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As disclosed in the Original Form 8-K, John R. Taylor was appointed Controller of M&amp;T Bank Corporation (“M&amp;T”) and M&amp;T Bank, effective July 1, 2023. In connection with his appointment, on June 30, 2023, the Compensation and Human Capital Committee approved an increase of</w:t>
      </w:r>
    </w:p>
    <w:p>
      <w:pPr>
        <w:spacing w:after="0" w:line="260" w:lineRule="auto"/>
        <w:rPr>
          <w:sz w:val="20"/>
          <w:szCs w:val="20"/>
          <w:color w:val="auto"/>
        </w:rPr>
      </w:pPr>
      <w:r>
        <w:rPr>
          <w:rFonts w:ascii="Arial" w:cs="Arial" w:eastAsia="Arial" w:hAnsi="Arial"/>
          <w:sz w:val="18"/>
          <w:szCs w:val="18"/>
          <w:color w:val="auto"/>
        </w:rPr>
        <w:t>Mr. Taylor’s base salary to $325,000, effective July 1, 2023. Mr. Taylor will also continue to participate in M&amp;T’s annual short-term cash and long-term equity incentive compensation programs and other benefit programs commensurate with his position.</w:t>
      </w:r>
    </w:p>
    <w:p>
      <w:pPr>
        <w:sectPr>
          <w:pgSz w:w="11900" w:h="16838" w:orient="portrait"/>
          <w:cols w:equalWidth="0" w:num="1">
            <w:col w:w="10960"/>
          </w:cols>
          <w:pgMar w:left="440" w:top="513"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M&amp;T BANK CORPORATION</w:t>
      </w:r>
    </w:p>
    <w:p>
      <w:pPr>
        <w:spacing w:after="0" w:line="229" w:lineRule="exact"/>
        <w:rPr>
          <w:sz w:val="20"/>
          <w:szCs w:val="20"/>
          <w:color w:val="auto"/>
        </w:rPr>
      </w:pPr>
    </w:p>
    <w:p>
      <w:pPr>
        <w:ind w:left="660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Daryl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Name:  Daryl Bible</w:t>
      </w:r>
    </w:p>
    <w:p>
      <w:pPr>
        <w:spacing w:after="0" w:line="23" w:lineRule="exact"/>
        <w:rPr>
          <w:sz w:val="20"/>
          <w:szCs w:val="20"/>
          <w:color w:val="auto"/>
        </w:rPr>
      </w:pPr>
    </w:p>
    <w:p>
      <w:pPr>
        <w:ind w:left="7040"/>
        <w:spacing w:after="0"/>
        <w:tabs>
          <w:tab w:leader="none" w:pos="7640" w:val="left"/>
        </w:tabs>
        <w:rPr>
          <w:sz w:val="20"/>
          <w:szCs w:val="20"/>
          <w:color w:val="auto"/>
        </w:rPr>
      </w:pPr>
      <w:r>
        <w:rPr>
          <w:rFonts w:ascii="Arial" w:cs="Arial" w:eastAsia="Arial" w:hAnsi="Arial"/>
          <w:sz w:val="18"/>
          <w:szCs w:val="18"/>
          <w:color w:val="auto"/>
        </w:rPr>
        <w:t>Title:</w:t>
        <w:tab/>
        <w:t>Senior Executive Vice President and</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6, 2023</w:t>
      </w:r>
    </w:p>
    <w:sectPr>
      <w:pgSz w:w="11900" w:h="16838" w:orient="portrait"/>
      <w:cols w:equalWidth="0" w:num="1">
        <w:col w:w="10700"/>
      </w:cols>
      <w:pgMar w:left="440" w:top="51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2023-07-06T16:23:28Z</dcterms:created>
  <dcterms:modified xsi:type="dcterms:W3CDTF">2023-07-06T16:23:28Z</dcterms:modified>
</cp:coreProperties>
</file>